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47AAB3">
      <w:pPr>
        <w:shd w:val="clear"/>
        <w:jc w:val="right"/>
        <w:rPr>
          <w:rFonts w:ascii="黑体" w:eastAsia="黑体"/>
          <w:color w:val="auto"/>
          <w:szCs w:val="21"/>
          <w:highlight w:val="none"/>
        </w:rPr>
      </w:pPr>
    </w:p>
    <w:p w14:paraId="19FFFD25">
      <w:pPr>
        <w:pStyle w:val="39"/>
        <w:shd w:val="clear"/>
        <w:ind w:firstLine="400"/>
        <w:rPr>
          <w:color w:val="auto"/>
          <w:highlight w:val="none"/>
        </w:rPr>
      </w:pPr>
    </w:p>
    <w:p w14:paraId="1B7FD58C">
      <w:pPr>
        <w:shd w:val="clear"/>
        <w:rPr>
          <w:color w:val="auto"/>
          <w:highlight w:val="none"/>
        </w:rPr>
      </w:pPr>
    </w:p>
    <w:p w14:paraId="5F11E831">
      <w:pPr>
        <w:shd w:val="clear"/>
        <w:rPr>
          <w:rFonts w:hint="eastAsia" w:eastAsia="宋体"/>
          <w:color w:val="auto"/>
          <w:highlight w:val="none"/>
          <w:lang w:eastAsia="zh-CN"/>
        </w:rPr>
      </w:pPr>
    </w:p>
    <w:p w14:paraId="2C5A7E25">
      <w:pPr>
        <w:shd w:val="clear"/>
        <w:rPr>
          <w:color w:val="auto"/>
          <w:highlight w:val="none"/>
        </w:rPr>
      </w:pPr>
    </w:p>
    <w:p w14:paraId="746C3E35">
      <w:pPr>
        <w:shd w:val="clea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27E34A8C">
      <w:pPr>
        <w:shd w:val="clear"/>
        <w:rPr>
          <w:color w:val="auto"/>
          <w:highlight w:val="none"/>
        </w:rPr>
      </w:pPr>
    </w:p>
    <w:p w14:paraId="31A232F8">
      <w:pPr>
        <w:pStyle w:val="12"/>
        <w:shd w:val="clear"/>
        <w:rPr>
          <w:color w:val="auto"/>
          <w:highlight w:val="none"/>
        </w:rPr>
      </w:pPr>
    </w:p>
    <w:p w14:paraId="3599B31F">
      <w:pPr>
        <w:shd w:val="clear"/>
        <w:rPr>
          <w:color w:val="auto"/>
          <w:highlight w:val="none"/>
        </w:rPr>
      </w:pPr>
    </w:p>
    <w:tbl>
      <w:tblPr>
        <w:tblStyle w:val="29"/>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38E52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7B89F8D1">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14:paraId="3422D360">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东莞市新锋新能源有限公司台勤塑料厂区分布式光伏发电项目</w:t>
            </w:r>
          </w:p>
        </w:tc>
      </w:tr>
      <w:tr w14:paraId="48426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2D41F3D0">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14:paraId="7426B71D">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JHCG-DS-0</w:t>
            </w:r>
            <w:r>
              <w:rPr>
                <w:rFonts w:hint="eastAsia" w:ascii="黑体" w:hAnsi="黑体" w:eastAsia="黑体" w:cs="黑体"/>
                <w:bCs/>
                <w:color w:val="auto"/>
                <w:sz w:val="32"/>
                <w:szCs w:val="24"/>
                <w:highlight w:val="none"/>
                <w:u w:val="none"/>
                <w:lang w:val="en-US" w:eastAsia="zh-CN"/>
              </w:rPr>
              <w:t>10</w:t>
            </w:r>
            <w:r>
              <w:rPr>
                <w:rFonts w:hint="eastAsia" w:ascii="黑体" w:hAnsi="黑体" w:eastAsia="黑体" w:cs="黑体"/>
                <w:bCs/>
                <w:color w:val="auto"/>
                <w:sz w:val="32"/>
                <w:szCs w:val="24"/>
                <w:highlight w:val="none"/>
                <w:u w:val="none"/>
                <w:lang w:eastAsia="zh-CN"/>
              </w:rPr>
              <w:t>（2025）</w:t>
            </w:r>
          </w:p>
        </w:tc>
      </w:tr>
      <w:tr w14:paraId="3272B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4157D0D5">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14:paraId="40E9C3F8">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东莞市新锋新能源有限公司</w:t>
            </w:r>
          </w:p>
        </w:tc>
      </w:tr>
      <w:tr w14:paraId="29E70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775E32ED">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14:paraId="0A08F355">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广东建瀚工程管理有限公司</w:t>
            </w:r>
          </w:p>
        </w:tc>
      </w:tr>
    </w:tbl>
    <w:p w14:paraId="4217C657">
      <w:pPr>
        <w:shd w:val="clear"/>
        <w:jc w:val="center"/>
        <w:rPr>
          <w:rFonts w:ascii="黑体" w:eastAsia="黑体"/>
          <w:color w:val="auto"/>
          <w:szCs w:val="21"/>
          <w:highlight w:val="none"/>
        </w:rPr>
      </w:pPr>
    </w:p>
    <w:p w14:paraId="11502671">
      <w:pPr>
        <w:shd w:val="clear"/>
        <w:jc w:val="center"/>
        <w:rPr>
          <w:rFonts w:ascii="黑体" w:eastAsia="黑体"/>
          <w:color w:val="auto"/>
          <w:szCs w:val="21"/>
          <w:highlight w:val="none"/>
        </w:rPr>
      </w:pPr>
    </w:p>
    <w:p w14:paraId="34A2CF71">
      <w:pPr>
        <w:shd w:val="clear"/>
        <w:jc w:val="center"/>
        <w:rPr>
          <w:rFonts w:ascii="黑体" w:eastAsia="黑体"/>
          <w:color w:val="auto"/>
          <w:szCs w:val="21"/>
          <w:highlight w:val="none"/>
        </w:rPr>
      </w:pPr>
    </w:p>
    <w:p w14:paraId="59B63609">
      <w:pPr>
        <w:pStyle w:val="39"/>
        <w:shd w:val="clear"/>
        <w:ind w:firstLine="400"/>
        <w:rPr>
          <w:color w:val="auto"/>
          <w:highlight w:val="none"/>
        </w:rPr>
      </w:pPr>
    </w:p>
    <w:p w14:paraId="5CFDAFF3">
      <w:pPr>
        <w:shd w:val="clear"/>
        <w:jc w:val="center"/>
        <w:rPr>
          <w:rFonts w:ascii="黑体" w:eastAsia="黑体"/>
          <w:color w:val="auto"/>
          <w:szCs w:val="21"/>
          <w:highlight w:val="none"/>
        </w:rPr>
      </w:pPr>
    </w:p>
    <w:p w14:paraId="0E72E04B">
      <w:pPr>
        <w:shd w:val="clear"/>
        <w:jc w:val="center"/>
        <w:rPr>
          <w:rFonts w:ascii="黑体" w:eastAsia="黑体"/>
          <w:color w:val="auto"/>
          <w:szCs w:val="21"/>
          <w:highlight w:val="none"/>
        </w:rPr>
      </w:pPr>
    </w:p>
    <w:p w14:paraId="0A91791D">
      <w:pPr>
        <w:shd w:val="clea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w:t>
      </w:r>
      <w:r>
        <w:rPr>
          <w:rFonts w:hint="eastAsia" w:ascii="黑体" w:hAnsi="黑体" w:eastAsia="黑体" w:cs="黑体"/>
          <w:bCs/>
          <w:color w:val="auto"/>
          <w:sz w:val="32"/>
          <w:szCs w:val="24"/>
          <w:highlight w:val="none"/>
          <w:lang w:val="en-US" w:eastAsia="zh-CN"/>
        </w:rPr>
        <w:t>25</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 xml:space="preserve"> 9 </w:t>
      </w:r>
      <w:r>
        <w:rPr>
          <w:rFonts w:hint="eastAsia" w:ascii="黑体" w:hAnsi="黑体" w:eastAsia="黑体" w:cs="黑体"/>
          <w:bCs/>
          <w:color w:val="auto"/>
          <w:sz w:val="32"/>
          <w:szCs w:val="24"/>
          <w:highlight w:val="none"/>
        </w:rPr>
        <w:t>月</w:t>
      </w:r>
    </w:p>
    <w:p w14:paraId="5D6241DF">
      <w:pPr>
        <w:shd w:val="clear"/>
        <w:rPr>
          <w:color w:val="auto"/>
          <w:highlight w:val="none"/>
        </w:rPr>
        <w:sectPr>
          <w:footerReference r:id="rId9" w:type="first"/>
          <w:headerReference r:id="rId5" w:type="default"/>
          <w:footerReference r:id="rId7" w:type="default"/>
          <w:headerReference r:id="rId6" w:type="even"/>
          <w:footerReference r:id="rId8" w:type="even"/>
          <w:pgSz w:w="11906" w:h="16838"/>
          <w:pgMar w:top="1440" w:right="1800" w:bottom="1440" w:left="1800" w:header="708" w:footer="708" w:gutter="0"/>
          <w:pgNumType w:fmt="decimal" w:start="1"/>
          <w:cols w:space="708" w:num="1"/>
          <w:titlePg/>
          <w:docGrid w:type="lines" w:linePitch="360" w:charSpace="0"/>
        </w:sectPr>
      </w:pPr>
    </w:p>
    <w:p w14:paraId="0B564839">
      <w:pPr>
        <w:pStyle w:val="24"/>
        <w:shd w:val="clear"/>
        <w:ind w:left="0" w:leftChars="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目</w:t>
      </w:r>
      <w:r>
        <w:rPr>
          <w:rFonts w:hint="eastAsia" w:ascii="宋体" w:hAnsi="宋体" w:eastAsia="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录</w:t>
      </w:r>
    </w:p>
    <w:p w14:paraId="2BA880F4">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TOC \o "1-4" \h \z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_Toc14062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第一部分投标邀请</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_Toc14062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6D0C916">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_Toc9810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投标邀请书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_Toc9810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D60F26C">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_Toc27633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第二部分相关资料表格</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_Toc27633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4EDE5BF">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_Toc1316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附表一：投标资料表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_Toc1316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BBD8CF5">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_Toc19210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附表二：商务技术评分及价格权重表（满分100分）</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_Toc19210 \h </w:instrText>
      </w:r>
      <w:r>
        <w:rPr>
          <w:rFonts w:hint="eastAsia" w:ascii="宋体" w:hAnsi="宋体" w:eastAsia="宋体" w:cs="宋体"/>
          <w:sz w:val="21"/>
          <w:szCs w:val="21"/>
        </w:rPr>
        <w:fldChar w:fldCharType="separate"/>
      </w:r>
      <w:r>
        <w:rPr>
          <w:rFonts w:hint="eastAsia" w:ascii="宋体" w:hAnsi="宋体" w:eastAsia="宋体" w:cs="宋体"/>
          <w:sz w:val="21"/>
          <w:szCs w:val="21"/>
        </w:rPr>
        <w:t>14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61ECF8B">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_Toc5576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第三部分用户需求书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_Toc5576 \h </w:instrText>
      </w:r>
      <w:r>
        <w:rPr>
          <w:rFonts w:hint="eastAsia" w:ascii="宋体" w:hAnsi="宋体" w:eastAsia="宋体" w:cs="宋体"/>
          <w:sz w:val="21"/>
          <w:szCs w:val="21"/>
        </w:rPr>
        <w:fldChar w:fldCharType="separate"/>
      </w:r>
      <w:r>
        <w:rPr>
          <w:rFonts w:hint="eastAsia" w:ascii="宋体" w:hAnsi="宋体" w:eastAsia="宋体" w:cs="宋体"/>
          <w:sz w:val="21"/>
          <w:szCs w:val="21"/>
        </w:rPr>
        <w:t>18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76AFCD2">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_Toc11625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第一章 商务需求书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_Toc11625 \h </w:instrText>
      </w:r>
      <w:r>
        <w:rPr>
          <w:rFonts w:hint="eastAsia" w:ascii="宋体" w:hAnsi="宋体" w:eastAsia="宋体" w:cs="宋体"/>
          <w:sz w:val="21"/>
          <w:szCs w:val="21"/>
        </w:rPr>
        <w:fldChar w:fldCharType="separate"/>
      </w:r>
      <w:r>
        <w:rPr>
          <w:rFonts w:hint="eastAsia" w:ascii="宋体" w:hAnsi="宋体" w:eastAsia="宋体" w:cs="宋体"/>
          <w:sz w:val="21"/>
          <w:szCs w:val="21"/>
        </w:rPr>
        <w:t>18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11C9F1C">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_Toc22372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第二章 技术需求书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_Toc22372 \h </w:instrText>
      </w:r>
      <w:r>
        <w:rPr>
          <w:rFonts w:hint="eastAsia" w:ascii="宋体" w:hAnsi="宋体" w:eastAsia="宋体" w:cs="宋体"/>
          <w:sz w:val="21"/>
          <w:szCs w:val="21"/>
        </w:rPr>
        <w:fldChar w:fldCharType="separate"/>
      </w:r>
      <w:r>
        <w:rPr>
          <w:rFonts w:hint="eastAsia" w:ascii="宋体" w:hAnsi="宋体" w:eastAsia="宋体" w:cs="宋体"/>
          <w:sz w:val="21"/>
          <w:szCs w:val="21"/>
        </w:rPr>
        <w:t>21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2CB2FCB">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_Toc15753 </w:instrText>
      </w:r>
      <w:r>
        <w:rPr>
          <w:rFonts w:hint="eastAsia" w:ascii="宋体" w:hAnsi="宋体" w:eastAsia="宋体" w:cs="宋体"/>
          <w:sz w:val="21"/>
          <w:szCs w:val="21"/>
          <w:highlight w:val="none"/>
        </w:rPr>
        <w:fldChar w:fldCharType="separate"/>
      </w:r>
      <w:r>
        <w:rPr>
          <w:rFonts w:hint="eastAsia" w:ascii="宋体" w:hAnsi="宋体" w:eastAsia="宋体" w:cs="宋体"/>
          <w:bCs/>
          <w:kern w:val="2"/>
          <w:sz w:val="21"/>
          <w:szCs w:val="21"/>
          <w:highlight w:val="none"/>
          <w:lang w:val="en-US" w:eastAsia="zh-CN"/>
        </w:rPr>
        <w:t>二</w:t>
      </w:r>
      <w:r>
        <w:rPr>
          <w:rFonts w:hint="eastAsia" w:ascii="宋体" w:hAnsi="宋体" w:eastAsia="宋体" w:cs="宋体"/>
          <w:bCs/>
          <w:kern w:val="2"/>
          <w:sz w:val="21"/>
          <w:szCs w:val="21"/>
          <w:highlight w:val="none"/>
        </w:rPr>
        <w:t>、光伏发电设施技术要求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_Toc15753 \h </w:instrText>
      </w:r>
      <w:r>
        <w:rPr>
          <w:rFonts w:hint="eastAsia" w:ascii="宋体" w:hAnsi="宋体" w:eastAsia="宋体" w:cs="宋体"/>
          <w:sz w:val="21"/>
          <w:szCs w:val="21"/>
        </w:rPr>
        <w:fldChar w:fldCharType="separate"/>
      </w:r>
      <w:r>
        <w:rPr>
          <w:rFonts w:hint="eastAsia" w:ascii="宋体" w:hAnsi="宋体" w:eastAsia="宋体" w:cs="宋体"/>
          <w:sz w:val="21"/>
          <w:szCs w:val="21"/>
        </w:rPr>
        <w:t>25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825DF93">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_Toc31433 </w:instrText>
      </w:r>
      <w:r>
        <w:rPr>
          <w:rFonts w:hint="eastAsia" w:ascii="宋体" w:hAnsi="宋体" w:eastAsia="宋体" w:cs="宋体"/>
          <w:sz w:val="21"/>
          <w:szCs w:val="21"/>
          <w:highlight w:val="none"/>
        </w:rPr>
        <w:fldChar w:fldCharType="separate"/>
      </w:r>
      <w:r>
        <w:rPr>
          <w:rFonts w:hint="eastAsia" w:ascii="宋体" w:hAnsi="宋体" w:eastAsia="宋体" w:cs="宋体"/>
          <w:bCs/>
          <w:kern w:val="2"/>
          <w:sz w:val="21"/>
          <w:szCs w:val="21"/>
          <w:highlight w:val="none"/>
          <w:lang w:val="en-US" w:eastAsia="zh-CN"/>
        </w:rPr>
        <w:t>三、技术要求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_Toc31433 \h </w:instrText>
      </w:r>
      <w:r>
        <w:rPr>
          <w:rFonts w:hint="eastAsia" w:ascii="宋体" w:hAnsi="宋体" w:eastAsia="宋体" w:cs="宋体"/>
          <w:sz w:val="21"/>
          <w:szCs w:val="21"/>
        </w:rPr>
        <w:fldChar w:fldCharType="separate"/>
      </w:r>
      <w:r>
        <w:rPr>
          <w:rFonts w:hint="eastAsia" w:ascii="宋体" w:hAnsi="宋体" w:eastAsia="宋体" w:cs="宋体"/>
          <w:sz w:val="21"/>
          <w:szCs w:val="21"/>
        </w:rPr>
        <w:t>35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2562855">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_Toc24626 </w:instrText>
      </w:r>
      <w:r>
        <w:rPr>
          <w:rFonts w:hint="eastAsia" w:ascii="宋体" w:hAnsi="宋体" w:eastAsia="宋体" w:cs="宋体"/>
          <w:sz w:val="21"/>
          <w:szCs w:val="21"/>
          <w:highlight w:val="none"/>
        </w:rPr>
        <w:fldChar w:fldCharType="separate"/>
      </w:r>
      <w:r>
        <w:rPr>
          <w:rFonts w:hint="eastAsia" w:ascii="宋体" w:hAnsi="宋体" w:eastAsia="宋体" w:cs="宋体"/>
          <w:bCs/>
          <w:kern w:val="2"/>
          <w:sz w:val="21"/>
          <w:szCs w:val="21"/>
          <w:highlight w:val="none"/>
          <w:lang w:val="en-US" w:eastAsia="zh-CN"/>
        </w:rPr>
        <w:t>四</w:t>
      </w:r>
      <w:r>
        <w:rPr>
          <w:rFonts w:hint="eastAsia" w:ascii="宋体" w:hAnsi="宋体" w:eastAsia="宋体" w:cs="宋体"/>
          <w:bCs/>
          <w:kern w:val="2"/>
          <w:sz w:val="21"/>
          <w:szCs w:val="21"/>
          <w:highlight w:val="none"/>
        </w:rPr>
        <w:t>、安全运维技术要求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_Toc24626 \h </w:instrText>
      </w:r>
      <w:r>
        <w:rPr>
          <w:rFonts w:hint="eastAsia" w:ascii="宋体" w:hAnsi="宋体" w:eastAsia="宋体" w:cs="宋体"/>
          <w:sz w:val="21"/>
          <w:szCs w:val="21"/>
        </w:rPr>
        <w:fldChar w:fldCharType="separate"/>
      </w:r>
      <w:r>
        <w:rPr>
          <w:rFonts w:hint="eastAsia" w:ascii="宋体" w:hAnsi="宋体" w:eastAsia="宋体" w:cs="宋体"/>
          <w:sz w:val="21"/>
          <w:szCs w:val="21"/>
        </w:rPr>
        <w:t>36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A11FDD4">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_Toc21486 </w:instrText>
      </w:r>
      <w:r>
        <w:rPr>
          <w:rFonts w:hint="eastAsia" w:ascii="宋体" w:hAnsi="宋体" w:eastAsia="宋体" w:cs="宋体"/>
          <w:sz w:val="21"/>
          <w:szCs w:val="21"/>
          <w:highlight w:val="none"/>
        </w:rPr>
        <w:fldChar w:fldCharType="separate"/>
      </w:r>
      <w:r>
        <w:rPr>
          <w:rFonts w:hint="eastAsia" w:ascii="宋体" w:hAnsi="宋体" w:eastAsia="宋体" w:cs="宋体"/>
          <w:bCs/>
          <w:kern w:val="2"/>
          <w:sz w:val="21"/>
          <w:szCs w:val="21"/>
          <w:highlight w:val="none"/>
          <w:lang w:eastAsia="zh-CN"/>
        </w:rPr>
        <w:t>五</w:t>
      </w:r>
      <w:r>
        <w:rPr>
          <w:rFonts w:hint="eastAsia" w:ascii="宋体" w:hAnsi="宋体" w:eastAsia="宋体" w:cs="宋体"/>
          <w:bCs/>
          <w:kern w:val="2"/>
          <w:sz w:val="21"/>
          <w:szCs w:val="21"/>
          <w:highlight w:val="none"/>
        </w:rPr>
        <w:t>、设计规范和设计依据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_Toc21486 \h </w:instrText>
      </w:r>
      <w:r>
        <w:rPr>
          <w:rFonts w:hint="eastAsia" w:ascii="宋体" w:hAnsi="宋体" w:eastAsia="宋体" w:cs="宋体"/>
          <w:sz w:val="21"/>
          <w:szCs w:val="21"/>
        </w:rPr>
        <w:fldChar w:fldCharType="separate"/>
      </w:r>
      <w:r>
        <w:rPr>
          <w:rFonts w:hint="eastAsia" w:ascii="宋体" w:hAnsi="宋体" w:eastAsia="宋体" w:cs="宋体"/>
          <w:sz w:val="21"/>
          <w:szCs w:val="21"/>
        </w:rPr>
        <w:t>38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BDC1E4A">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_Toc23172 </w:instrText>
      </w:r>
      <w:r>
        <w:rPr>
          <w:rFonts w:hint="eastAsia" w:ascii="宋体" w:hAnsi="宋体" w:eastAsia="宋体" w:cs="宋体"/>
          <w:sz w:val="21"/>
          <w:szCs w:val="21"/>
          <w:highlight w:val="none"/>
        </w:rPr>
        <w:fldChar w:fldCharType="separate"/>
      </w:r>
      <w:r>
        <w:rPr>
          <w:rFonts w:hint="eastAsia" w:ascii="宋体" w:hAnsi="宋体" w:eastAsia="宋体" w:cs="宋体"/>
          <w:bCs/>
          <w:kern w:val="2"/>
          <w:sz w:val="21"/>
          <w:szCs w:val="21"/>
          <w:highlight w:val="none"/>
          <w:lang w:eastAsia="zh-CN"/>
        </w:rPr>
        <w:t>六</w:t>
      </w:r>
      <w:r>
        <w:rPr>
          <w:rFonts w:hint="eastAsia" w:ascii="宋体" w:hAnsi="宋体" w:eastAsia="宋体" w:cs="宋体"/>
          <w:bCs/>
          <w:kern w:val="2"/>
          <w:sz w:val="21"/>
          <w:szCs w:val="21"/>
          <w:highlight w:val="none"/>
        </w:rPr>
        <w:t>、消防要求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_Toc23172 \h </w:instrText>
      </w:r>
      <w:r>
        <w:rPr>
          <w:rFonts w:hint="eastAsia" w:ascii="宋体" w:hAnsi="宋体" w:eastAsia="宋体" w:cs="宋体"/>
          <w:sz w:val="21"/>
          <w:szCs w:val="21"/>
        </w:rPr>
        <w:fldChar w:fldCharType="separate"/>
      </w:r>
      <w:r>
        <w:rPr>
          <w:rFonts w:hint="eastAsia" w:ascii="宋体" w:hAnsi="宋体" w:eastAsia="宋体" w:cs="宋体"/>
          <w:sz w:val="21"/>
          <w:szCs w:val="21"/>
        </w:rPr>
        <w:t>39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93D07A5">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_Toc30806 </w:instrText>
      </w:r>
      <w:r>
        <w:rPr>
          <w:rFonts w:hint="eastAsia" w:ascii="宋体" w:hAnsi="宋体" w:eastAsia="宋体" w:cs="宋体"/>
          <w:sz w:val="21"/>
          <w:szCs w:val="21"/>
          <w:highlight w:val="none"/>
        </w:rPr>
        <w:fldChar w:fldCharType="separate"/>
      </w:r>
      <w:r>
        <w:rPr>
          <w:rFonts w:hint="eastAsia" w:ascii="宋体" w:hAnsi="宋体" w:eastAsia="宋体" w:cs="宋体"/>
          <w:bCs/>
          <w:kern w:val="2"/>
          <w:sz w:val="21"/>
          <w:szCs w:val="21"/>
          <w:highlight w:val="none"/>
          <w:lang w:val="en-US" w:eastAsia="zh-CN"/>
        </w:rPr>
        <w:t>七</w:t>
      </w:r>
      <w:r>
        <w:rPr>
          <w:rFonts w:hint="eastAsia" w:ascii="宋体" w:hAnsi="宋体" w:eastAsia="宋体" w:cs="宋体"/>
          <w:bCs/>
          <w:kern w:val="2"/>
          <w:sz w:val="21"/>
          <w:szCs w:val="21"/>
          <w:highlight w:val="none"/>
        </w:rPr>
        <w:t>、特别要求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_Toc30806 \h </w:instrText>
      </w:r>
      <w:r>
        <w:rPr>
          <w:rFonts w:hint="eastAsia" w:ascii="宋体" w:hAnsi="宋体" w:eastAsia="宋体" w:cs="宋体"/>
          <w:sz w:val="21"/>
          <w:szCs w:val="21"/>
        </w:rPr>
        <w:fldChar w:fldCharType="separate"/>
      </w:r>
      <w:r>
        <w:rPr>
          <w:rFonts w:hint="eastAsia" w:ascii="宋体" w:hAnsi="宋体" w:eastAsia="宋体" w:cs="宋体"/>
          <w:sz w:val="21"/>
          <w:szCs w:val="21"/>
        </w:rPr>
        <w:t>40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5385935">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_Toc17745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第四部分投标人须知</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_Toc17745 \h </w:instrText>
      </w:r>
      <w:r>
        <w:rPr>
          <w:rFonts w:hint="eastAsia" w:ascii="宋体" w:hAnsi="宋体" w:eastAsia="宋体" w:cs="宋体"/>
          <w:sz w:val="21"/>
          <w:szCs w:val="21"/>
        </w:rPr>
        <w:fldChar w:fldCharType="separate"/>
      </w:r>
      <w:r>
        <w:rPr>
          <w:rFonts w:hint="eastAsia" w:ascii="宋体" w:hAnsi="宋体" w:eastAsia="宋体" w:cs="宋体"/>
          <w:sz w:val="21"/>
          <w:szCs w:val="21"/>
        </w:rPr>
        <w:t>41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0C3D914">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_Toc31100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一、 </w:t>
      </w:r>
      <w:r>
        <w:rPr>
          <w:rFonts w:hint="eastAsia" w:ascii="宋体" w:hAnsi="宋体" w:eastAsia="宋体" w:cs="宋体"/>
          <w:sz w:val="21"/>
          <w:szCs w:val="21"/>
          <w:highlight w:val="none"/>
        </w:rPr>
        <w:t>说明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_Toc31100 \h </w:instrText>
      </w:r>
      <w:r>
        <w:rPr>
          <w:rFonts w:hint="eastAsia" w:ascii="宋体" w:hAnsi="宋体" w:eastAsia="宋体" w:cs="宋体"/>
          <w:sz w:val="21"/>
          <w:szCs w:val="21"/>
        </w:rPr>
        <w:fldChar w:fldCharType="separate"/>
      </w:r>
      <w:r>
        <w:rPr>
          <w:rFonts w:hint="eastAsia" w:ascii="宋体" w:hAnsi="宋体" w:eastAsia="宋体" w:cs="宋体"/>
          <w:sz w:val="21"/>
          <w:szCs w:val="21"/>
        </w:rPr>
        <w:t>41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1C08D89">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_Toc8275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 </w:t>
      </w:r>
      <w:r>
        <w:rPr>
          <w:rFonts w:hint="eastAsia" w:ascii="宋体" w:hAnsi="宋体" w:eastAsia="宋体" w:cs="宋体"/>
          <w:sz w:val="21"/>
          <w:szCs w:val="21"/>
          <w:highlight w:val="none"/>
        </w:rPr>
        <w:t>适用范围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_Toc8275 \h </w:instrText>
      </w:r>
      <w:r>
        <w:rPr>
          <w:rFonts w:hint="eastAsia" w:ascii="宋体" w:hAnsi="宋体" w:eastAsia="宋体" w:cs="宋体"/>
          <w:sz w:val="21"/>
          <w:szCs w:val="21"/>
        </w:rPr>
        <w:fldChar w:fldCharType="separate"/>
      </w:r>
      <w:r>
        <w:rPr>
          <w:rFonts w:hint="eastAsia" w:ascii="宋体" w:hAnsi="宋体" w:eastAsia="宋体" w:cs="宋体"/>
          <w:sz w:val="21"/>
          <w:szCs w:val="21"/>
        </w:rPr>
        <w:t>41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A5D12B7">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_Toc25528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 </w:t>
      </w:r>
      <w:r>
        <w:rPr>
          <w:rFonts w:hint="eastAsia" w:ascii="宋体" w:hAnsi="宋体" w:eastAsia="宋体" w:cs="宋体"/>
          <w:sz w:val="21"/>
          <w:szCs w:val="21"/>
          <w:highlight w:val="none"/>
        </w:rPr>
        <w:t>定义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_Toc25528 \h </w:instrText>
      </w:r>
      <w:r>
        <w:rPr>
          <w:rFonts w:hint="eastAsia" w:ascii="宋体" w:hAnsi="宋体" w:eastAsia="宋体" w:cs="宋体"/>
          <w:sz w:val="21"/>
          <w:szCs w:val="21"/>
        </w:rPr>
        <w:fldChar w:fldCharType="separate"/>
      </w:r>
      <w:r>
        <w:rPr>
          <w:rFonts w:hint="eastAsia" w:ascii="宋体" w:hAnsi="宋体" w:eastAsia="宋体" w:cs="宋体"/>
          <w:sz w:val="21"/>
          <w:szCs w:val="21"/>
        </w:rPr>
        <w:t>41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494FBFC">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_Toc11261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 </w:t>
      </w:r>
      <w:r>
        <w:rPr>
          <w:rFonts w:hint="eastAsia" w:ascii="宋体" w:hAnsi="宋体" w:eastAsia="宋体" w:cs="宋体"/>
          <w:sz w:val="21"/>
          <w:szCs w:val="21"/>
          <w:highlight w:val="none"/>
        </w:rPr>
        <w:t>货物和服务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_Toc11261 \h </w:instrText>
      </w:r>
      <w:r>
        <w:rPr>
          <w:rFonts w:hint="eastAsia" w:ascii="宋体" w:hAnsi="宋体" w:eastAsia="宋体" w:cs="宋体"/>
          <w:sz w:val="21"/>
          <w:szCs w:val="21"/>
        </w:rPr>
        <w:fldChar w:fldCharType="separate"/>
      </w:r>
      <w:r>
        <w:rPr>
          <w:rFonts w:hint="eastAsia" w:ascii="宋体" w:hAnsi="宋体" w:eastAsia="宋体" w:cs="宋体"/>
          <w:sz w:val="21"/>
          <w:szCs w:val="21"/>
        </w:rPr>
        <w:t>41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95C1348">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_Toc11581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4. </w:t>
      </w:r>
      <w:r>
        <w:rPr>
          <w:rFonts w:hint="eastAsia" w:ascii="宋体" w:hAnsi="宋体" w:eastAsia="宋体" w:cs="宋体"/>
          <w:sz w:val="21"/>
          <w:szCs w:val="21"/>
          <w:highlight w:val="none"/>
        </w:rPr>
        <w:t>投标费用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_Toc11581 \h </w:instrText>
      </w:r>
      <w:r>
        <w:rPr>
          <w:rFonts w:hint="eastAsia" w:ascii="宋体" w:hAnsi="宋体" w:eastAsia="宋体" w:cs="宋体"/>
          <w:sz w:val="21"/>
          <w:szCs w:val="21"/>
        </w:rPr>
        <w:fldChar w:fldCharType="separate"/>
      </w:r>
      <w:r>
        <w:rPr>
          <w:rFonts w:hint="eastAsia" w:ascii="宋体" w:hAnsi="宋体" w:eastAsia="宋体" w:cs="宋体"/>
          <w:sz w:val="21"/>
          <w:szCs w:val="21"/>
        </w:rPr>
        <w:t>41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747F20A">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_Toc9983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5. </w:t>
      </w:r>
      <w:r>
        <w:rPr>
          <w:rFonts w:hint="eastAsia" w:ascii="宋体" w:hAnsi="宋体" w:eastAsia="宋体" w:cs="宋体"/>
          <w:sz w:val="21"/>
          <w:szCs w:val="21"/>
          <w:highlight w:val="none"/>
        </w:rPr>
        <w:t>知识产权</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_Toc9983 \h </w:instrText>
      </w:r>
      <w:r>
        <w:rPr>
          <w:rFonts w:hint="eastAsia" w:ascii="宋体" w:hAnsi="宋体" w:eastAsia="宋体" w:cs="宋体"/>
          <w:sz w:val="21"/>
          <w:szCs w:val="21"/>
        </w:rPr>
        <w:fldChar w:fldCharType="separate"/>
      </w:r>
      <w:r>
        <w:rPr>
          <w:rFonts w:hint="eastAsia" w:ascii="宋体" w:hAnsi="宋体" w:eastAsia="宋体" w:cs="宋体"/>
          <w:sz w:val="21"/>
          <w:szCs w:val="21"/>
        </w:rPr>
        <w:t>42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84061A1">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_Toc24098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6. </w:t>
      </w:r>
      <w:r>
        <w:rPr>
          <w:rFonts w:hint="eastAsia" w:ascii="宋体" w:hAnsi="宋体" w:eastAsia="宋体" w:cs="宋体"/>
          <w:sz w:val="21"/>
          <w:szCs w:val="21"/>
          <w:highlight w:val="none"/>
        </w:rPr>
        <w:t>关于联合体投标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_Toc24098 \h </w:instrText>
      </w:r>
      <w:r>
        <w:rPr>
          <w:rFonts w:hint="eastAsia" w:ascii="宋体" w:hAnsi="宋体" w:eastAsia="宋体" w:cs="宋体"/>
          <w:sz w:val="21"/>
          <w:szCs w:val="21"/>
        </w:rPr>
        <w:fldChar w:fldCharType="separate"/>
      </w:r>
      <w:r>
        <w:rPr>
          <w:rFonts w:hint="eastAsia" w:ascii="宋体" w:hAnsi="宋体" w:eastAsia="宋体" w:cs="宋体"/>
          <w:sz w:val="21"/>
          <w:szCs w:val="21"/>
        </w:rPr>
        <w:t>42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0571D49">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_Toc13489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7. </w:t>
      </w:r>
      <w:r>
        <w:rPr>
          <w:rFonts w:hint="eastAsia" w:ascii="宋体" w:hAnsi="宋体" w:eastAsia="宋体" w:cs="宋体"/>
          <w:sz w:val="21"/>
          <w:szCs w:val="21"/>
          <w:highlight w:val="none"/>
        </w:rPr>
        <w:t>关于分支机构投标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_Toc13489 \h </w:instrText>
      </w:r>
      <w:r>
        <w:rPr>
          <w:rFonts w:hint="eastAsia" w:ascii="宋体" w:hAnsi="宋体" w:eastAsia="宋体" w:cs="宋体"/>
          <w:sz w:val="21"/>
          <w:szCs w:val="21"/>
        </w:rPr>
        <w:fldChar w:fldCharType="separate"/>
      </w:r>
      <w:r>
        <w:rPr>
          <w:rFonts w:hint="eastAsia" w:ascii="宋体" w:hAnsi="宋体" w:eastAsia="宋体" w:cs="宋体"/>
          <w:sz w:val="21"/>
          <w:szCs w:val="21"/>
        </w:rPr>
        <w:t>43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DB15CC3">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_Toc16785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8. </w:t>
      </w:r>
      <w:r>
        <w:rPr>
          <w:rFonts w:hint="eastAsia" w:ascii="宋体" w:hAnsi="宋体" w:eastAsia="宋体" w:cs="宋体"/>
          <w:sz w:val="21"/>
          <w:szCs w:val="21"/>
          <w:highlight w:val="none"/>
        </w:rPr>
        <w:t>踏勘现场</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_Toc16785 \h </w:instrText>
      </w:r>
      <w:r>
        <w:rPr>
          <w:rFonts w:hint="eastAsia" w:ascii="宋体" w:hAnsi="宋体" w:eastAsia="宋体" w:cs="宋体"/>
          <w:sz w:val="21"/>
          <w:szCs w:val="21"/>
        </w:rPr>
        <w:fldChar w:fldCharType="separate"/>
      </w:r>
      <w:r>
        <w:rPr>
          <w:rFonts w:hint="eastAsia" w:ascii="宋体" w:hAnsi="宋体" w:eastAsia="宋体" w:cs="宋体"/>
          <w:sz w:val="21"/>
          <w:szCs w:val="21"/>
        </w:rPr>
        <w:t>43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B7F5B7F">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_Toc7162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二、 </w:t>
      </w:r>
      <w:r>
        <w:rPr>
          <w:rFonts w:hint="eastAsia" w:ascii="宋体" w:hAnsi="宋体" w:eastAsia="宋体" w:cs="宋体"/>
          <w:sz w:val="21"/>
          <w:szCs w:val="21"/>
          <w:highlight w:val="none"/>
        </w:rPr>
        <w:t>采购文件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_Toc7162 \h </w:instrText>
      </w:r>
      <w:r>
        <w:rPr>
          <w:rFonts w:hint="eastAsia" w:ascii="宋体" w:hAnsi="宋体" w:eastAsia="宋体" w:cs="宋体"/>
          <w:sz w:val="21"/>
          <w:szCs w:val="21"/>
        </w:rPr>
        <w:fldChar w:fldCharType="separate"/>
      </w:r>
      <w:r>
        <w:rPr>
          <w:rFonts w:hint="eastAsia" w:ascii="宋体" w:hAnsi="宋体" w:eastAsia="宋体" w:cs="宋体"/>
          <w:sz w:val="21"/>
          <w:szCs w:val="21"/>
        </w:rPr>
        <w:t>43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BC0F3CF">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_Toc12690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9. </w:t>
      </w:r>
      <w:r>
        <w:rPr>
          <w:rFonts w:hint="eastAsia" w:ascii="宋体" w:hAnsi="宋体" w:eastAsia="宋体" w:cs="宋体"/>
          <w:sz w:val="21"/>
          <w:szCs w:val="21"/>
          <w:highlight w:val="none"/>
        </w:rPr>
        <w:t>采购文件的组成</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_Toc12690 \h </w:instrText>
      </w:r>
      <w:r>
        <w:rPr>
          <w:rFonts w:hint="eastAsia" w:ascii="宋体" w:hAnsi="宋体" w:eastAsia="宋体" w:cs="宋体"/>
          <w:sz w:val="21"/>
          <w:szCs w:val="21"/>
        </w:rPr>
        <w:fldChar w:fldCharType="separate"/>
      </w:r>
      <w:r>
        <w:rPr>
          <w:rFonts w:hint="eastAsia" w:ascii="宋体" w:hAnsi="宋体" w:eastAsia="宋体" w:cs="宋体"/>
          <w:sz w:val="21"/>
          <w:szCs w:val="21"/>
        </w:rPr>
        <w:t>43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B055280">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_Toc19071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10. </w:t>
      </w:r>
      <w:r>
        <w:rPr>
          <w:rFonts w:hint="eastAsia" w:ascii="宋体" w:hAnsi="宋体" w:eastAsia="宋体" w:cs="宋体"/>
          <w:sz w:val="21"/>
          <w:szCs w:val="21"/>
          <w:highlight w:val="none"/>
        </w:rPr>
        <w:t>采购文件的澄清或修改</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_Toc19071 \h </w:instrText>
      </w:r>
      <w:r>
        <w:rPr>
          <w:rFonts w:hint="eastAsia" w:ascii="宋体" w:hAnsi="宋体" w:eastAsia="宋体" w:cs="宋体"/>
          <w:sz w:val="21"/>
          <w:szCs w:val="21"/>
        </w:rPr>
        <w:fldChar w:fldCharType="separate"/>
      </w:r>
      <w:r>
        <w:rPr>
          <w:rFonts w:hint="eastAsia" w:ascii="宋体" w:hAnsi="宋体" w:eastAsia="宋体" w:cs="宋体"/>
          <w:sz w:val="21"/>
          <w:szCs w:val="21"/>
        </w:rPr>
        <w:t>43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4EF1135">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_Toc23053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三、 </w:t>
      </w:r>
      <w:r>
        <w:rPr>
          <w:rFonts w:hint="eastAsia" w:ascii="宋体" w:hAnsi="宋体" w:eastAsia="宋体" w:cs="宋体"/>
          <w:sz w:val="21"/>
          <w:szCs w:val="21"/>
          <w:highlight w:val="none"/>
        </w:rPr>
        <w:t>投标文件的编制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_Toc23053 \h </w:instrText>
      </w:r>
      <w:r>
        <w:rPr>
          <w:rFonts w:hint="eastAsia" w:ascii="宋体" w:hAnsi="宋体" w:eastAsia="宋体" w:cs="宋体"/>
          <w:sz w:val="21"/>
          <w:szCs w:val="21"/>
        </w:rPr>
        <w:fldChar w:fldCharType="separate"/>
      </w:r>
      <w:r>
        <w:rPr>
          <w:rFonts w:hint="eastAsia" w:ascii="宋体" w:hAnsi="宋体" w:eastAsia="宋体" w:cs="宋体"/>
          <w:sz w:val="21"/>
          <w:szCs w:val="21"/>
        </w:rPr>
        <w:t>44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64E23B2">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_Toc9742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11. </w:t>
      </w:r>
      <w:r>
        <w:rPr>
          <w:rFonts w:hint="eastAsia" w:ascii="宋体" w:hAnsi="宋体" w:eastAsia="宋体" w:cs="宋体"/>
          <w:sz w:val="21"/>
          <w:szCs w:val="21"/>
          <w:highlight w:val="none"/>
        </w:rPr>
        <w:t>投标文件的语言及度量衡单位</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_Toc9742 \h </w:instrText>
      </w:r>
      <w:r>
        <w:rPr>
          <w:rFonts w:hint="eastAsia" w:ascii="宋体" w:hAnsi="宋体" w:eastAsia="宋体" w:cs="宋体"/>
          <w:sz w:val="21"/>
          <w:szCs w:val="21"/>
        </w:rPr>
        <w:fldChar w:fldCharType="separate"/>
      </w:r>
      <w:r>
        <w:rPr>
          <w:rFonts w:hint="eastAsia" w:ascii="宋体" w:hAnsi="宋体" w:eastAsia="宋体" w:cs="宋体"/>
          <w:sz w:val="21"/>
          <w:szCs w:val="21"/>
        </w:rPr>
        <w:t>44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07A6724">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_Toc29944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12. </w:t>
      </w:r>
      <w:r>
        <w:rPr>
          <w:rFonts w:hint="eastAsia" w:ascii="宋体" w:hAnsi="宋体" w:eastAsia="宋体" w:cs="宋体"/>
          <w:sz w:val="21"/>
          <w:szCs w:val="21"/>
          <w:highlight w:val="none"/>
        </w:rPr>
        <w:t>投标文件的组成</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_Toc29944 \h </w:instrText>
      </w:r>
      <w:r>
        <w:rPr>
          <w:rFonts w:hint="eastAsia" w:ascii="宋体" w:hAnsi="宋体" w:eastAsia="宋体" w:cs="宋体"/>
          <w:sz w:val="21"/>
          <w:szCs w:val="21"/>
        </w:rPr>
        <w:fldChar w:fldCharType="separate"/>
      </w:r>
      <w:r>
        <w:rPr>
          <w:rFonts w:hint="eastAsia" w:ascii="宋体" w:hAnsi="宋体" w:eastAsia="宋体" w:cs="宋体"/>
          <w:sz w:val="21"/>
          <w:szCs w:val="21"/>
        </w:rPr>
        <w:t>44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6D073EC">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_Toc18087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13. </w:t>
      </w:r>
      <w:r>
        <w:rPr>
          <w:rFonts w:hint="eastAsia" w:ascii="宋体" w:hAnsi="宋体" w:eastAsia="宋体" w:cs="宋体"/>
          <w:sz w:val="21"/>
          <w:szCs w:val="21"/>
          <w:highlight w:val="none"/>
        </w:rPr>
        <w:t>投标文件编制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_Toc18087 \h </w:instrText>
      </w:r>
      <w:r>
        <w:rPr>
          <w:rFonts w:hint="eastAsia" w:ascii="宋体" w:hAnsi="宋体" w:eastAsia="宋体" w:cs="宋体"/>
          <w:sz w:val="21"/>
          <w:szCs w:val="21"/>
        </w:rPr>
        <w:fldChar w:fldCharType="separate"/>
      </w:r>
      <w:r>
        <w:rPr>
          <w:rFonts w:hint="eastAsia" w:ascii="宋体" w:hAnsi="宋体" w:eastAsia="宋体" w:cs="宋体"/>
          <w:sz w:val="21"/>
          <w:szCs w:val="21"/>
        </w:rPr>
        <w:t>44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C54532B">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_Toc20678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14. </w:t>
      </w:r>
      <w:r>
        <w:rPr>
          <w:rFonts w:hint="eastAsia" w:ascii="宋体" w:hAnsi="宋体" w:eastAsia="宋体" w:cs="宋体"/>
          <w:sz w:val="21"/>
          <w:szCs w:val="21"/>
          <w:highlight w:val="none"/>
        </w:rPr>
        <w:t>投标报价说明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_Toc20678 \h </w:instrText>
      </w:r>
      <w:r>
        <w:rPr>
          <w:rFonts w:hint="eastAsia" w:ascii="宋体" w:hAnsi="宋体" w:eastAsia="宋体" w:cs="宋体"/>
          <w:sz w:val="21"/>
          <w:szCs w:val="21"/>
        </w:rPr>
        <w:fldChar w:fldCharType="separate"/>
      </w:r>
      <w:r>
        <w:rPr>
          <w:rFonts w:hint="eastAsia" w:ascii="宋体" w:hAnsi="宋体" w:eastAsia="宋体" w:cs="宋体"/>
          <w:sz w:val="21"/>
          <w:szCs w:val="21"/>
        </w:rPr>
        <w:t>45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A133A36">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_Toc17812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15. </w:t>
      </w:r>
      <w:r>
        <w:rPr>
          <w:rFonts w:hint="eastAsia" w:ascii="宋体" w:hAnsi="宋体" w:eastAsia="宋体" w:cs="宋体"/>
          <w:sz w:val="21"/>
          <w:szCs w:val="21"/>
          <w:highlight w:val="none"/>
        </w:rPr>
        <w:t>投标人所提供的服务或货物的证明文件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_Toc17812 \h </w:instrText>
      </w:r>
      <w:r>
        <w:rPr>
          <w:rFonts w:hint="eastAsia" w:ascii="宋体" w:hAnsi="宋体" w:eastAsia="宋体" w:cs="宋体"/>
          <w:sz w:val="21"/>
          <w:szCs w:val="21"/>
        </w:rPr>
        <w:fldChar w:fldCharType="separate"/>
      </w:r>
      <w:r>
        <w:rPr>
          <w:rFonts w:hint="eastAsia" w:ascii="宋体" w:hAnsi="宋体" w:eastAsia="宋体" w:cs="宋体"/>
          <w:sz w:val="21"/>
          <w:szCs w:val="21"/>
        </w:rPr>
        <w:t>45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101A50E">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_Toc15258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16. </w:t>
      </w:r>
      <w:r>
        <w:rPr>
          <w:rFonts w:hint="eastAsia" w:ascii="宋体" w:hAnsi="宋体" w:eastAsia="宋体" w:cs="宋体"/>
          <w:sz w:val="21"/>
          <w:szCs w:val="21"/>
          <w:highlight w:val="none"/>
        </w:rPr>
        <w:t>投标有效期</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_Toc15258 \h </w:instrText>
      </w:r>
      <w:r>
        <w:rPr>
          <w:rFonts w:hint="eastAsia" w:ascii="宋体" w:hAnsi="宋体" w:eastAsia="宋体" w:cs="宋体"/>
          <w:sz w:val="21"/>
          <w:szCs w:val="21"/>
        </w:rPr>
        <w:fldChar w:fldCharType="separate"/>
      </w:r>
      <w:r>
        <w:rPr>
          <w:rFonts w:hint="eastAsia" w:ascii="宋体" w:hAnsi="宋体" w:eastAsia="宋体" w:cs="宋体"/>
          <w:sz w:val="21"/>
          <w:szCs w:val="21"/>
        </w:rPr>
        <w:t>45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91241CF">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_Toc29288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17. </w:t>
      </w:r>
      <w:r>
        <w:rPr>
          <w:rFonts w:hint="eastAsia" w:ascii="宋体" w:hAnsi="宋体" w:eastAsia="宋体" w:cs="宋体"/>
          <w:sz w:val="21"/>
          <w:szCs w:val="21"/>
          <w:highlight w:val="none"/>
        </w:rPr>
        <w:t>投标保证金</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_Toc29288 \h </w:instrText>
      </w:r>
      <w:r>
        <w:rPr>
          <w:rFonts w:hint="eastAsia" w:ascii="宋体" w:hAnsi="宋体" w:eastAsia="宋体" w:cs="宋体"/>
          <w:sz w:val="21"/>
          <w:szCs w:val="21"/>
        </w:rPr>
        <w:fldChar w:fldCharType="separate"/>
      </w:r>
      <w:r>
        <w:rPr>
          <w:rFonts w:hint="eastAsia" w:ascii="宋体" w:hAnsi="宋体" w:eastAsia="宋体" w:cs="宋体"/>
          <w:sz w:val="21"/>
          <w:szCs w:val="21"/>
        </w:rPr>
        <w:t>45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97A1997">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四、 </w:t>
      </w:r>
      <w:r>
        <w:rPr>
          <w:rFonts w:hint="eastAsia" w:ascii="宋体" w:hAnsi="宋体" w:eastAsia="宋体" w:cs="宋体"/>
          <w:sz w:val="21"/>
          <w:szCs w:val="21"/>
          <w:highlight w:val="none"/>
        </w:rPr>
        <w:t>投标文件的递交</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_Toc204 \h </w:instrText>
      </w:r>
      <w:r>
        <w:rPr>
          <w:rFonts w:hint="eastAsia" w:ascii="宋体" w:hAnsi="宋体" w:eastAsia="宋体" w:cs="宋体"/>
          <w:sz w:val="21"/>
          <w:szCs w:val="21"/>
        </w:rPr>
        <w:fldChar w:fldCharType="separate"/>
      </w:r>
      <w:r>
        <w:rPr>
          <w:rFonts w:hint="eastAsia" w:ascii="宋体" w:hAnsi="宋体" w:eastAsia="宋体" w:cs="宋体"/>
          <w:sz w:val="21"/>
          <w:szCs w:val="21"/>
        </w:rPr>
        <w:t>46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DF285C7">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_Toc1254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18. </w:t>
      </w:r>
      <w:r>
        <w:rPr>
          <w:rFonts w:hint="eastAsia" w:ascii="宋体" w:hAnsi="宋体" w:eastAsia="宋体" w:cs="宋体"/>
          <w:sz w:val="21"/>
          <w:szCs w:val="21"/>
          <w:highlight w:val="none"/>
        </w:rPr>
        <w:t>投标文件的装订，签署，密封和标记</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_Toc1254 \h </w:instrText>
      </w:r>
      <w:r>
        <w:rPr>
          <w:rFonts w:hint="eastAsia" w:ascii="宋体" w:hAnsi="宋体" w:eastAsia="宋体" w:cs="宋体"/>
          <w:sz w:val="21"/>
          <w:szCs w:val="21"/>
        </w:rPr>
        <w:fldChar w:fldCharType="separate"/>
      </w:r>
      <w:r>
        <w:rPr>
          <w:rFonts w:hint="eastAsia" w:ascii="宋体" w:hAnsi="宋体" w:eastAsia="宋体" w:cs="宋体"/>
          <w:sz w:val="21"/>
          <w:szCs w:val="21"/>
        </w:rPr>
        <w:t>46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C7CB2C3">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_Toc21431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19. </w:t>
      </w:r>
      <w:r>
        <w:rPr>
          <w:rFonts w:hint="eastAsia" w:ascii="宋体" w:hAnsi="宋体" w:eastAsia="宋体" w:cs="宋体"/>
          <w:sz w:val="21"/>
          <w:szCs w:val="21"/>
          <w:highlight w:val="none"/>
        </w:rPr>
        <w:t>迟交的投标文件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_Toc21431 \h </w:instrText>
      </w:r>
      <w:r>
        <w:rPr>
          <w:rFonts w:hint="eastAsia" w:ascii="宋体" w:hAnsi="宋体" w:eastAsia="宋体" w:cs="宋体"/>
          <w:sz w:val="21"/>
          <w:szCs w:val="21"/>
        </w:rPr>
        <w:fldChar w:fldCharType="separate"/>
      </w:r>
      <w:r>
        <w:rPr>
          <w:rFonts w:hint="eastAsia" w:ascii="宋体" w:hAnsi="宋体" w:eastAsia="宋体" w:cs="宋体"/>
          <w:sz w:val="21"/>
          <w:szCs w:val="21"/>
        </w:rPr>
        <w:t>47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1060C31">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_Toc23318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20. </w:t>
      </w:r>
      <w:r>
        <w:rPr>
          <w:rFonts w:hint="eastAsia" w:ascii="宋体" w:hAnsi="宋体" w:eastAsia="宋体" w:cs="宋体"/>
          <w:sz w:val="21"/>
          <w:szCs w:val="21"/>
          <w:highlight w:val="none"/>
        </w:rPr>
        <w:t>投标样品（如需提交）</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_Toc23318 \h </w:instrText>
      </w:r>
      <w:r>
        <w:rPr>
          <w:rFonts w:hint="eastAsia" w:ascii="宋体" w:hAnsi="宋体" w:eastAsia="宋体" w:cs="宋体"/>
          <w:sz w:val="21"/>
          <w:szCs w:val="21"/>
        </w:rPr>
        <w:fldChar w:fldCharType="separate"/>
      </w:r>
      <w:r>
        <w:rPr>
          <w:rFonts w:hint="eastAsia" w:ascii="宋体" w:hAnsi="宋体" w:eastAsia="宋体" w:cs="宋体"/>
          <w:sz w:val="21"/>
          <w:szCs w:val="21"/>
        </w:rPr>
        <w:t>48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8454562">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_Toc6644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21. </w:t>
      </w:r>
      <w:r>
        <w:rPr>
          <w:rFonts w:hint="eastAsia" w:ascii="宋体" w:hAnsi="宋体" w:eastAsia="宋体" w:cs="宋体"/>
          <w:sz w:val="21"/>
          <w:szCs w:val="21"/>
          <w:highlight w:val="none"/>
        </w:rPr>
        <w:t>投标截止期</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_Toc6644 \h </w:instrText>
      </w:r>
      <w:r>
        <w:rPr>
          <w:rFonts w:hint="eastAsia" w:ascii="宋体" w:hAnsi="宋体" w:eastAsia="宋体" w:cs="宋体"/>
          <w:sz w:val="21"/>
          <w:szCs w:val="21"/>
        </w:rPr>
        <w:fldChar w:fldCharType="separate"/>
      </w:r>
      <w:r>
        <w:rPr>
          <w:rFonts w:hint="eastAsia" w:ascii="宋体" w:hAnsi="宋体" w:eastAsia="宋体" w:cs="宋体"/>
          <w:sz w:val="21"/>
          <w:szCs w:val="21"/>
        </w:rPr>
        <w:t>48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6CE6E1C">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_Toc3351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22. </w:t>
      </w:r>
      <w:r>
        <w:rPr>
          <w:rFonts w:hint="eastAsia" w:ascii="宋体" w:hAnsi="宋体" w:eastAsia="宋体" w:cs="宋体"/>
          <w:sz w:val="21"/>
          <w:szCs w:val="21"/>
          <w:highlight w:val="none"/>
        </w:rPr>
        <w:t>投标文件的补充、修改与撤回</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_Toc3351 \h </w:instrText>
      </w:r>
      <w:r>
        <w:rPr>
          <w:rFonts w:hint="eastAsia" w:ascii="宋体" w:hAnsi="宋体" w:eastAsia="宋体" w:cs="宋体"/>
          <w:sz w:val="21"/>
          <w:szCs w:val="21"/>
        </w:rPr>
        <w:fldChar w:fldCharType="separate"/>
      </w:r>
      <w:r>
        <w:rPr>
          <w:rFonts w:hint="eastAsia" w:ascii="宋体" w:hAnsi="宋体" w:eastAsia="宋体" w:cs="宋体"/>
          <w:sz w:val="21"/>
          <w:szCs w:val="21"/>
        </w:rPr>
        <w:t>48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2BA742D">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_Toc22634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五、 </w:t>
      </w:r>
      <w:r>
        <w:rPr>
          <w:rFonts w:hint="eastAsia" w:ascii="宋体" w:hAnsi="宋体" w:eastAsia="宋体" w:cs="宋体"/>
          <w:sz w:val="21"/>
          <w:szCs w:val="21"/>
          <w:highlight w:val="none"/>
        </w:rPr>
        <w:t>开标与评标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_Toc22634 \h </w:instrText>
      </w:r>
      <w:r>
        <w:rPr>
          <w:rFonts w:hint="eastAsia" w:ascii="宋体" w:hAnsi="宋体" w:eastAsia="宋体" w:cs="宋体"/>
          <w:sz w:val="21"/>
          <w:szCs w:val="21"/>
        </w:rPr>
        <w:fldChar w:fldCharType="separate"/>
      </w:r>
      <w:r>
        <w:rPr>
          <w:rFonts w:hint="eastAsia" w:ascii="宋体" w:hAnsi="宋体" w:eastAsia="宋体" w:cs="宋体"/>
          <w:sz w:val="21"/>
          <w:szCs w:val="21"/>
        </w:rPr>
        <w:t>48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E6E463D">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_Toc11373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23. </w:t>
      </w:r>
      <w:r>
        <w:rPr>
          <w:rFonts w:hint="eastAsia" w:ascii="宋体" w:hAnsi="宋体" w:eastAsia="宋体" w:cs="宋体"/>
          <w:sz w:val="21"/>
          <w:szCs w:val="21"/>
          <w:highlight w:val="none"/>
        </w:rPr>
        <w:t>开标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_Toc11373 \h </w:instrText>
      </w:r>
      <w:r>
        <w:rPr>
          <w:rFonts w:hint="eastAsia" w:ascii="宋体" w:hAnsi="宋体" w:eastAsia="宋体" w:cs="宋体"/>
          <w:sz w:val="21"/>
          <w:szCs w:val="21"/>
        </w:rPr>
        <w:fldChar w:fldCharType="separate"/>
      </w:r>
      <w:r>
        <w:rPr>
          <w:rFonts w:hint="eastAsia" w:ascii="宋体" w:hAnsi="宋体" w:eastAsia="宋体" w:cs="宋体"/>
          <w:sz w:val="21"/>
          <w:szCs w:val="21"/>
        </w:rPr>
        <w:t>48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C4A4B57">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_Toc25051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24. </w:t>
      </w:r>
      <w:r>
        <w:rPr>
          <w:rFonts w:hint="eastAsia" w:ascii="宋体" w:hAnsi="宋体" w:eastAsia="宋体" w:cs="宋体"/>
          <w:sz w:val="21"/>
          <w:szCs w:val="21"/>
          <w:highlight w:val="none"/>
        </w:rPr>
        <w:t>评标委员会及评标方法</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_Toc25051 \h </w:instrText>
      </w:r>
      <w:r>
        <w:rPr>
          <w:rFonts w:hint="eastAsia" w:ascii="宋体" w:hAnsi="宋体" w:eastAsia="宋体" w:cs="宋体"/>
          <w:sz w:val="21"/>
          <w:szCs w:val="21"/>
        </w:rPr>
        <w:fldChar w:fldCharType="separate"/>
      </w:r>
      <w:r>
        <w:rPr>
          <w:rFonts w:hint="eastAsia" w:ascii="宋体" w:hAnsi="宋体" w:eastAsia="宋体" w:cs="宋体"/>
          <w:sz w:val="21"/>
          <w:szCs w:val="21"/>
        </w:rPr>
        <w:t>49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4B85399">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_Toc29409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25. </w:t>
      </w:r>
      <w:r>
        <w:rPr>
          <w:rFonts w:hint="eastAsia" w:ascii="宋体" w:hAnsi="宋体" w:eastAsia="宋体" w:cs="宋体"/>
          <w:sz w:val="21"/>
          <w:szCs w:val="21"/>
          <w:highlight w:val="none"/>
        </w:rPr>
        <w:t>评审原则及评标过程的保密</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_Toc29409 \h </w:instrText>
      </w:r>
      <w:r>
        <w:rPr>
          <w:rFonts w:hint="eastAsia" w:ascii="宋体" w:hAnsi="宋体" w:eastAsia="宋体" w:cs="宋体"/>
          <w:sz w:val="21"/>
          <w:szCs w:val="21"/>
        </w:rPr>
        <w:fldChar w:fldCharType="separate"/>
      </w:r>
      <w:r>
        <w:rPr>
          <w:rFonts w:hint="eastAsia" w:ascii="宋体" w:hAnsi="宋体" w:eastAsia="宋体" w:cs="宋体"/>
          <w:sz w:val="21"/>
          <w:szCs w:val="21"/>
        </w:rPr>
        <w:t>49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BB9336A">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_Toc6866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26. </w:t>
      </w:r>
      <w:r>
        <w:rPr>
          <w:rFonts w:hint="eastAsia" w:ascii="宋体" w:hAnsi="宋体" w:eastAsia="宋体" w:cs="宋体"/>
          <w:sz w:val="21"/>
          <w:szCs w:val="21"/>
          <w:highlight w:val="none"/>
        </w:rPr>
        <w:t>评标程序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_Toc6866 \h </w:instrText>
      </w:r>
      <w:r>
        <w:rPr>
          <w:rFonts w:hint="eastAsia" w:ascii="宋体" w:hAnsi="宋体" w:eastAsia="宋体" w:cs="宋体"/>
          <w:sz w:val="21"/>
          <w:szCs w:val="21"/>
        </w:rPr>
        <w:fldChar w:fldCharType="separate"/>
      </w:r>
      <w:r>
        <w:rPr>
          <w:rFonts w:hint="eastAsia" w:ascii="宋体" w:hAnsi="宋体" w:eastAsia="宋体" w:cs="宋体"/>
          <w:sz w:val="21"/>
          <w:szCs w:val="21"/>
        </w:rPr>
        <w:t>50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C463AD3">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_Toc1317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27. </w:t>
      </w:r>
      <w:r>
        <w:rPr>
          <w:rFonts w:hint="eastAsia" w:ascii="宋体" w:hAnsi="宋体" w:eastAsia="宋体" w:cs="宋体"/>
          <w:sz w:val="21"/>
          <w:szCs w:val="21"/>
          <w:highlight w:val="none"/>
        </w:rPr>
        <w:t>商务、技术、价格评审（具体评审项目详见投标资料表）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_Toc1317 \h </w:instrText>
      </w:r>
      <w:r>
        <w:rPr>
          <w:rFonts w:hint="eastAsia" w:ascii="宋体" w:hAnsi="宋体" w:eastAsia="宋体" w:cs="宋体"/>
          <w:sz w:val="21"/>
          <w:szCs w:val="21"/>
        </w:rPr>
        <w:fldChar w:fldCharType="separate"/>
      </w:r>
      <w:r>
        <w:rPr>
          <w:rFonts w:hint="eastAsia"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6D459BD">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_Toc1575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28. </w:t>
      </w:r>
      <w:r>
        <w:rPr>
          <w:rFonts w:hint="eastAsia" w:ascii="宋体" w:hAnsi="宋体" w:eastAsia="宋体" w:cs="宋体"/>
          <w:sz w:val="21"/>
          <w:szCs w:val="21"/>
          <w:highlight w:val="none"/>
        </w:rPr>
        <w:t>纪律和保密事项</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_Toc1575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53B5C93">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_Toc20446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六、 </w:t>
      </w:r>
      <w:r>
        <w:rPr>
          <w:rFonts w:hint="eastAsia" w:ascii="宋体" w:hAnsi="宋体" w:eastAsia="宋体" w:cs="宋体"/>
          <w:sz w:val="21"/>
          <w:szCs w:val="21"/>
          <w:highlight w:val="none"/>
        </w:rPr>
        <w:t>授予合同</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_Toc20446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8333A87">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_Toc9840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29. </w:t>
      </w:r>
      <w:r>
        <w:rPr>
          <w:rFonts w:hint="eastAsia" w:ascii="宋体" w:hAnsi="宋体" w:eastAsia="宋体" w:cs="宋体"/>
          <w:sz w:val="21"/>
          <w:szCs w:val="21"/>
          <w:highlight w:val="none"/>
        </w:rPr>
        <w:t>合同授予标准</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_Toc9840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3F32283">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_Toc31174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30. </w:t>
      </w:r>
      <w:r>
        <w:rPr>
          <w:rFonts w:hint="eastAsia" w:ascii="宋体" w:hAnsi="宋体" w:eastAsia="宋体" w:cs="宋体"/>
          <w:sz w:val="21"/>
          <w:szCs w:val="21"/>
          <w:highlight w:val="none"/>
        </w:rPr>
        <w:t>发布中标结果</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_Toc31174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3B981CC">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_Toc25616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31. </w:t>
      </w:r>
      <w:r>
        <w:rPr>
          <w:rFonts w:hint="eastAsia" w:ascii="宋体" w:hAnsi="宋体" w:eastAsia="宋体" w:cs="宋体"/>
          <w:sz w:val="21"/>
          <w:szCs w:val="21"/>
          <w:highlight w:val="none"/>
        </w:rPr>
        <w:t>资格后审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_Toc25616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657C377">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_Toc31739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32. </w:t>
      </w:r>
      <w:r>
        <w:rPr>
          <w:rFonts w:hint="eastAsia" w:ascii="宋体" w:hAnsi="宋体" w:eastAsia="宋体" w:cs="宋体"/>
          <w:sz w:val="21"/>
          <w:szCs w:val="21"/>
          <w:highlight w:val="none"/>
        </w:rPr>
        <w:t>合同的签订与履行</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_Toc31739 \h </w:instrText>
      </w:r>
      <w:r>
        <w:rPr>
          <w:rFonts w:hint="eastAsia" w:ascii="宋体" w:hAnsi="宋体" w:eastAsia="宋体" w:cs="宋体"/>
          <w:sz w:val="21"/>
          <w:szCs w:val="21"/>
        </w:rPr>
        <w:fldChar w:fldCharType="separate"/>
      </w:r>
      <w:r>
        <w:rPr>
          <w:rFonts w:hint="eastAsia" w:ascii="宋体" w:hAnsi="宋体" w:eastAsia="宋体" w:cs="宋体"/>
          <w:sz w:val="21"/>
          <w:szCs w:val="21"/>
        </w:rPr>
        <w:t>53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CC2F08B">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_Toc25808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33. </w:t>
      </w:r>
      <w:r>
        <w:rPr>
          <w:rFonts w:hint="eastAsia" w:ascii="宋体" w:hAnsi="宋体" w:eastAsia="宋体" w:cs="宋体"/>
          <w:sz w:val="21"/>
          <w:szCs w:val="21"/>
          <w:highlight w:val="none"/>
        </w:rPr>
        <w:t>履约担保</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_Toc25808 \h </w:instrText>
      </w:r>
      <w:r>
        <w:rPr>
          <w:rFonts w:hint="eastAsia" w:ascii="宋体" w:hAnsi="宋体" w:eastAsia="宋体" w:cs="宋体"/>
          <w:sz w:val="21"/>
          <w:szCs w:val="21"/>
        </w:rPr>
        <w:fldChar w:fldCharType="separate"/>
      </w:r>
      <w:r>
        <w:rPr>
          <w:rFonts w:hint="eastAsia" w:ascii="宋体" w:hAnsi="宋体" w:eastAsia="宋体" w:cs="宋体"/>
          <w:sz w:val="21"/>
          <w:szCs w:val="21"/>
        </w:rPr>
        <w:t>53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B373E14">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_Toc14782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34. </w:t>
      </w:r>
      <w:r>
        <w:rPr>
          <w:rFonts w:hint="eastAsia" w:ascii="宋体" w:hAnsi="宋体" w:eastAsia="宋体" w:cs="宋体"/>
          <w:sz w:val="21"/>
          <w:szCs w:val="21"/>
          <w:highlight w:val="none"/>
        </w:rPr>
        <w:t>预付款保函（适用于预付款支付）</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_Toc14782 \h </w:instrText>
      </w:r>
      <w:r>
        <w:rPr>
          <w:rFonts w:hint="eastAsia" w:ascii="宋体" w:hAnsi="宋体" w:eastAsia="宋体" w:cs="宋体"/>
          <w:sz w:val="21"/>
          <w:szCs w:val="21"/>
        </w:rPr>
        <w:fldChar w:fldCharType="separate"/>
      </w:r>
      <w:r>
        <w:rPr>
          <w:rFonts w:hint="eastAsia"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CAC48D2">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_Toc26912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七、 </w:t>
      </w:r>
      <w:r>
        <w:rPr>
          <w:rFonts w:hint="eastAsia" w:ascii="宋体" w:hAnsi="宋体" w:eastAsia="宋体" w:cs="宋体"/>
          <w:sz w:val="21"/>
          <w:szCs w:val="21"/>
          <w:highlight w:val="none"/>
        </w:rPr>
        <w:t>异议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_Toc26912 \h </w:instrText>
      </w:r>
      <w:r>
        <w:rPr>
          <w:rFonts w:hint="eastAsia" w:ascii="宋体" w:hAnsi="宋体" w:eastAsia="宋体" w:cs="宋体"/>
          <w:sz w:val="21"/>
          <w:szCs w:val="21"/>
        </w:rPr>
        <w:fldChar w:fldCharType="separate"/>
      </w:r>
      <w:r>
        <w:rPr>
          <w:rFonts w:hint="eastAsia" w:ascii="宋体" w:hAnsi="宋体" w:eastAsia="宋体" w:cs="宋体"/>
          <w:sz w:val="21"/>
          <w:szCs w:val="21"/>
        </w:rPr>
        <w:t>55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474518A">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_Toc31531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35. </w:t>
      </w:r>
      <w:r>
        <w:rPr>
          <w:rFonts w:hint="eastAsia" w:ascii="宋体" w:hAnsi="宋体" w:eastAsia="宋体" w:cs="宋体"/>
          <w:sz w:val="21"/>
          <w:szCs w:val="21"/>
          <w:highlight w:val="none"/>
        </w:rPr>
        <w:t>异议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_Toc31531 \h </w:instrText>
      </w:r>
      <w:r>
        <w:rPr>
          <w:rFonts w:hint="eastAsia" w:ascii="宋体" w:hAnsi="宋体" w:eastAsia="宋体" w:cs="宋体"/>
          <w:sz w:val="21"/>
          <w:szCs w:val="21"/>
        </w:rPr>
        <w:fldChar w:fldCharType="separate"/>
      </w:r>
      <w:r>
        <w:rPr>
          <w:rFonts w:hint="eastAsia" w:ascii="宋体" w:hAnsi="宋体" w:eastAsia="宋体" w:cs="宋体"/>
          <w:sz w:val="21"/>
          <w:szCs w:val="21"/>
        </w:rPr>
        <w:t>55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DDAE60F">
      <w:pPr>
        <w:pStyle w:val="1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_Toc9324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八、 </w:t>
      </w:r>
      <w:r>
        <w:rPr>
          <w:rFonts w:hint="eastAsia" w:ascii="宋体" w:hAnsi="宋体" w:eastAsia="宋体" w:cs="宋体"/>
          <w:sz w:val="21"/>
          <w:szCs w:val="21"/>
          <w:highlight w:val="none"/>
        </w:rPr>
        <w:t>其他</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_Toc9324 \h </w:instrText>
      </w:r>
      <w:r>
        <w:rPr>
          <w:rFonts w:hint="eastAsia" w:ascii="宋体" w:hAnsi="宋体" w:eastAsia="宋体" w:cs="宋体"/>
          <w:sz w:val="21"/>
          <w:szCs w:val="21"/>
        </w:rPr>
        <w:fldChar w:fldCharType="separate"/>
      </w:r>
      <w:r>
        <w:rPr>
          <w:rFonts w:hint="eastAsia" w:ascii="宋体" w:hAnsi="宋体" w:eastAsia="宋体" w:cs="宋体"/>
          <w:sz w:val="21"/>
          <w:szCs w:val="21"/>
        </w:rPr>
        <w:t>55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FE9C985">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_Toc2737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36. </w:t>
      </w:r>
      <w:r>
        <w:rPr>
          <w:rFonts w:hint="eastAsia" w:ascii="宋体" w:hAnsi="宋体" w:eastAsia="宋体" w:cs="宋体"/>
          <w:sz w:val="21"/>
          <w:szCs w:val="21"/>
          <w:highlight w:val="none"/>
        </w:rPr>
        <w:t>采购文件的解释权</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_Toc2737 \h </w:instrText>
      </w:r>
      <w:r>
        <w:rPr>
          <w:rFonts w:hint="eastAsia" w:ascii="宋体" w:hAnsi="宋体" w:eastAsia="宋体" w:cs="宋体"/>
          <w:sz w:val="21"/>
          <w:szCs w:val="21"/>
        </w:rPr>
        <w:fldChar w:fldCharType="separate"/>
      </w:r>
      <w:r>
        <w:rPr>
          <w:rFonts w:hint="eastAsia" w:ascii="宋体" w:hAnsi="宋体" w:eastAsia="宋体" w:cs="宋体"/>
          <w:sz w:val="21"/>
          <w:szCs w:val="21"/>
        </w:rPr>
        <w:t>55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3401179">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_Toc28982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第五部分  合同条款格式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_Toc28982 \h </w:instrText>
      </w:r>
      <w:r>
        <w:rPr>
          <w:rFonts w:hint="eastAsia" w:ascii="宋体" w:hAnsi="宋体" w:eastAsia="宋体" w:cs="宋体"/>
          <w:sz w:val="21"/>
          <w:szCs w:val="21"/>
        </w:rPr>
        <w:fldChar w:fldCharType="separate"/>
      </w:r>
      <w:r>
        <w:rPr>
          <w:rFonts w:hint="eastAsia" w:ascii="宋体" w:hAnsi="宋体" w:eastAsia="宋体" w:cs="宋体"/>
          <w:sz w:val="21"/>
          <w:szCs w:val="21"/>
        </w:rPr>
        <w:t>56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58D618A">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_Toc17873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第六部分</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投标文件格式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_Toc17873 \h </w:instrText>
      </w:r>
      <w:r>
        <w:rPr>
          <w:rFonts w:hint="eastAsia" w:ascii="宋体" w:hAnsi="宋体" w:eastAsia="宋体" w:cs="宋体"/>
          <w:sz w:val="21"/>
          <w:szCs w:val="21"/>
        </w:rPr>
        <w:fldChar w:fldCharType="separate"/>
      </w:r>
      <w:r>
        <w:rPr>
          <w:rFonts w:hint="eastAsia" w:ascii="宋体" w:hAnsi="宋体" w:eastAsia="宋体" w:cs="宋体"/>
          <w:sz w:val="21"/>
          <w:szCs w:val="21"/>
        </w:rPr>
        <w:t>99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AE68DC3">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_Toc16031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价格文件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_Toc16031 \h </w:instrText>
      </w:r>
      <w:r>
        <w:rPr>
          <w:rFonts w:hint="eastAsia" w:ascii="宋体" w:hAnsi="宋体" w:eastAsia="宋体" w:cs="宋体"/>
          <w:sz w:val="21"/>
          <w:szCs w:val="21"/>
        </w:rPr>
        <w:fldChar w:fldCharType="separate"/>
      </w:r>
      <w:r>
        <w:rPr>
          <w:rFonts w:hint="eastAsia" w:ascii="宋体" w:hAnsi="宋体" w:eastAsia="宋体" w:cs="宋体"/>
          <w:sz w:val="21"/>
          <w:szCs w:val="21"/>
        </w:rPr>
        <w:t>101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2DE95BC">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_Toc6643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.开标一览表格式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_Toc6643 \h </w:instrText>
      </w:r>
      <w:r>
        <w:rPr>
          <w:rFonts w:hint="eastAsia" w:ascii="宋体" w:hAnsi="宋体" w:eastAsia="宋体" w:cs="宋体"/>
          <w:sz w:val="21"/>
          <w:szCs w:val="21"/>
        </w:rPr>
        <w:fldChar w:fldCharType="separate"/>
      </w:r>
      <w:r>
        <w:rPr>
          <w:rFonts w:hint="eastAsia" w:ascii="宋体" w:hAnsi="宋体" w:eastAsia="宋体" w:cs="宋体"/>
          <w:sz w:val="21"/>
          <w:szCs w:val="21"/>
        </w:rPr>
        <w:t>102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2A6A401">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_Toc1261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2.主要设备品牌响应表格式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_Toc1261 \h </w:instrText>
      </w:r>
      <w:r>
        <w:rPr>
          <w:rFonts w:hint="eastAsia" w:ascii="宋体" w:hAnsi="宋体" w:eastAsia="宋体" w:cs="宋体"/>
          <w:sz w:val="21"/>
          <w:szCs w:val="21"/>
        </w:rPr>
        <w:fldChar w:fldCharType="separate"/>
      </w:r>
      <w:r>
        <w:rPr>
          <w:rFonts w:hint="eastAsia" w:ascii="宋体" w:hAnsi="宋体" w:eastAsia="宋体" w:cs="宋体"/>
          <w:sz w:val="21"/>
          <w:szCs w:val="21"/>
        </w:rPr>
        <w:t>103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45148E1">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_Toc8843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.报价明细表格式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_Toc8843 \h </w:instrText>
      </w:r>
      <w:r>
        <w:rPr>
          <w:rFonts w:hint="eastAsia" w:ascii="宋体" w:hAnsi="宋体" w:eastAsia="宋体" w:cs="宋体"/>
          <w:sz w:val="21"/>
          <w:szCs w:val="21"/>
        </w:rPr>
        <w:fldChar w:fldCharType="separate"/>
      </w:r>
      <w:r>
        <w:rPr>
          <w:rFonts w:hint="eastAsia" w:ascii="宋体" w:hAnsi="宋体" w:eastAsia="宋体" w:cs="宋体"/>
          <w:sz w:val="21"/>
          <w:szCs w:val="21"/>
        </w:rPr>
        <w:t>104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4593151">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_Toc28092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商务文件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_Toc28092 \h </w:instrText>
      </w:r>
      <w:r>
        <w:rPr>
          <w:rFonts w:hint="eastAsia" w:ascii="宋体" w:hAnsi="宋体" w:eastAsia="宋体" w:cs="宋体"/>
          <w:sz w:val="21"/>
          <w:szCs w:val="21"/>
        </w:rPr>
        <w:fldChar w:fldCharType="separate"/>
      </w:r>
      <w:r>
        <w:rPr>
          <w:rFonts w:hint="eastAsia" w:ascii="宋体" w:hAnsi="宋体" w:eastAsia="宋体" w:cs="宋体"/>
          <w:sz w:val="21"/>
          <w:szCs w:val="21"/>
        </w:rPr>
        <w:t>105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44BF73C">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_Toc8439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.商务评分标准索引表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_Toc8439 \h </w:instrText>
      </w:r>
      <w:r>
        <w:rPr>
          <w:rFonts w:hint="eastAsia" w:ascii="宋体" w:hAnsi="宋体" w:eastAsia="宋体" w:cs="宋体"/>
          <w:sz w:val="21"/>
          <w:szCs w:val="21"/>
        </w:rPr>
        <w:fldChar w:fldCharType="separate"/>
      </w:r>
      <w:r>
        <w:rPr>
          <w:rFonts w:hint="eastAsia" w:ascii="宋体" w:hAnsi="宋体" w:eastAsia="宋体" w:cs="宋体"/>
          <w:sz w:val="21"/>
          <w:szCs w:val="21"/>
        </w:rPr>
        <w:t>106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76B2F5D">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_Toc1550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.投标书格式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_Toc1550 \h </w:instrText>
      </w:r>
      <w:r>
        <w:rPr>
          <w:rFonts w:hint="eastAsia" w:ascii="宋体" w:hAnsi="宋体" w:eastAsia="宋体" w:cs="宋体"/>
          <w:sz w:val="21"/>
          <w:szCs w:val="21"/>
        </w:rPr>
        <w:fldChar w:fldCharType="separate"/>
      </w:r>
      <w:r>
        <w:rPr>
          <w:rFonts w:hint="eastAsia" w:ascii="宋体" w:hAnsi="宋体" w:eastAsia="宋体" w:cs="宋体"/>
          <w:sz w:val="21"/>
          <w:szCs w:val="21"/>
        </w:rPr>
        <w:t>107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3DA9754">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_Toc25316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.法定代表人证明书格式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_Toc25316 \h </w:instrText>
      </w:r>
      <w:r>
        <w:rPr>
          <w:rFonts w:hint="eastAsia" w:ascii="宋体" w:hAnsi="宋体" w:eastAsia="宋体" w:cs="宋体"/>
          <w:sz w:val="21"/>
          <w:szCs w:val="21"/>
        </w:rPr>
        <w:fldChar w:fldCharType="separate"/>
      </w:r>
      <w:r>
        <w:rPr>
          <w:rFonts w:hint="eastAsia" w:ascii="宋体" w:hAnsi="宋体" w:eastAsia="宋体" w:cs="宋体"/>
          <w:sz w:val="21"/>
          <w:szCs w:val="21"/>
        </w:rPr>
        <w:t>108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F62FF88">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_Toc20163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.法定代表人授权书格式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_Toc20163 \h </w:instrText>
      </w:r>
      <w:r>
        <w:rPr>
          <w:rFonts w:hint="eastAsia" w:ascii="宋体" w:hAnsi="宋体" w:eastAsia="宋体" w:cs="宋体"/>
          <w:sz w:val="21"/>
          <w:szCs w:val="21"/>
        </w:rPr>
        <w:fldChar w:fldCharType="separate"/>
      </w:r>
      <w:r>
        <w:rPr>
          <w:rFonts w:hint="eastAsia" w:ascii="宋体" w:hAnsi="宋体" w:eastAsia="宋体" w:cs="宋体"/>
          <w:sz w:val="21"/>
          <w:szCs w:val="21"/>
        </w:rPr>
        <w:t>109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170EFE8">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_Toc20463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.资格申明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_Toc20463 \h </w:instrText>
      </w:r>
      <w:r>
        <w:rPr>
          <w:rFonts w:hint="eastAsia" w:ascii="宋体" w:hAnsi="宋体" w:eastAsia="宋体" w:cs="宋体"/>
          <w:sz w:val="21"/>
          <w:szCs w:val="21"/>
        </w:rPr>
        <w:fldChar w:fldCharType="separate"/>
      </w:r>
      <w:r>
        <w:rPr>
          <w:rFonts w:hint="eastAsia" w:ascii="宋体" w:hAnsi="宋体" w:eastAsia="宋体" w:cs="宋体"/>
          <w:sz w:val="21"/>
          <w:szCs w:val="21"/>
        </w:rPr>
        <w:t>110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EB2D5C1">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_Toc23104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.营业执照</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_Toc23104 \h </w:instrText>
      </w:r>
      <w:r>
        <w:rPr>
          <w:rFonts w:hint="eastAsia" w:ascii="宋体" w:hAnsi="宋体" w:eastAsia="宋体" w:cs="宋体"/>
          <w:sz w:val="21"/>
          <w:szCs w:val="21"/>
        </w:rPr>
        <w:fldChar w:fldCharType="separate"/>
      </w:r>
      <w:r>
        <w:rPr>
          <w:rFonts w:hint="eastAsia" w:ascii="宋体" w:hAnsi="宋体" w:eastAsia="宋体" w:cs="宋体"/>
          <w:sz w:val="21"/>
          <w:szCs w:val="21"/>
        </w:rPr>
        <w:t>111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6FEA0CF">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_Toc15681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.相关资质证明文件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_Toc15681 \h </w:instrText>
      </w:r>
      <w:r>
        <w:rPr>
          <w:rFonts w:hint="eastAsia" w:ascii="宋体" w:hAnsi="宋体" w:eastAsia="宋体" w:cs="宋体"/>
          <w:sz w:val="21"/>
          <w:szCs w:val="21"/>
        </w:rPr>
        <w:fldChar w:fldCharType="separate"/>
      </w:r>
      <w:r>
        <w:rPr>
          <w:rFonts w:hint="eastAsia" w:ascii="宋体" w:hAnsi="宋体" w:eastAsia="宋体" w:cs="宋体"/>
          <w:sz w:val="21"/>
          <w:szCs w:val="21"/>
        </w:rPr>
        <w:t>112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A88319A">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_Toc19474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.在经营活动中没有重大违法记录的书面声明格式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_Toc19474 \h </w:instrText>
      </w:r>
      <w:r>
        <w:rPr>
          <w:rFonts w:hint="eastAsia" w:ascii="宋体" w:hAnsi="宋体" w:eastAsia="宋体" w:cs="宋体"/>
          <w:sz w:val="21"/>
          <w:szCs w:val="21"/>
        </w:rPr>
        <w:fldChar w:fldCharType="separate"/>
      </w:r>
      <w:r>
        <w:rPr>
          <w:rFonts w:hint="eastAsia" w:ascii="宋体" w:hAnsi="宋体" w:eastAsia="宋体" w:cs="宋体"/>
          <w:sz w:val="21"/>
          <w:szCs w:val="21"/>
        </w:rPr>
        <w:t>113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4C24AF0">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_Toc32530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.承诺书格式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_Toc32530 \h </w:instrText>
      </w:r>
      <w:r>
        <w:rPr>
          <w:rFonts w:hint="eastAsia" w:ascii="宋体" w:hAnsi="宋体" w:eastAsia="宋体" w:cs="宋体"/>
          <w:sz w:val="21"/>
          <w:szCs w:val="21"/>
        </w:rPr>
        <w:fldChar w:fldCharType="separate"/>
      </w:r>
      <w:r>
        <w:rPr>
          <w:rFonts w:hint="eastAsia" w:ascii="宋体" w:hAnsi="宋体" w:eastAsia="宋体" w:cs="宋体"/>
          <w:sz w:val="21"/>
          <w:szCs w:val="21"/>
        </w:rPr>
        <w:t>114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D870DF7">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_Toc29421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.商务需求条款偏离表格式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_Toc29421 \h </w:instrText>
      </w:r>
      <w:r>
        <w:rPr>
          <w:rFonts w:hint="eastAsia" w:ascii="宋体" w:hAnsi="宋体" w:eastAsia="宋体" w:cs="宋体"/>
          <w:sz w:val="21"/>
          <w:szCs w:val="21"/>
        </w:rPr>
        <w:fldChar w:fldCharType="separate"/>
      </w:r>
      <w:r>
        <w:rPr>
          <w:rFonts w:hint="eastAsia" w:ascii="宋体" w:hAnsi="宋体" w:eastAsia="宋体" w:cs="宋体"/>
          <w:sz w:val="21"/>
          <w:szCs w:val="21"/>
        </w:rPr>
        <w:t>115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4E653DC">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_Toc12085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.业绩表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_Toc12085 \h </w:instrText>
      </w:r>
      <w:r>
        <w:rPr>
          <w:rFonts w:hint="eastAsia" w:ascii="宋体" w:hAnsi="宋体" w:eastAsia="宋体" w:cs="宋体"/>
          <w:sz w:val="21"/>
          <w:szCs w:val="21"/>
        </w:rPr>
        <w:fldChar w:fldCharType="separate"/>
      </w:r>
      <w:r>
        <w:rPr>
          <w:rFonts w:hint="eastAsia" w:ascii="宋体" w:hAnsi="宋体" w:eastAsia="宋体" w:cs="宋体"/>
          <w:sz w:val="21"/>
          <w:szCs w:val="21"/>
        </w:rPr>
        <w:t>116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B21F7FF">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_Toc14211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.联合体协议书（如有）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_Toc14211 \h </w:instrText>
      </w:r>
      <w:r>
        <w:rPr>
          <w:rFonts w:hint="eastAsia" w:ascii="宋体" w:hAnsi="宋体" w:eastAsia="宋体" w:cs="宋体"/>
          <w:sz w:val="21"/>
          <w:szCs w:val="21"/>
        </w:rPr>
        <w:fldChar w:fldCharType="separate"/>
      </w:r>
      <w:r>
        <w:rPr>
          <w:rFonts w:hint="eastAsia" w:ascii="宋体" w:hAnsi="宋体" w:eastAsia="宋体" w:cs="宋体"/>
          <w:sz w:val="21"/>
          <w:szCs w:val="21"/>
        </w:rPr>
        <w:t>117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3A9AAAF">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_Toc6429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16</w:t>
      </w:r>
      <w:r>
        <w:rPr>
          <w:rFonts w:hint="eastAsia" w:ascii="宋体" w:hAnsi="宋体" w:eastAsia="宋体" w:cs="宋体"/>
          <w:sz w:val="21"/>
          <w:szCs w:val="21"/>
          <w:highlight w:val="none"/>
        </w:rPr>
        <w:t>.实施本项目的有关人员资料表格式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_Toc6429 \h </w:instrText>
      </w:r>
      <w:r>
        <w:rPr>
          <w:rFonts w:hint="eastAsia" w:ascii="宋体" w:hAnsi="宋体" w:eastAsia="宋体" w:cs="宋体"/>
          <w:sz w:val="21"/>
          <w:szCs w:val="21"/>
        </w:rPr>
        <w:fldChar w:fldCharType="separate"/>
      </w:r>
      <w:r>
        <w:rPr>
          <w:rFonts w:hint="eastAsia" w:ascii="宋体" w:hAnsi="宋体" w:eastAsia="宋体" w:cs="宋体"/>
          <w:sz w:val="21"/>
          <w:szCs w:val="21"/>
        </w:rPr>
        <w:t>119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67ABB25">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_Toc12017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技术文件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_Toc12017 \h </w:instrText>
      </w:r>
      <w:r>
        <w:rPr>
          <w:rFonts w:hint="eastAsia" w:ascii="宋体" w:hAnsi="宋体" w:eastAsia="宋体" w:cs="宋体"/>
          <w:sz w:val="21"/>
          <w:szCs w:val="21"/>
        </w:rPr>
        <w:fldChar w:fldCharType="separate"/>
      </w:r>
      <w:r>
        <w:rPr>
          <w:rFonts w:hint="eastAsia" w:ascii="宋体" w:hAnsi="宋体" w:eastAsia="宋体" w:cs="宋体"/>
          <w:sz w:val="21"/>
          <w:szCs w:val="21"/>
        </w:rPr>
        <w:t>120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729D56E">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_Toc32510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17</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技术</w:t>
      </w:r>
      <w:r>
        <w:rPr>
          <w:rFonts w:hint="eastAsia" w:ascii="宋体" w:hAnsi="宋体" w:eastAsia="宋体" w:cs="宋体"/>
          <w:sz w:val="21"/>
          <w:szCs w:val="21"/>
          <w:highlight w:val="none"/>
        </w:rPr>
        <w:t>评分标准索引表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_Toc32510 \h </w:instrText>
      </w:r>
      <w:r>
        <w:rPr>
          <w:rFonts w:hint="eastAsia" w:ascii="宋体" w:hAnsi="宋体" w:eastAsia="宋体" w:cs="宋体"/>
          <w:sz w:val="21"/>
          <w:szCs w:val="21"/>
        </w:rPr>
        <w:fldChar w:fldCharType="separate"/>
      </w:r>
      <w:r>
        <w:rPr>
          <w:rFonts w:hint="eastAsia" w:ascii="宋体" w:hAnsi="宋体" w:eastAsia="宋体" w:cs="宋体"/>
          <w:sz w:val="21"/>
          <w:szCs w:val="21"/>
        </w:rPr>
        <w:t>121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43499D7">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_Toc21990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技术规格偏离表格式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_Toc21990 \h </w:instrText>
      </w:r>
      <w:r>
        <w:rPr>
          <w:rFonts w:hint="eastAsia" w:ascii="宋体" w:hAnsi="宋体" w:eastAsia="宋体" w:cs="宋体"/>
          <w:sz w:val="21"/>
          <w:szCs w:val="21"/>
        </w:rPr>
        <w:fldChar w:fldCharType="separate"/>
      </w:r>
      <w:r>
        <w:rPr>
          <w:rFonts w:hint="eastAsia" w:ascii="宋体" w:hAnsi="宋体" w:eastAsia="宋体" w:cs="宋体"/>
          <w:sz w:val="21"/>
          <w:szCs w:val="21"/>
        </w:rPr>
        <w:t>122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A86F036">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_Toc18677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.项目实施方案格式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_Toc18677 \h </w:instrText>
      </w:r>
      <w:r>
        <w:rPr>
          <w:rFonts w:hint="eastAsia" w:ascii="宋体" w:hAnsi="宋体" w:eastAsia="宋体" w:cs="宋体"/>
          <w:sz w:val="21"/>
          <w:szCs w:val="21"/>
        </w:rPr>
        <w:fldChar w:fldCharType="separate"/>
      </w:r>
      <w:r>
        <w:rPr>
          <w:rFonts w:hint="eastAsia" w:ascii="宋体" w:hAnsi="宋体" w:eastAsia="宋体" w:cs="宋体"/>
          <w:sz w:val="21"/>
          <w:szCs w:val="21"/>
        </w:rPr>
        <w:t>123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7B44031">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_Toc25002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.投标保证金汇入情况说明格式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_Toc25002 \h </w:instrText>
      </w:r>
      <w:r>
        <w:rPr>
          <w:rFonts w:hint="eastAsia" w:ascii="宋体" w:hAnsi="宋体" w:eastAsia="宋体" w:cs="宋体"/>
          <w:sz w:val="21"/>
          <w:szCs w:val="21"/>
        </w:rPr>
        <w:fldChar w:fldCharType="separate"/>
      </w:r>
      <w:r>
        <w:rPr>
          <w:rFonts w:hint="eastAsia" w:ascii="宋体" w:hAnsi="宋体" w:eastAsia="宋体" w:cs="宋体"/>
          <w:sz w:val="21"/>
          <w:szCs w:val="21"/>
        </w:rPr>
        <w:t>124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03D7891">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_Toc30291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21</w:t>
      </w:r>
      <w:r>
        <w:rPr>
          <w:rFonts w:hint="eastAsia" w:ascii="宋体" w:hAnsi="宋体" w:eastAsia="宋体" w:cs="宋体"/>
          <w:sz w:val="21"/>
          <w:szCs w:val="21"/>
          <w:highlight w:val="none"/>
        </w:rPr>
        <w:t>.不可撤销履约保函</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_Toc30291 \h </w:instrText>
      </w:r>
      <w:r>
        <w:rPr>
          <w:rFonts w:hint="eastAsia" w:ascii="宋体" w:hAnsi="宋体" w:eastAsia="宋体" w:cs="宋体"/>
          <w:sz w:val="21"/>
          <w:szCs w:val="21"/>
        </w:rPr>
        <w:fldChar w:fldCharType="separate"/>
      </w:r>
      <w:r>
        <w:rPr>
          <w:rFonts w:hint="eastAsia" w:ascii="宋体" w:hAnsi="宋体" w:eastAsia="宋体" w:cs="宋体"/>
          <w:sz w:val="21"/>
          <w:szCs w:val="21"/>
        </w:rPr>
        <w:t>126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6D4C5B1">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_Toc16046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附件2</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.预付款保函（适用于预付款支付）</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_Toc16046 \h </w:instrText>
      </w:r>
      <w:r>
        <w:rPr>
          <w:rFonts w:hint="eastAsia" w:ascii="宋体" w:hAnsi="宋体" w:eastAsia="宋体" w:cs="宋体"/>
          <w:sz w:val="21"/>
          <w:szCs w:val="21"/>
        </w:rPr>
        <w:fldChar w:fldCharType="separate"/>
      </w:r>
      <w:r>
        <w:rPr>
          <w:rFonts w:hint="eastAsia" w:ascii="宋体" w:hAnsi="宋体" w:eastAsia="宋体" w:cs="宋体"/>
          <w:sz w:val="21"/>
          <w:szCs w:val="21"/>
        </w:rPr>
        <w:t>127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5BCCDC8">
      <w:pPr>
        <w:pStyle w:val="24"/>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_Toc10893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唱标信封</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_Toc10893 \h </w:instrText>
      </w:r>
      <w:r>
        <w:rPr>
          <w:rFonts w:hint="eastAsia" w:ascii="宋体" w:hAnsi="宋体" w:eastAsia="宋体" w:cs="宋体"/>
          <w:sz w:val="21"/>
          <w:szCs w:val="21"/>
        </w:rPr>
        <w:fldChar w:fldCharType="separate"/>
      </w:r>
      <w:r>
        <w:rPr>
          <w:rFonts w:hint="eastAsia" w:ascii="宋体" w:hAnsi="宋体" w:eastAsia="宋体" w:cs="宋体"/>
          <w:sz w:val="21"/>
          <w:szCs w:val="21"/>
        </w:rPr>
        <w:t>128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9BE68E4">
      <w:pPr>
        <w:pStyle w:val="2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_Toc20558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附件2</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.唱标信封内装（内容务必与投标文件正本一致）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_Toc20558 \h </w:instrText>
      </w:r>
      <w:r>
        <w:rPr>
          <w:rFonts w:hint="eastAsia" w:ascii="宋体" w:hAnsi="宋体" w:eastAsia="宋体" w:cs="宋体"/>
          <w:sz w:val="21"/>
          <w:szCs w:val="21"/>
        </w:rPr>
        <w:fldChar w:fldCharType="separate"/>
      </w:r>
      <w:r>
        <w:rPr>
          <w:rFonts w:hint="eastAsia" w:ascii="宋体" w:hAnsi="宋体" w:eastAsia="宋体" w:cs="宋体"/>
          <w:sz w:val="21"/>
          <w:szCs w:val="21"/>
        </w:rPr>
        <w:t>129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25A4CE5">
      <w:pPr>
        <w:pStyle w:val="24"/>
        <w:keepNext w:val="0"/>
        <w:keepLines w:val="0"/>
        <w:pageBreakBefore w:val="0"/>
        <w:widowControl/>
        <w:shd w:val="clear"/>
        <w:tabs>
          <w:tab w:val="right" w:leader="dot" w:pos="8306"/>
          <w:tab w:val="clear" w:pos="8296"/>
        </w:tabs>
        <w:kinsoku/>
        <w:wordWrap/>
        <w:overflowPunct/>
        <w:topLinePunct w:val="0"/>
        <w:autoSpaceDE/>
        <w:autoSpaceDN/>
        <w:bidi w:val="0"/>
        <w:adjustRightInd w:val="0"/>
        <w:snapToGrid w:val="0"/>
        <w:spacing w:line="360" w:lineRule="auto"/>
        <w:ind w:left="0" w:leftChars="0"/>
        <w:textAlignment w:val="auto"/>
        <w:rPr>
          <w:rFonts w:cs="宋体"/>
          <w:color w:val="auto"/>
          <w:sz w:val="21"/>
          <w:szCs w:val="21"/>
          <w:highlight w:val="none"/>
        </w:rPr>
      </w:pPr>
      <w:r>
        <w:rPr>
          <w:rFonts w:hint="eastAsia" w:ascii="宋体" w:hAnsi="宋体" w:eastAsia="宋体" w:cs="宋体"/>
          <w:color w:val="auto"/>
          <w:sz w:val="21"/>
          <w:szCs w:val="21"/>
          <w:highlight w:val="none"/>
        </w:rPr>
        <w:fldChar w:fldCharType="end"/>
      </w:r>
    </w:p>
    <w:p w14:paraId="231CFAB9">
      <w:pPr>
        <w:shd w:val="clear"/>
        <w:rPr>
          <w:rFonts w:ascii="宋体" w:hAnsi="宋体" w:cs="宋体"/>
          <w:color w:val="auto"/>
          <w:szCs w:val="21"/>
          <w:highlight w:val="none"/>
        </w:rPr>
      </w:pPr>
      <w:r>
        <w:rPr>
          <w:rFonts w:hint="eastAsia" w:ascii="宋体" w:hAnsi="宋体" w:cs="宋体"/>
          <w:color w:val="auto"/>
          <w:szCs w:val="21"/>
          <w:highlight w:val="none"/>
        </w:rPr>
        <w:br w:type="page"/>
      </w:r>
    </w:p>
    <w:p w14:paraId="40549095">
      <w:pPr>
        <w:pStyle w:val="6"/>
        <w:shd w:val="clear"/>
        <w:spacing w:before="0" w:after="0" w:line="240" w:lineRule="auto"/>
        <w:rPr>
          <w:color w:val="auto"/>
          <w:sz w:val="28"/>
          <w:szCs w:val="28"/>
          <w:highlight w:val="none"/>
        </w:rPr>
      </w:pPr>
      <w:bookmarkStart w:id="0" w:name="_Toc14062"/>
      <w:r>
        <w:rPr>
          <w:rFonts w:hint="eastAsia"/>
          <w:color w:val="auto"/>
          <w:sz w:val="28"/>
          <w:szCs w:val="28"/>
          <w:highlight w:val="none"/>
        </w:rPr>
        <w:t>第一部分投标邀请</w:t>
      </w:r>
      <w:bookmarkEnd w:id="0"/>
    </w:p>
    <w:p w14:paraId="1C3457E7">
      <w:pPr>
        <w:pStyle w:val="7"/>
        <w:shd w:val="clear"/>
        <w:spacing w:before="0" w:after="0" w:line="360" w:lineRule="auto"/>
        <w:jc w:val="center"/>
        <w:rPr>
          <w:rFonts w:ascii="宋体" w:hAnsi="宋体" w:cs="宋体"/>
          <w:color w:val="auto"/>
          <w:highlight w:val="none"/>
        </w:rPr>
      </w:pPr>
      <w:bookmarkStart w:id="1" w:name="_Toc9810"/>
      <w:r>
        <w:rPr>
          <w:rFonts w:hint="eastAsia" w:ascii="宋体" w:hAnsi="宋体" w:cs="宋体"/>
          <w:color w:val="auto"/>
          <w:highlight w:val="none"/>
        </w:rPr>
        <w:t>投标邀请书</w:t>
      </w:r>
      <w:bookmarkEnd w:id="1"/>
    </w:p>
    <w:p w14:paraId="39BC92CA">
      <w:pPr>
        <w:shd w:val="clear"/>
        <w:ind w:firstLine="422" w:firstLineChars="200"/>
        <w:rPr>
          <w:rFonts w:ascii="宋体" w:hAnsi="宋体"/>
          <w:color w:val="auto"/>
          <w:szCs w:val="21"/>
          <w:highlight w:val="none"/>
        </w:rPr>
      </w:pPr>
      <w:r>
        <w:rPr>
          <w:rFonts w:hint="eastAsia" w:ascii="宋体" w:hAnsi="宋体"/>
          <w:b/>
          <w:bCs/>
          <w:color w:val="auto"/>
          <w:szCs w:val="21"/>
          <w:highlight w:val="none"/>
          <w:u w:val="single"/>
          <w:lang w:eastAsia="zh-CN"/>
        </w:rPr>
        <w:t>广东建瀚工程管理有限公司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东莞市新锋新能源有限公司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东莞市新锋新能源有限公司台勤塑料厂区分布式光伏发电项目</w:t>
      </w:r>
      <w:r>
        <w:rPr>
          <w:rFonts w:hint="eastAsia" w:ascii="宋体" w:hAnsi="宋体"/>
          <w:color w:val="auto"/>
          <w:szCs w:val="21"/>
          <w:highlight w:val="none"/>
        </w:rPr>
        <w:t>（项目编号</w:t>
      </w:r>
      <w:r>
        <w:rPr>
          <w:rFonts w:hint="eastAsia" w:ascii="宋体" w:hAnsi="宋体"/>
          <w:color w:val="auto"/>
          <w:szCs w:val="21"/>
          <w:highlight w:val="none"/>
          <w:lang w:eastAsia="zh-CN"/>
        </w:rPr>
        <w:t>JHCG-DS-0</w:t>
      </w:r>
      <w:r>
        <w:rPr>
          <w:rFonts w:hint="eastAsia" w:ascii="宋体" w:hAnsi="宋体"/>
          <w:color w:val="auto"/>
          <w:szCs w:val="21"/>
          <w:highlight w:val="none"/>
          <w:lang w:val="en-US" w:eastAsia="zh-CN"/>
        </w:rPr>
        <w:t>10</w:t>
      </w:r>
      <w:r>
        <w:rPr>
          <w:rFonts w:hint="eastAsia" w:ascii="宋体" w:hAnsi="宋体"/>
          <w:color w:val="auto"/>
          <w:szCs w:val="21"/>
          <w:highlight w:val="none"/>
          <w:lang w:eastAsia="zh-CN"/>
        </w:rPr>
        <w:t>（2025）</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1D4ED0E1">
      <w:pPr>
        <w:shd w:val="clear"/>
        <w:ind w:firstLine="413" w:firstLineChars="196"/>
        <w:rPr>
          <w:rFonts w:ascii="宋体" w:hAnsi="宋体"/>
          <w:b/>
          <w:color w:val="auto"/>
          <w:szCs w:val="21"/>
          <w:highlight w:val="none"/>
        </w:rPr>
      </w:pPr>
    </w:p>
    <w:p w14:paraId="27755603">
      <w:pPr>
        <w:shd w:val="clear"/>
        <w:rPr>
          <w:rFonts w:ascii="宋体" w:hAnsi="宋体"/>
          <w:b/>
          <w:color w:val="auto"/>
          <w:szCs w:val="21"/>
          <w:highlight w:val="none"/>
        </w:rPr>
      </w:pPr>
      <w:r>
        <w:rPr>
          <w:rFonts w:hint="eastAsia" w:ascii="宋体" w:hAnsi="宋体"/>
          <w:b/>
          <w:color w:val="auto"/>
          <w:szCs w:val="21"/>
          <w:highlight w:val="none"/>
        </w:rPr>
        <w:t>一、采购项目概况</w:t>
      </w:r>
    </w:p>
    <w:p w14:paraId="6403314F">
      <w:pPr>
        <w:shd w:val="clear"/>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b/>
          <w:color w:val="auto"/>
          <w:szCs w:val="21"/>
          <w:highlight w:val="none"/>
          <w:u w:val="single"/>
          <w:lang w:eastAsia="zh-CN"/>
        </w:rPr>
        <w:t>东莞市新锋新能源有限公司台勤塑料厂区分布式光伏发电项目</w:t>
      </w:r>
    </w:p>
    <w:p w14:paraId="38189502">
      <w:pPr>
        <w:shd w:val="clear"/>
        <w:ind w:firstLine="420" w:firstLineChars="200"/>
        <w:rPr>
          <w:rFonts w:hint="default" w:ascii="宋体" w:hAnsi="宋体"/>
          <w:color w:val="auto"/>
          <w:szCs w:val="21"/>
          <w:highlight w:val="none"/>
          <w:lang w:val="en-US"/>
        </w:rPr>
      </w:pPr>
      <w:r>
        <w:rPr>
          <w:rFonts w:hint="eastAsia" w:ascii="宋体" w:hAnsi="宋体"/>
          <w:color w:val="auto"/>
          <w:szCs w:val="21"/>
          <w:highlight w:val="none"/>
        </w:rPr>
        <w:t>2、</w:t>
      </w:r>
      <w:r>
        <w:rPr>
          <w:rFonts w:ascii="宋体" w:hAnsi="宋体"/>
          <w:color w:val="auto"/>
          <w:szCs w:val="21"/>
          <w:highlight w:val="none"/>
        </w:rPr>
        <w:t>预算金额（</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w:t>
      </w:r>
      <w:r>
        <w:rPr>
          <w:rFonts w:hint="eastAsia" w:ascii="宋体" w:hAnsi="宋体"/>
          <w:color w:val="auto"/>
          <w:szCs w:val="21"/>
          <w:highlight w:val="none"/>
          <w:u w:val="single"/>
        </w:rPr>
        <w:t>¥</w:t>
      </w:r>
      <w:r>
        <w:rPr>
          <w:rFonts w:hint="eastAsia" w:ascii="宋体" w:hAnsi="宋体"/>
          <w:color w:val="auto"/>
          <w:szCs w:val="21"/>
          <w:highlight w:val="none"/>
          <w:u w:val="single"/>
          <w:lang w:val="en-US" w:eastAsia="zh-CN"/>
        </w:rPr>
        <w:t>1,303,495.20</w:t>
      </w:r>
      <w:r>
        <w:rPr>
          <w:rFonts w:hint="eastAsia" w:ascii="宋体" w:hAnsi="宋体"/>
          <w:color w:val="auto"/>
          <w:szCs w:val="21"/>
          <w:highlight w:val="none"/>
          <w:u w:val="single"/>
          <w:lang w:eastAsia="zh-CN"/>
        </w:rPr>
        <w:t>元；其中安全防护费：</w:t>
      </w:r>
      <w:r>
        <w:rPr>
          <w:rFonts w:hint="eastAsia" w:ascii="宋体" w:hAnsi="宋体"/>
          <w:color w:val="auto"/>
          <w:szCs w:val="21"/>
          <w:highlight w:val="none"/>
          <w:u w:val="single"/>
        </w:rPr>
        <w:t>¥</w:t>
      </w:r>
      <w:r>
        <w:rPr>
          <w:rFonts w:hint="eastAsia" w:ascii="宋体" w:hAnsi="宋体"/>
          <w:color w:val="auto"/>
          <w:szCs w:val="21"/>
          <w:highlight w:val="none"/>
          <w:u w:val="single"/>
          <w:lang w:val="en-US" w:eastAsia="zh-CN"/>
        </w:rPr>
        <w:t>59,940.00</w:t>
      </w:r>
      <w:r>
        <w:rPr>
          <w:rFonts w:hint="eastAsia" w:ascii="宋体" w:hAnsi="宋体"/>
          <w:color w:val="auto"/>
          <w:szCs w:val="21"/>
          <w:highlight w:val="none"/>
          <w:u w:val="single"/>
          <w:lang w:eastAsia="zh-CN"/>
        </w:rPr>
        <w:t>元</w:t>
      </w:r>
    </w:p>
    <w:p w14:paraId="63CCA6B0">
      <w:pPr>
        <w:shd w:val="clear"/>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3、最低限价下浮率:</w:t>
      </w:r>
      <w:r>
        <w:rPr>
          <w:rFonts w:hint="eastAsia" w:ascii="宋体" w:hAnsi="宋体"/>
          <w:color w:val="auto"/>
          <w:szCs w:val="21"/>
          <w:highlight w:val="none"/>
          <w:u w:val="single"/>
          <w:lang w:val="en-US" w:eastAsia="zh-CN"/>
        </w:rPr>
        <w:t xml:space="preserve"> 3.00%</w:t>
      </w:r>
    </w:p>
    <w:p w14:paraId="0A8E2F11">
      <w:pPr>
        <w:shd w:val="clear"/>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4</w:t>
      </w:r>
      <w:r>
        <w:rPr>
          <w:rFonts w:hint="eastAsia" w:ascii="宋体" w:hAnsi="宋体" w:eastAsia="宋体"/>
          <w:color w:val="auto"/>
          <w:szCs w:val="21"/>
          <w:highlight w:val="none"/>
          <w:lang w:val="en-US" w:eastAsia="zh-CN"/>
        </w:rPr>
        <w:t>、本项目</w:t>
      </w:r>
      <w:r>
        <w:rPr>
          <w:rFonts w:hint="eastAsia" w:ascii="宋体" w:hAnsi="宋体" w:eastAsia="宋体"/>
          <w:b/>
          <w:bCs/>
          <w:color w:val="auto"/>
          <w:szCs w:val="21"/>
          <w:highlight w:val="none"/>
          <w:lang w:val="en-US" w:eastAsia="zh-CN"/>
        </w:rPr>
        <w:t>接受</w:t>
      </w:r>
      <w:r>
        <w:rPr>
          <w:rFonts w:hint="eastAsia" w:ascii="宋体" w:hAnsi="宋体" w:eastAsia="宋体"/>
          <w:color w:val="auto"/>
          <w:szCs w:val="21"/>
          <w:highlight w:val="none"/>
          <w:lang w:val="en-US" w:eastAsia="zh-CN"/>
        </w:rPr>
        <w:t>联合体投标</w:t>
      </w:r>
      <w:r>
        <w:rPr>
          <w:rFonts w:hint="eastAsia" w:ascii="宋体" w:hAnsi="宋体"/>
          <w:color w:val="auto"/>
          <w:szCs w:val="21"/>
          <w:highlight w:val="none"/>
          <w:lang w:val="en-US" w:eastAsia="zh-CN"/>
        </w:rPr>
        <w:t>。</w:t>
      </w:r>
    </w:p>
    <w:p w14:paraId="325C12CE">
      <w:pPr>
        <w:shd w:val="clear"/>
        <w:ind w:firstLine="420" w:firstLineChars="200"/>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、项目内容</w:t>
      </w:r>
    </w:p>
    <w:tbl>
      <w:tblPr>
        <w:tblStyle w:val="28"/>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4138"/>
        <w:gridCol w:w="1594"/>
        <w:gridCol w:w="1594"/>
      </w:tblGrid>
      <w:tr w14:paraId="51230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93" w:type="dxa"/>
            <w:vAlign w:val="center"/>
          </w:tcPr>
          <w:p w14:paraId="1DB4FD03">
            <w:pPr>
              <w:shd w:val="clea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4138" w:type="dxa"/>
            <w:vAlign w:val="center"/>
          </w:tcPr>
          <w:p w14:paraId="3B37E439">
            <w:pPr>
              <w:shd w:val="clea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1594" w:type="dxa"/>
            <w:vAlign w:val="center"/>
          </w:tcPr>
          <w:p w14:paraId="68042C23">
            <w:pPr>
              <w:shd w:val="clea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采购供货</w:t>
            </w:r>
          </w:p>
          <w:p w14:paraId="2DD463B5">
            <w:pPr>
              <w:shd w:val="clea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单位数量</w:t>
            </w:r>
          </w:p>
        </w:tc>
        <w:tc>
          <w:tcPr>
            <w:tcW w:w="1594" w:type="dxa"/>
            <w:vAlign w:val="center"/>
          </w:tcPr>
          <w:p w14:paraId="79CEA451">
            <w:pPr>
              <w:shd w:val="clea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lang w:val="en-US" w:eastAsia="zh-CN"/>
              </w:rPr>
              <w:t>完工</w:t>
            </w:r>
            <w:r>
              <w:rPr>
                <w:rFonts w:hint="eastAsia" w:ascii="宋体" w:hAnsi="宋体" w:cs="宋体"/>
                <w:color w:val="auto"/>
                <w:kern w:val="28"/>
                <w:szCs w:val="21"/>
                <w:highlight w:val="none"/>
              </w:rPr>
              <w:t>期</w:t>
            </w:r>
          </w:p>
        </w:tc>
      </w:tr>
      <w:tr w14:paraId="3BA74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193" w:type="dxa"/>
            <w:vAlign w:val="center"/>
          </w:tcPr>
          <w:p w14:paraId="569A201C">
            <w:pPr>
              <w:shd w:val="clear"/>
              <w:spacing w:line="240" w:lineRule="auto"/>
              <w:jc w:val="center"/>
              <w:rPr>
                <w:rFonts w:ascii="宋体" w:hAnsi="宋体" w:cs="宋体"/>
                <w:color w:val="auto"/>
                <w:szCs w:val="21"/>
                <w:highlight w:val="none"/>
              </w:rPr>
            </w:pPr>
            <w:r>
              <w:rPr>
                <w:rFonts w:hint="eastAsia" w:ascii="宋体" w:hAnsi="宋体" w:cs="宋体"/>
                <w:color w:val="auto"/>
                <w:szCs w:val="21"/>
                <w:highlight w:val="none"/>
              </w:rPr>
              <w:t>A</w:t>
            </w:r>
          </w:p>
        </w:tc>
        <w:tc>
          <w:tcPr>
            <w:tcW w:w="4138" w:type="dxa"/>
            <w:vAlign w:val="center"/>
          </w:tcPr>
          <w:p w14:paraId="4A44857F">
            <w:pPr>
              <w:shd w:val="clear"/>
              <w:spacing w:line="24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分布式光伏发电项目</w:t>
            </w:r>
          </w:p>
        </w:tc>
        <w:tc>
          <w:tcPr>
            <w:tcW w:w="1594" w:type="dxa"/>
            <w:vAlign w:val="center"/>
          </w:tcPr>
          <w:p w14:paraId="055FFF67">
            <w:pPr>
              <w:shd w:val="clea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w:t>
            </w:r>
          </w:p>
        </w:tc>
        <w:tc>
          <w:tcPr>
            <w:tcW w:w="1594" w:type="dxa"/>
            <w:vAlign w:val="center"/>
          </w:tcPr>
          <w:p w14:paraId="3AF91310">
            <w:pPr>
              <w:shd w:val="clea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130天</w:t>
            </w:r>
          </w:p>
        </w:tc>
      </w:tr>
    </w:tbl>
    <w:p w14:paraId="0FFA338D">
      <w:pPr>
        <w:shd w:val="clear"/>
        <w:ind w:firstLine="420" w:firstLineChars="200"/>
        <w:rPr>
          <w:rFonts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、项目需求</w:t>
      </w:r>
      <w:r>
        <w:rPr>
          <w:rFonts w:hint="eastAsia" w:ascii="宋体" w:hAnsi="宋体"/>
          <w:color w:val="auto"/>
          <w:szCs w:val="21"/>
          <w:highlight w:val="none"/>
          <w:lang w:eastAsia="zh-CN"/>
        </w:rPr>
        <w:t>：</w:t>
      </w:r>
      <w:r>
        <w:rPr>
          <w:rFonts w:hint="eastAsia" w:ascii="宋体" w:hAnsi="宋体"/>
          <w:color w:val="auto"/>
          <w:szCs w:val="21"/>
          <w:highlight w:val="none"/>
        </w:rPr>
        <w:t>详细内容请参阅采购文件第三部分《用户需求书》。</w:t>
      </w:r>
    </w:p>
    <w:p w14:paraId="49D06221">
      <w:pPr>
        <w:shd w:val="clear"/>
        <w:ind w:firstLine="413" w:firstLineChars="196"/>
        <w:rPr>
          <w:rFonts w:ascii="宋体" w:hAnsi="宋体"/>
          <w:b/>
          <w:color w:val="auto"/>
          <w:szCs w:val="21"/>
          <w:highlight w:val="none"/>
        </w:rPr>
      </w:pPr>
    </w:p>
    <w:p w14:paraId="5A72D782">
      <w:pPr>
        <w:shd w:val="clear"/>
        <w:rPr>
          <w:rFonts w:ascii="宋体" w:hAnsi="宋体"/>
          <w:b/>
          <w:color w:val="auto"/>
          <w:szCs w:val="21"/>
          <w:highlight w:val="none"/>
        </w:rPr>
      </w:pPr>
      <w:r>
        <w:rPr>
          <w:rFonts w:hint="eastAsia" w:ascii="宋体" w:hAnsi="宋体"/>
          <w:b/>
          <w:color w:val="auto"/>
          <w:szCs w:val="21"/>
          <w:highlight w:val="none"/>
        </w:rPr>
        <w:t>二、投标人资格要求</w:t>
      </w:r>
    </w:p>
    <w:p w14:paraId="028B5508">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1、一般要求：</w:t>
      </w:r>
    </w:p>
    <w:p w14:paraId="39DB352A">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4AF29B6F">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12F89F4D">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（3）投标人的单位负责人为同一人或者存在直接控股、管理关系的不同投标人，不得参加同一合同项下的采购活动。</w:t>
      </w:r>
    </w:p>
    <w:p w14:paraId="12A289B6">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p w14:paraId="7D33C2C9">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5）投标人自招标公告发布之日起前两年内，在经营活动中没有因串通投标、弄虚作假、行贿、转包、违法分包、挂靠、死亡事故违法违规行为受到行政、刑事处罚的。以代理机构于投标截止日当天在“信用中国”网站查询结果为准。</w:t>
      </w:r>
    </w:p>
    <w:p w14:paraId="78697656">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2、其他要求</w:t>
      </w:r>
    </w:p>
    <w:p w14:paraId="1212A644">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2.1供货安装单位</w:t>
      </w:r>
    </w:p>
    <w:p w14:paraId="082FA016">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（1）投标人具有有效期内的以下其中一种资质：①电力工程施工总承包乙级（或以上）企业资质；②机电工程施工总承包乙级（或以上）企业资质；③输变电工程专业承包乙级（或以上）企业资质；</w:t>
      </w:r>
    </w:p>
    <w:p w14:paraId="1FB4D53D">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【或更换资质证书前有效期内：①电力工程施工总承包二级（或以上）企业资质；②机电工程施工总承包二级（或以上）企业资质；③输变电工程专业承包二级（或以上）企业资质；】</w:t>
      </w:r>
    </w:p>
    <w:p w14:paraId="792B9993">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（2）具有《承装（修、试）电力设施许可证》承装类别三级（10千伏以下）或以上资质。</w:t>
      </w:r>
    </w:p>
    <w:p w14:paraId="5A5B0B57">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【或更换资质证书前有效期内：《承装（修、试）电力设施许可证》承装类别五级或以上资质】</w:t>
      </w:r>
    </w:p>
    <w:p w14:paraId="4E07CBF1">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（3）具有在效期内的《安全生产许可证》。</w:t>
      </w:r>
    </w:p>
    <w:p w14:paraId="0A122917">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2.2 设计单位</w:t>
      </w:r>
    </w:p>
    <w:p w14:paraId="777EFA26">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投标人具有有效期内的以下其中一种资质：①工程设计综合资质；②工程设计电力行业乙级（或以上）资质；③工程设计电力行业（送变电工程）专业乙级（或以上）资质；④工程设计电力行业（新能源发电工程）专业乙级（或以上）资质；</w:t>
      </w:r>
    </w:p>
    <w:p w14:paraId="41A61507">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val="0"/>
          <w:bCs/>
          <w:color w:val="auto"/>
          <w:szCs w:val="21"/>
          <w:highlight w:val="none"/>
        </w:rPr>
      </w:pPr>
      <w:r>
        <w:rPr>
          <w:rFonts w:hint="eastAsia" w:ascii="宋体" w:hAnsi="宋体"/>
          <w:b w:val="0"/>
          <w:bCs/>
          <w:color w:val="auto"/>
          <w:szCs w:val="21"/>
          <w:highlight w:val="none"/>
        </w:rPr>
        <w:t>3、业绩要求</w:t>
      </w:r>
    </w:p>
    <w:p w14:paraId="18C26AE2">
      <w:pPr>
        <w:keepNext w:val="0"/>
        <w:keepLines w:val="0"/>
        <w:pageBreakBefore w:val="0"/>
        <w:widowControl/>
        <w:shd w:val="clear"/>
        <w:kinsoku/>
        <w:wordWrap/>
        <w:overflowPunct/>
        <w:topLinePunct w:val="0"/>
        <w:autoSpaceDE/>
        <w:autoSpaceDN/>
        <w:bidi w:val="0"/>
        <w:adjustRightInd w:val="0"/>
        <w:snapToGrid w:val="0"/>
        <w:ind w:firstLine="420" w:firstLineChars="200"/>
        <w:textAlignment w:val="auto"/>
        <w:rPr>
          <w:rFonts w:hint="eastAsia" w:ascii="宋体" w:hAnsi="宋体"/>
          <w:b/>
          <w:color w:val="auto"/>
          <w:szCs w:val="21"/>
          <w:highlight w:val="none"/>
        </w:rPr>
      </w:pPr>
      <w:r>
        <w:rPr>
          <w:rFonts w:hint="eastAsia" w:ascii="宋体" w:hAnsi="宋体"/>
          <w:b w:val="0"/>
          <w:bCs/>
          <w:color w:val="auto"/>
          <w:szCs w:val="21"/>
          <w:highlight w:val="none"/>
        </w:rPr>
        <w:t>投标人须具有本项目的以下其中一种业绩要求：①提供3个光伏发电系统安装项目业绩；②提供光伏发电系统安装项目业绩累计容量不少于3MW。（须提供合同复印件，若联合体投标，则需联合体中具有施工资质方提供方可）</w:t>
      </w:r>
    </w:p>
    <w:p w14:paraId="732AA2FA">
      <w:pPr>
        <w:shd w:val="clear"/>
        <w:rPr>
          <w:rFonts w:ascii="宋体" w:hAnsi="宋体"/>
          <w:b/>
          <w:color w:val="auto"/>
          <w:szCs w:val="21"/>
          <w:highlight w:val="none"/>
        </w:rPr>
      </w:pPr>
      <w:r>
        <w:rPr>
          <w:rFonts w:hint="eastAsia" w:ascii="宋体" w:hAnsi="宋体"/>
          <w:b/>
          <w:color w:val="auto"/>
          <w:szCs w:val="21"/>
          <w:highlight w:val="none"/>
        </w:rPr>
        <w:t>三、获取采购文件方式及要求</w:t>
      </w:r>
    </w:p>
    <w:p w14:paraId="68342131">
      <w:pPr>
        <w:shd w:val="clea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采购领购时间：2025年</w:t>
      </w:r>
      <w:r>
        <w:rPr>
          <w:rFonts w:hint="eastAsia" w:ascii="宋体" w:hAnsi="宋体" w:cs="宋体"/>
          <w:color w:val="auto"/>
          <w:szCs w:val="21"/>
          <w:highlight w:val="none"/>
          <w:lang w:val="en-US" w:eastAsia="zh-CN"/>
        </w:rPr>
        <w:t xml:space="preserve"> 09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30 </w:t>
      </w:r>
      <w:r>
        <w:rPr>
          <w:rFonts w:hint="eastAsia" w:ascii="宋体" w:hAnsi="宋体" w:cs="宋体"/>
          <w:color w:val="auto"/>
          <w:szCs w:val="21"/>
          <w:highlight w:val="none"/>
        </w:rPr>
        <w:t>日至2025年</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日，</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自发出公告之日起14日内完成报名</w:t>
      </w:r>
      <w:r>
        <w:rPr>
          <w:rFonts w:hint="eastAsia" w:ascii="宋体" w:hAnsi="宋体" w:cs="宋体"/>
          <w:color w:val="auto"/>
          <w:szCs w:val="21"/>
          <w:highlight w:val="none"/>
          <w:lang w:eastAsia="zh-CN"/>
        </w:rPr>
        <w:t>）</w:t>
      </w:r>
      <w:r>
        <w:rPr>
          <w:rFonts w:hint="eastAsia" w:ascii="宋体" w:hAnsi="宋体" w:cs="宋体"/>
          <w:color w:val="auto"/>
          <w:szCs w:val="21"/>
          <w:highlight w:val="none"/>
        </w:rPr>
        <w:t>每天上午9:00至12:00，下午14:30至17:30。（北京时间，法定节假日除外</w:t>
      </w:r>
      <w:r>
        <w:rPr>
          <w:rFonts w:hint="eastAsia" w:ascii="宋体" w:hAnsi="宋体" w:cs="宋体"/>
          <w:color w:val="auto"/>
          <w:szCs w:val="21"/>
          <w:highlight w:val="none"/>
          <w:lang w:val="en-US" w:eastAsia="zh-CN"/>
        </w:rPr>
        <w:t>）</w:t>
      </w:r>
      <w:r>
        <w:rPr>
          <w:rFonts w:hint="eastAsia" w:ascii="宋体" w:hAnsi="宋体" w:cs="宋体"/>
          <w:color w:val="auto"/>
          <w:szCs w:val="21"/>
          <w:highlight w:val="none"/>
          <w:lang w:val="en-US" w:eastAsia="zh-CN"/>
        </w:rPr>
        <w:t>。</w:t>
      </w:r>
    </w:p>
    <w:p w14:paraId="476CE44C">
      <w:pPr>
        <w:shd w:val="clea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2、获取方式：现场获取。</w:t>
      </w:r>
    </w:p>
    <w:p w14:paraId="0A660EE6">
      <w:pPr>
        <w:shd w:val="clear"/>
        <w:wordWrap w:val="0"/>
        <w:ind w:firstLine="420" w:firstLineChars="200"/>
        <w:rPr>
          <w:rFonts w:hint="eastAsia" w:ascii="宋体" w:hAnsi="宋体" w:cs="宋体"/>
          <w:color w:val="auto"/>
          <w:szCs w:val="21"/>
          <w:highlight w:val="none"/>
          <w:lang w:val="en-US" w:eastAsia="zh-CN"/>
        </w:rPr>
      </w:pPr>
      <w:r>
        <w:rPr>
          <w:rFonts w:hint="eastAsia" w:ascii="宋体" w:hAnsi="宋体" w:cs="宋体"/>
          <w:bCs/>
          <w:color w:val="auto"/>
          <w:sz w:val="21"/>
          <w:szCs w:val="21"/>
          <w:highlight w:val="none"/>
          <w:lang w:val="en-US" w:eastAsia="zh-CN"/>
        </w:rPr>
        <w:t>3、领购地址</w:t>
      </w:r>
      <w:r>
        <w:rPr>
          <w:rFonts w:hint="eastAsia" w:ascii="宋体" w:hAnsi="宋体" w:cs="宋体"/>
          <w:bCs/>
          <w:color w:val="auto"/>
          <w:sz w:val="21"/>
          <w:szCs w:val="21"/>
          <w:highlight w:val="none"/>
        </w:rPr>
        <w:t>：</w:t>
      </w:r>
      <w:r>
        <w:rPr>
          <w:rFonts w:hint="eastAsia" w:ascii="宋体" w:hAnsi="宋体" w:cs="宋体"/>
          <w:bCs/>
          <w:color w:val="auto"/>
          <w:sz w:val="21"/>
          <w:szCs w:val="21"/>
          <w:highlight w:val="none"/>
          <w:lang w:eastAsia="zh-CN"/>
        </w:rPr>
        <w:t>广东省东莞市莞城区美峰路8号1栋1001</w:t>
      </w:r>
      <w:r>
        <w:rPr>
          <w:rFonts w:hint="eastAsia" w:ascii="宋体" w:hAnsi="宋体" w:cs="宋体"/>
          <w:bCs/>
          <w:color w:val="auto"/>
          <w:sz w:val="21"/>
          <w:szCs w:val="21"/>
          <w:highlight w:val="none"/>
        </w:rPr>
        <w:t>。</w:t>
      </w:r>
    </w:p>
    <w:p w14:paraId="38C9FDBB">
      <w:pPr>
        <w:shd w:val="clea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须提前准备如下材料：《营业执照》复印件（加盖公章）或《事业单位法人证书》复印件（加盖公章）或其他主体证明复印件（加盖公章），自然人参加投标须提供自然人的身份证明材料；分支机构投标的，须提供总公司和分公司营业执照副本复印件，以及总公司出具给分支机构的授权书；</w:t>
      </w:r>
    </w:p>
    <w:p w14:paraId="3F6FDCF2">
      <w:pPr>
        <w:shd w:val="clea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5、须在领购时间内进行报名，逾期报名无效，任何投标人因逾期报名或误缴费用而导致报名无效的，自行承担相应责任；</w:t>
      </w:r>
    </w:p>
    <w:p w14:paraId="5EE1254A">
      <w:pPr>
        <w:shd w:val="clea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6、领购价格：人民币300.00元整；领购咨询人：黎工；领购咨询电话：0769-31000869</w:t>
      </w:r>
      <w:r>
        <w:rPr>
          <w:rFonts w:hint="eastAsia" w:ascii="宋体" w:hAnsi="宋体" w:cs="宋体"/>
          <w:color w:val="auto"/>
          <w:szCs w:val="21"/>
          <w:highlight w:val="none"/>
        </w:rPr>
        <w:t>。</w:t>
      </w:r>
    </w:p>
    <w:p w14:paraId="4983F04A">
      <w:pPr>
        <w:shd w:val="clear"/>
        <w:rPr>
          <w:color w:val="auto"/>
          <w:highlight w:val="none"/>
        </w:rPr>
      </w:pPr>
    </w:p>
    <w:p w14:paraId="7373FF4A">
      <w:pPr>
        <w:shd w:val="clear"/>
        <w:rPr>
          <w:rFonts w:ascii="宋体" w:hAnsi="宋体"/>
          <w:b/>
          <w:color w:val="auto"/>
          <w:szCs w:val="21"/>
          <w:highlight w:val="none"/>
        </w:rPr>
      </w:pPr>
      <w:r>
        <w:rPr>
          <w:rFonts w:hint="eastAsia" w:ascii="宋体" w:hAnsi="宋体"/>
          <w:b/>
          <w:color w:val="auto"/>
          <w:szCs w:val="21"/>
          <w:highlight w:val="none"/>
        </w:rPr>
        <w:t>四、投标文件的递交</w:t>
      </w:r>
    </w:p>
    <w:p w14:paraId="69497375">
      <w:pPr>
        <w:shd w:val="clear"/>
        <w:ind w:firstLine="420" w:firstLineChars="200"/>
        <w:rPr>
          <w:rFonts w:ascii="宋体" w:hAnsi="宋体"/>
          <w:color w:val="auto"/>
          <w:szCs w:val="21"/>
          <w:highlight w:val="none"/>
          <w:u w:val="none"/>
        </w:rPr>
      </w:pPr>
      <w:r>
        <w:rPr>
          <w:rFonts w:hint="eastAsia" w:ascii="宋体" w:hAnsi="宋体"/>
          <w:color w:val="auto"/>
          <w:szCs w:val="21"/>
          <w:highlight w:val="none"/>
        </w:rPr>
        <w:t>1、递交投标文件时间：</w:t>
      </w:r>
      <w:r>
        <w:rPr>
          <w:rFonts w:hint="eastAsia" w:ascii="宋体" w:hAnsi="宋体" w:cs="宋体"/>
          <w:color w:val="auto"/>
          <w:szCs w:val="21"/>
          <w:highlight w:val="none"/>
          <w:u w:val="none"/>
        </w:rPr>
        <w:t>20</w:t>
      </w:r>
      <w:r>
        <w:rPr>
          <w:rFonts w:hint="eastAsia" w:ascii="宋体" w:hAnsi="宋体" w:cs="宋体"/>
          <w:color w:val="auto"/>
          <w:szCs w:val="21"/>
          <w:highlight w:val="none"/>
          <w:u w:val="none"/>
          <w:lang w:val="en-US" w:eastAsia="zh-CN"/>
        </w:rPr>
        <w:t>25</w:t>
      </w:r>
      <w:r>
        <w:rPr>
          <w:rFonts w:hint="eastAsia" w:ascii="宋体" w:hAnsi="宋体" w:cs="宋体"/>
          <w:color w:val="auto"/>
          <w:szCs w:val="21"/>
          <w:highlight w:val="none"/>
          <w:u w:val="none"/>
        </w:rPr>
        <w:t>年</w:t>
      </w:r>
      <w:r>
        <w:rPr>
          <w:rFonts w:hint="eastAsia" w:ascii="宋体" w:hAnsi="宋体" w:cs="宋体"/>
          <w:color w:val="auto"/>
          <w:szCs w:val="21"/>
          <w:highlight w:val="none"/>
          <w:u w:val="none"/>
          <w:lang w:val="en-US" w:eastAsia="zh-CN"/>
        </w:rPr>
        <w:t>10</w:t>
      </w:r>
      <w:r>
        <w:rPr>
          <w:rFonts w:hint="eastAsia" w:ascii="宋体" w:hAnsi="宋体" w:cs="宋体"/>
          <w:color w:val="auto"/>
          <w:szCs w:val="21"/>
          <w:highlight w:val="none"/>
          <w:u w:val="none"/>
        </w:rPr>
        <w:t>月</w:t>
      </w:r>
      <w:r>
        <w:rPr>
          <w:rFonts w:hint="eastAsia" w:ascii="宋体" w:hAnsi="宋体" w:cs="宋体"/>
          <w:color w:val="auto"/>
          <w:szCs w:val="21"/>
          <w:highlight w:val="none"/>
          <w:u w:val="none"/>
          <w:lang w:val="en-US" w:eastAsia="zh-CN"/>
        </w:rPr>
        <w:t>23</w:t>
      </w:r>
      <w:r>
        <w:rPr>
          <w:rFonts w:hint="eastAsia" w:ascii="宋体" w:hAnsi="宋体" w:cs="宋体"/>
          <w:color w:val="auto"/>
          <w:szCs w:val="21"/>
          <w:highlight w:val="none"/>
          <w:u w:val="none"/>
        </w:rPr>
        <w:t>日（</w:t>
      </w:r>
      <w:r>
        <w:rPr>
          <w:rFonts w:hint="eastAsia" w:ascii="宋体" w:hAnsi="宋体"/>
          <w:color w:val="auto"/>
          <w:szCs w:val="21"/>
          <w:highlight w:val="none"/>
          <w:u w:val="none"/>
        </w:rPr>
        <w:t>北京时间）</w:t>
      </w:r>
      <w:r>
        <w:rPr>
          <w:rFonts w:hint="eastAsia" w:ascii="宋体" w:hAnsi="宋体"/>
          <w:color w:val="auto"/>
          <w:szCs w:val="21"/>
          <w:highlight w:val="none"/>
          <w:u w:val="none"/>
          <w:lang w:val="en-US" w:eastAsia="zh-CN"/>
        </w:rPr>
        <w:t>14</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00</w:t>
      </w:r>
      <w:r>
        <w:rPr>
          <w:rFonts w:ascii="宋体" w:hAnsi="宋体"/>
          <w:color w:val="auto"/>
          <w:szCs w:val="21"/>
          <w:highlight w:val="none"/>
          <w:u w:val="none"/>
        </w:rPr>
        <w:t>-</w:t>
      </w:r>
      <w:r>
        <w:rPr>
          <w:rFonts w:hint="eastAsia" w:ascii="宋体" w:hAnsi="宋体"/>
          <w:color w:val="auto"/>
          <w:szCs w:val="21"/>
          <w:highlight w:val="none"/>
          <w:u w:val="none"/>
          <w:lang w:val="en-US" w:eastAsia="zh-CN"/>
        </w:rPr>
        <w:t>14</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30</w:t>
      </w:r>
      <w:r>
        <w:rPr>
          <w:rFonts w:hint="eastAsia" w:ascii="宋体" w:hAnsi="宋体"/>
          <w:color w:val="auto"/>
          <w:szCs w:val="21"/>
          <w:highlight w:val="none"/>
          <w:u w:val="none"/>
        </w:rPr>
        <w:t>。</w:t>
      </w:r>
    </w:p>
    <w:p w14:paraId="4A5DE8B0">
      <w:pPr>
        <w:shd w:val="clear"/>
        <w:ind w:firstLine="420" w:firstLineChars="200"/>
        <w:rPr>
          <w:rFonts w:ascii="宋体" w:hAnsi="宋体"/>
          <w:b/>
          <w:color w:val="auto"/>
          <w:szCs w:val="21"/>
          <w:highlight w:val="none"/>
        </w:rPr>
      </w:pPr>
      <w:r>
        <w:rPr>
          <w:rFonts w:hint="eastAsia" w:ascii="宋体" w:hAnsi="宋体"/>
          <w:color w:val="auto"/>
          <w:szCs w:val="21"/>
          <w:highlight w:val="none"/>
          <w:u w:val="none"/>
        </w:rPr>
        <w:t>2、递交投标文件</w:t>
      </w:r>
      <w:r>
        <w:rPr>
          <w:rFonts w:ascii="宋体" w:hAnsi="宋体"/>
          <w:color w:val="auto"/>
          <w:szCs w:val="21"/>
          <w:highlight w:val="none"/>
          <w:u w:val="none"/>
        </w:rPr>
        <w:t>截止</w:t>
      </w:r>
      <w:r>
        <w:rPr>
          <w:rFonts w:hint="eastAsia" w:ascii="宋体" w:hAnsi="宋体"/>
          <w:color w:val="auto"/>
          <w:szCs w:val="21"/>
          <w:highlight w:val="none"/>
          <w:u w:val="none"/>
        </w:rPr>
        <w:t>及开标时间：</w:t>
      </w:r>
      <w:r>
        <w:rPr>
          <w:rFonts w:hint="eastAsia" w:ascii="宋体" w:hAnsi="宋体" w:cs="宋体"/>
          <w:color w:val="auto"/>
          <w:szCs w:val="21"/>
          <w:highlight w:val="none"/>
          <w:u w:val="none"/>
        </w:rPr>
        <w:t>20</w:t>
      </w:r>
      <w:r>
        <w:rPr>
          <w:rFonts w:hint="eastAsia" w:ascii="宋体" w:hAnsi="宋体" w:cs="宋体"/>
          <w:color w:val="auto"/>
          <w:szCs w:val="21"/>
          <w:highlight w:val="none"/>
          <w:u w:val="none"/>
          <w:lang w:val="en-US" w:eastAsia="zh-CN"/>
        </w:rPr>
        <w:t>25</w:t>
      </w:r>
      <w:r>
        <w:rPr>
          <w:rFonts w:hint="eastAsia" w:ascii="宋体" w:hAnsi="宋体" w:cs="宋体"/>
          <w:color w:val="auto"/>
          <w:szCs w:val="21"/>
          <w:highlight w:val="none"/>
          <w:u w:val="none"/>
        </w:rPr>
        <w:t>年</w:t>
      </w:r>
      <w:r>
        <w:rPr>
          <w:rFonts w:hint="eastAsia" w:ascii="宋体" w:hAnsi="宋体" w:cs="宋体"/>
          <w:color w:val="auto"/>
          <w:szCs w:val="21"/>
          <w:highlight w:val="none"/>
          <w:u w:val="none"/>
          <w:lang w:val="en-US" w:eastAsia="zh-CN"/>
        </w:rPr>
        <w:t>10</w:t>
      </w:r>
      <w:r>
        <w:rPr>
          <w:rFonts w:hint="eastAsia" w:ascii="宋体" w:hAnsi="宋体" w:cs="宋体"/>
          <w:color w:val="auto"/>
          <w:szCs w:val="21"/>
          <w:highlight w:val="none"/>
          <w:u w:val="none"/>
        </w:rPr>
        <w:t>月</w:t>
      </w:r>
      <w:r>
        <w:rPr>
          <w:rFonts w:hint="eastAsia" w:ascii="宋体" w:hAnsi="宋体" w:cs="宋体"/>
          <w:color w:val="auto"/>
          <w:szCs w:val="21"/>
          <w:highlight w:val="none"/>
          <w:u w:val="none"/>
          <w:lang w:val="en-US" w:eastAsia="zh-CN"/>
        </w:rPr>
        <w:t>23</w:t>
      </w:r>
      <w:r>
        <w:rPr>
          <w:rFonts w:hint="eastAsia" w:ascii="宋体" w:hAnsi="宋体" w:cs="宋体"/>
          <w:color w:val="auto"/>
          <w:szCs w:val="21"/>
          <w:highlight w:val="none"/>
          <w:u w:val="none"/>
        </w:rPr>
        <w:t>日</w:t>
      </w:r>
      <w:r>
        <w:rPr>
          <w:rFonts w:hint="eastAsia" w:ascii="宋体" w:hAnsi="宋体" w:cs="宋体"/>
          <w:color w:val="auto"/>
          <w:szCs w:val="21"/>
          <w:highlight w:val="none"/>
          <w:u w:val="none"/>
          <w:lang w:val="en-US" w:eastAsia="zh-CN"/>
        </w:rPr>
        <w:t>14</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30</w:t>
      </w:r>
      <w:r>
        <w:rPr>
          <w:rFonts w:hint="eastAsia" w:ascii="宋体" w:hAnsi="宋体"/>
          <w:color w:val="auto"/>
          <w:szCs w:val="21"/>
          <w:highlight w:val="none"/>
          <w:u w:val="none"/>
        </w:rPr>
        <w:t>（北京时间）</w:t>
      </w:r>
      <w:r>
        <w:rPr>
          <w:rFonts w:hint="eastAsia" w:ascii="宋体" w:hAnsi="宋体"/>
          <w:color w:val="auto"/>
          <w:szCs w:val="21"/>
          <w:highlight w:val="none"/>
        </w:rPr>
        <w:t>，所有投标文件应于截止时间之前递交，迟交或以电报、传真形式的投标文件将拒绝接收。</w:t>
      </w:r>
    </w:p>
    <w:p w14:paraId="55091BB0">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olor w:val="auto"/>
          <w:szCs w:val="21"/>
          <w:highlight w:val="none"/>
          <w:lang w:eastAsia="zh-CN"/>
        </w:rPr>
        <w:t>广东省东莞市莞城区美峰路8号1栋1001。</w:t>
      </w:r>
    </w:p>
    <w:p w14:paraId="203D014E">
      <w:pPr>
        <w:shd w:val="clear"/>
        <w:ind w:firstLine="411" w:firstLineChars="196"/>
        <w:rPr>
          <w:rFonts w:ascii="宋体" w:hAnsi="宋体"/>
          <w:b/>
          <w:bCs w:val="0"/>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r>
        <w:rPr>
          <w:rFonts w:hint="eastAsia" w:ascii="宋体" w:hAnsi="宋体"/>
          <w:b/>
          <w:bCs w:val="0"/>
          <w:color w:val="auto"/>
          <w:szCs w:val="21"/>
          <w:highlight w:val="none"/>
        </w:rPr>
        <w:t>在递交投标文件时，投标人委托授权代表须为本单位正式员工（若联合体投标，允许是联合体任意一方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36BF67AC">
      <w:pPr>
        <w:pStyle w:val="39"/>
        <w:shd w:val="clear"/>
        <w:spacing w:line="360" w:lineRule="auto"/>
        <w:rPr>
          <w:color w:val="auto"/>
          <w:sz w:val="21"/>
          <w:szCs w:val="21"/>
          <w:highlight w:val="none"/>
        </w:rPr>
      </w:pPr>
      <w:r>
        <w:rPr>
          <w:rFonts w:hint="eastAsia" w:ascii="宋体" w:hAnsi="宋体" w:eastAsia="宋体" w:cstheme="minorBidi"/>
          <w:bCs/>
          <w:color w:val="auto"/>
          <w:sz w:val="21"/>
          <w:szCs w:val="21"/>
          <w:highlight w:val="none"/>
          <w:lang w:val="en-US" w:eastAsia="zh-CN" w:bidi="ar-SA"/>
        </w:rPr>
        <w:t>5、出现以</w:t>
      </w:r>
      <w:r>
        <w:rPr>
          <w:rFonts w:hint="eastAsia"/>
          <w:color w:val="auto"/>
          <w:sz w:val="21"/>
          <w:szCs w:val="21"/>
          <w:highlight w:val="none"/>
        </w:rPr>
        <w:t>下情形时，采购代理机构不予接收投标（响应）文件：</w:t>
      </w:r>
    </w:p>
    <w:p w14:paraId="49935606">
      <w:pPr>
        <w:pStyle w:val="39"/>
        <w:shd w:val="clear"/>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（1）逾期送达或者未送达指定地点的；</w:t>
      </w:r>
    </w:p>
    <w:p w14:paraId="20542F14">
      <w:pPr>
        <w:pStyle w:val="39"/>
        <w:shd w:val="clear"/>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（2）未按采购文件要求密封的。</w:t>
      </w:r>
    </w:p>
    <w:p w14:paraId="13B18E1B">
      <w:pPr>
        <w:pStyle w:val="39"/>
        <w:shd w:val="clear"/>
        <w:ind w:firstLine="400"/>
        <w:rPr>
          <w:color w:val="auto"/>
          <w:highlight w:val="none"/>
        </w:rPr>
      </w:pPr>
    </w:p>
    <w:p w14:paraId="70435BD5">
      <w:pPr>
        <w:shd w:val="clear"/>
        <w:rPr>
          <w:rFonts w:hint="eastAsia" w:ascii="宋体" w:hAnsi="宋体" w:eastAsia="宋体"/>
          <w:b/>
          <w:color w:val="auto"/>
          <w:szCs w:val="21"/>
          <w:highlight w:val="none"/>
        </w:rPr>
      </w:pPr>
      <w:r>
        <w:rPr>
          <w:rFonts w:hint="eastAsia" w:ascii="宋体" w:hAnsi="宋体" w:eastAsia="宋体"/>
          <w:b/>
          <w:color w:val="auto"/>
          <w:szCs w:val="21"/>
          <w:highlight w:val="none"/>
        </w:rPr>
        <w:t>五、发布公告的媒介</w:t>
      </w:r>
    </w:p>
    <w:p w14:paraId="11EEB31D">
      <w:pPr>
        <w:pStyle w:val="39"/>
        <w:shd w:val="clear"/>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采购公告</w:t>
      </w:r>
      <w:r>
        <w:rPr>
          <w:rFonts w:hint="eastAsia" w:ascii="宋体" w:hAnsi="宋体" w:eastAsia="宋体" w:cs="宋体"/>
          <w:color w:val="auto"/>
          <w:sz w:val="21"/>
          <w:szCs w:val="21"/>
          <w:highlight w:val="none"/>
          <w:lang w:eastAsia="zh-CN"/>
        </w:rPr>
        <w:t>和</w:t>
      </w:r>
      <w:r>
        <w:rPr>
          <w:rFonts w:hint="eastAsia" w:ascii="宋体" w:hAnsi="宋体" w:eastAsia="宋体" w:cs="宋体"/>
          <w:bCs/>
          <w:color w:val="auto"/>
          <w:sz w:val="21"/>
          <w:szCs w:val="21"/>
          <w:highlight w:val="none"/>
        </w:rPr>
        <w:t>结果公告</w:t>
      </w:r>
      <w:r>
        <w:rPr>
          <w:rFonts w:hint="eastAsia" w:ascii="宋体" w:hAnsi="宋体" w:eastAsia="宋体" w:cs="宋体"/>
          <w:color w:val="auto"/>
          <w:sz w:val="21"/>
          <w:szCs w:val="21"/>
          <w:highlight w:val="none"/>
        </w:rPr>
        <w:t>发布媒介：</w:t>
      </w:r>
    </w:p>
    <w:p w14:paraId="2065A7CD">
      <w:pPr>
        <w:pStyle w:val="39"/>
        <w:shd w:val="clear"/>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1、</w:t>
      </w:r>
      <w:r>
        <w:rPr>
          <w:rFonts w:hint="eastAsia" w:ascii="宋体" w:hAnsi="宋体" w:eastAsia="宋体" w:cs="宋体"/>
          <w:color w:val="auto"/>
          <w:sz w:val="21"/>
          <w:szCs w:val="21"/>
          <w:highlight w:val="none"/>
          <w:u w:val="none"/>
        </w:rPr>
        <w:t>中国招标投标公共服务平台（http://www.cebpubservice.com/）</w:t>
      </w:r>
    </w:p>
    <w:p w14:paraId="604CFA8D">
      <w:pPr>
        <w:pStyle w:val="39"/>
        <w:shd w:val="clear"/>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2、东莞实业投资控股集团有限公司-招标采购栏目（http://www.dgsy.com.cn/）</w:t>
      </w:r>
    </w:p>
    <w:p w14:paraId="07765A24">
      <w:pPr>
        <w:pStyle w:val="39"/>
        <w:shd w:val="clear"/>
        <w:spacing w:line="360" w:lineRule="auto"/>
        <w:rPr>
          <w:rFonts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3、广东建瀚工程管理有限公司</w:t>
      </w:r>
      <w:r>
        <w:rPr>
          <w:rFonts w:hint="eastAsia" w:ascii="宋体" w:hAnsi="宋体" w:eastAsia="宋体" w:cs="宋体"/>
          <w:color w:val="auto"/>
          <w:sz w:val="21"/>
          <w:szCs w:val="21"/>
          <w:highlight w:val="none"/>
          <w:u w:val="none"/>
        </w:rPr>
        <w:t>网（</w:t>
      </w:r>
      <w:r>
        <w:rPr>
          <w:rFonts w:hint="eastAsia" w:ascii="宋体" w:hAnsi="宋体" w:eastAsia="宋体" w:cs="宋体"/>
          <w:color w:val="auto"/>
          <w:sz w:val="21"/>
          <w:szCs w:val="21"/>
          <w:highlight w:val="none"/>
          <w:u w:val="none"/>
          <w:lang w:eastAsia="zh-CN"/>
        </w:rPr>
        <w:t>https://www.jianhanzx.com/</w:t>
      </w:r>
      <w:r>
        <w:rPr>
          <w:rFonts w:hint="eastAsia" w:ascii="宋体" w:hAnsi="宋体" w:eastAsia="宋体" w:cs="宋体"/>
          <w:color w:val="auto"/>
          <w:sz w:val="21"/>
          <w:szCs w:val="21"/>
          <w:highlight w:val="none"/>
          <w:u w:val="none"/>
        </w:rPr>
        <w:t>）</w:t>
      </w:r>
    </w:p>
    <w:p w14:paraId="0A2587B9">
      <w:pPr>
        <w:shd w:val="clear"/>
        <w:ind w:firstLine="413" w:firstLineChars="196"/>
        <w:rPr>
          <w:rFonts w:hint="eastAsia" w:ascii="宋体" w:hAnsi="宋体"/>
          <w:b/>
          <w:color w:val="auto"/>
          <w:szCs w:val="21"/>
          <w:highlight w:val="none"/>
        </w:rPr>
      </w:pPr>
    </w:p>
    <w:p w14:paraId="2E43D010">
      <w:pPr>
        <w:shd w:val="clear"/>
        <w:rPr>
          <w:rFonts w:hint="eastAsia" w:ascii="宋体" w:hAnsi="宋体" w:eastAsia="宋体"/>
          <w:b/>
          <w:color w:val="auto"/>
          <w:szCs w:val="21"/>
          <w:highlight w:val="none"/>
        </w:rPr>
      </w:pPr>
      <w:r>
        <w:rPr>
          <w:rFonts w:hint="eastAsia" w:ascii="宋体" w:hAnsi="宋体" w:eastAsia="宋体"/>
          <w:b/>
          <w:color w:val="auto"/>
          <w:szCs w:val="21"/>
          <w:highlight w:val="none"/>
        </w:rPr>
        <w:t>六、采购人及采购代理机构的名称、地址和联系方法</w:t>
      </w:r>
    </w:p>
    <w:p w14:paraId="5810677C">
      <w:pPr>
        <w:shd w:val="clear"/>
        <w:ind w:firstLine="420" w:firstLineChars="200"/>
        <w:rPr>
          <w:rFonts w:ascii="宋体" w:hAnsi="宋体"/>
          <w:bCs/>
          <w:color w:val="auto"/>
          <w:szCs w:val="21"/>
          <w:highlight w:val="none"/>
        </w:rPr>
      </w:pPr>
      <w:r>
        <w:rPr>
          <w:rFonts w:hint="eastAsia" w:ascii="宋体" w:hAnsi="宋体"/>
          <w:bCs/>
          <w:color w:val="auto"/>
          <w:szCs w:val="21"/>
          <w:highlight w:val="none"/>
        </w:rPr>
        <w:t>采购人</w:t>
      </w:r>
      <w:r>
        <w:rPr>
          <w:rFonts w:ascii="宋体" w:hAnsi="宋体"/>
          <w:bCs/>
          <w:color w:val="auto"/>
          <w:szCs w:val="21"/>
          <w:highlight w:val="none"/>
        </w:rPr>
        <w:t>名称</w:t>
      </w:r>
      <w:r>
        <w:rPr>
          <w:rFonts w:hint="eastAsia" w:ascii="宋体" w:hAnsi="宋体"/>
          <w:bCs/>
          <w:color w:val="auto"/>
          <w:szCs w:val="21"/>
          <w:highlight w:val="none"/>
        </w:rPr>
        <w:t>：</w:t>
      </w:r>
      <w:r>
        <w:rPr>
          <w:rFonts w:hint="eastAsia" w:ascii="宋体" w:hAnsi="宋体"/>
          <w:bCs/>
          <w:color w:val="auto"/>
          <w:szCs w:val="21"/>
          <w:highlight w:val="none"/>
          <w:lang w:eastAsia="zh-CN"/>
        </w:rPr>
        <w:t>东莞市新锋新能源有限公司</w:t>
      </w:r>
    </w:p>
    <w:p w14:paraId="403732C4">
      <w:pPr>
        <w:shd w:val="clear"/>
        <w:ind w:firstLine="420" w:firstLineChars="200"/>
        <w:rPr>
          <w:rFonts w:ascii="宋体" w:hAnsi="宋体"/>
          <w:bCs/>
          <w:color w:val="auto"/>
          <w:szCs w:val="21"/>
          <w:highlight w:val="none"/>
        </w:rPr>
      </w:pPr>
      <w:r>
        <w:rPr>
          <w:rFonts w:hint="eastAsia" w:ascii="宋体" w:hAnsi="宋体"/>
          <w:bCs/>
          <w:color w:val="auto"/>
          <w:szCs w:val="21"/>
          <w:highlight w:val="none"/>
        </w:rPr>
        <w:t>采购人联系人：翟先生</w:t>
      </w:r>
    </w:p>
    <w:p w14:paraId="797C61A2">
      <w:pPr>
        <w:shd w:val="clear"/>
        <w:ind w:firstLine="420" w:firstLineChars="200"/>
        <w:rPr>
          <w:rFonts w:ascii="宋体" w:hAnsi="宋体"/>
          <w:bCs/>
          <w:color w:val="auto"/>
          <w:szCs w:val="21"/>
          <w:highlight w:val="none"/>
        </w:rPr>
      </w:pPr>
      <w:r>
        <w:rPr>
          <w:rFonts w:hint="eastAsia" w:ascii="宋体" w:hAnsi="宋体"/>
          <w:bCs/>
          <w:color w:val="auto"/>
          <w:szCs w:val="21"/>
          <w:highlight w:val="none"/>
        </w:rPr>
        <w:t>采购人地址：广东省东莞市松山湖园区新城路5号1栋601室</w:t>
      </w:r>
    </w:p>
    <w:p w14:paraId="7C290F96">
      <w:pPr>
        <w:shd w:val="clear"/>
        <w:ind w:firstLine="420" w:firstLineChars="200"/>
        <w:rPr>
          <w:rFonts w:ascii="宋体" w:hAnsi="宋体"/>
          <w:bCs/>
          <w:color w:val="auto"/>
          <w:szCs w:val="21"/>
          <w:highlight w:val="none"/>
        </w:rPr>
      </w:pPr>
      <w:r>
        <w:rPr>
          <w:rFonts w:hint="eastAsia" w:ascii="宋体" w:hAnsi="宋体"/>
          <w:bCs/>
          <w:color w:val="auto"/>
          <w:szCs w:val="21"/>
          <w:highlight w:val="none"/>
        </w:rPr>
        <w:t>采购人联系电话：0769-22899838</w:t>
      </w:r>
      <w:r>
        <w:rPr>
          <w:rFonts w:hint="eastAsia" w:ascii="宋体" w:hAnsi="宋体" w:cs="宋体"/>
          <w:color w:val="auto"/>
          <w:sz w:val="22"/>
          <w:highlight w:val="none"/>
        </w:rPr>
        <w:t xml:space="preserve"> </w:t>
      </w:r>
    </w:p>
    <w:p w14:paraId="0A7BD7EE">
      <w:pPr>
        <w:shd w:val="clear"/>
        <w:ind w:firstLine="420" w:firstLineChars="200"/>
        <w:rPr>
          <w:rFonts w:ascii="宋体" w:hAnsi="宋体"/>
          <w:color w:val="auto"/>
          <w:szCs w:val="21"/>
          <w:highlight w:val="none"/>
        </w:rPr>
      </w:pPr>
    </w:p>
    <w:p w14:paraId="3ABA4F81">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采购代理机构名称：</w:t>
      </w:r>
      <w:r>
        <w:rPr>
          <w:rFonts w:hint="eastAsia" w:ascii="宋体" w:hAnsi="宋体"/>
          <w:color w:val="auto"/>
          <w:szCs w:val="21"/>
          <w:highlight w:val="none"/>
          <w:lang w:eastAsia="zh-CN"/>
        </w:rPr>
        <w:t>广东建瀚工程管理有限公司</w:t>
      </w:r>
    </w:p>
    <w:p w14:paraId="150C395E">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采购代理机构地址：</w:t>
      </w:r>
      <w:r>
        <w:rPr>
          <w:rFonts w:hint="eastAsia" w:ascii="宋体" w:hAnsi="宋体"/>
          <w:color w:val="auto"/>
          <w:szCs w:val="21"/>
          <w:highlight w:val="none"/>
          <w:lang w:eastAsia="zh-CN"/>
        </w:rPr>
        <w:t>广东省东莞市莞城区美峰路8号1栋1001</w:t>
      </w:r>
    </w:p>
    <w:p w14:paraId="3BA4A87A">
      <w:pPr>
        <w:shd w:val="clea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黎工</w:t>
      </w:r>
    </w:p>
    <w:p w14:paraId="59BCEFFE">
      <w:pPr>
        <w:shd w:val="clear"/>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rPr>
        <w:t>采购代理机构联系电话：</w:t>
      </w:r>
      <w:r>
        <w:rPr>
          <w:rFonts w:hint="eastAsia" w:ascii="宋体" w:hAnsi="宋体"/>
          <w:color w:val="auto"/>
          <w:szCs w:val="21"/>
          <w:highlight w:val="none"/>
          <w:lang w:eastAsia="zh-CN"/>
        </w:rPr>
        <w:t>0769-31000869</w:t>
      </w:r>
    </w:p>
    <w:p w14:paraId="19C300E5">
      <w:pPr>
        <w:shd w:val="clear"/>
        <w:ind w:firstLine="420" w:firstLineChars="200"/>
        <w:rPr>
          <w:color w:val="auto"/>
          <w:highlight w:val="none"/>
        </w:rPr>
      </w:pPr>
      <w:r>
        <w:rPr>
          <w:rFonts w:hint="eastAsia" w:ascii="宋体" w:hAnsi="宋体"/>
          <w:color w:val="auto"/>
          <w:szCs w:val="21"/>
          <w:highlight w:val="none"/>
        </w:rPr>
        <w:t>采购代理机构邮箱：</w:t>
      </w:r>
      <w:r>
        <w:rPr>
          <w:rFonts w:hint="eastAsia" w:ascii="宋体" w:hAnsi="宋体"/>
          <w:color w:val="auto"/>
          <w:szCs w:val="21"/>
          <w:highlight w:val="none"/>
          <w:lang w:val="en-US" w:eastAsia="zh-CN"/>
        </w:rPr>
        <w:t>995080042</w:t>
      </w:r>
      <w:r>
        <w:rPr>
          <w:rFonts w:hint="eastAsia" w:ascii="宋体" w:hAnsi="宋体"/>
          <w:color w:val="auto"/>
          <w:szCs w:val="21"/>
          <w:highlight w:val="none"/>
        </w:rPr>
        <w:t>4@qq.com</w:t>
      </w:r>
    </w:p>
    <w:p w14:paraId="3ABABB37">
      <w:pPr>
        <w:shd w:val="clear"/>
        <w:ind w:firstLine="420" w:firstLineChars="200"/>
        <w:rPr>
          <w:color w:val="auto"/>
          <w:highlight w:val="none"/>
        </w:rPr>
      </w:pPr>
    </w:p>
    <w:p w14:paraId="59EA81AA">
      <w:pPr>
        <w:shd w:val="clear"/>
        <w:ind w:right="752" w:rightChars="358"/>
        <w:jc w:val="right"/>
        <w:rPr>
          <w:color w:val="auto"/>
          <w:highlight w:val="none"/>
        </w:rPr>
      </w:pPr>
    </w:p>
    <w:p w14:paraId="103A6CBF">
      <w:pPr>
        <w:keepNext w:val="0"/>
        <w:keepLines w:val="0"/>
        <w:pageBreakBefore w:val="0"/>
        <w:widowControl/>
        <w:shd w:val="clear"/>
        <w:kinsoku/>
        <w:wordWrap/>
        <w:overflowPunct/>
        <w:topLinePunct w:val="0"/>
        <w:autoSpaceDE/>
        <w:autoSpaceDN/>
        <w:bidi w:val="0"/>
        <w:adjustRightInd/>
        <w:snapToGrid/>
        <w:spacing w:line="400" w:lineRule="exact"/>
        <w:ind w:right="752" w:rightChars="358"/>
        <w:jc w:val="right"/>
        <w:textAlignment w:val="auto"/>
        <w:rPr>
          <w:rFonts w:hint="eastAsia" w:ascii="宋体" w:hAnsi="宋体" w:eastAsia="宋体" w:cs="宋体"/>
          <w:color w:val="auto"/>
          <w:sz w:val="21"/>
          <w:szCs w:val="21"/>
          <w:highlight w:val="none"/>
        </w:rPr>
      </w:pPr>
    </w:p>
    <w:p w14:paraId="03709C16">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广东建瀚工程管理有限公司</w:t>
      </w:r>
    </w:p>
    <w:p w14:paraId="38D2F7EE">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default"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202</w:t>
      </w:r>
      <w:r>
        <w:rPr>
          <w:rFonts w:hint="eastAsia" w:ascii="宋体" w:hAnsi="宋体" w:cs="宋体"/>
          <w:color w:val="auto"/>
          <w:sz w:val="21"/>
          <w:szCs w:val="21"/>
          <w:highlight w:val="none"/>
          <w:lang w:val="en-US" w:eastAsia="zh-CN"/>
        </w:rPr>
        <w:t xml:space="preserve">5 </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 xml:space="preserve"> 09 </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 xml:space="preserve"> 30日</w:t>
      </w:r>
    </w:p>
    <w:p w14:paraId="39BF4974">
      <w:pPr>
        <w:shd w:val="clea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14:paraId="5A9B3844">
      <w:pPr>
        <w:pStyle w:val="6"/>
        <w:shd w:val="clear"/>
        <w:spacing w:before="0" w:after="0" w:line="240" w:lineRule="auto"/>
        <w:rPr>
          <w:color w:val="auto"/>
          <w:sz w:val="28"/>
          <w:szCs w:val="28"/>
          <w:highlight w:val="none"/>
        </w:rPr>
      </w:pPr>
      <w:bookmarkStart w:id="2" w:name="_Toc27633"/>
      <w:r>
        <w:rPr>
          <w:rFonts w:hint="eastAsia"/>
          <w:color w:val="auto"/>
          <w:sz w:val="28"/>
          <w:szCs w:val="28"/>
          <w:highlight w:val="none"/>
        </w:rPr>
        <w:t>第二部分相关资料表格</w:t>
      </w:r>
      <w:bookmarkEnd w:id="2"/>
    </w:p>
    <w:p w14:paraId="0950D495">
      <w:pPr>
        <w:pStyle w:val="7"/>
        <w:shd w:val="clear"/>
        <w:spacing w:before="0" w:after="0" w:line="240" w:lineRule="auto"/>
        <w:jc w:val="center"/>
        <w:rPr>
          <w:rFonts w:ascii="宋体" w:hAnsi="宋体" w:cs="宋体"/>
          <w:color w:val="auto"/>
          <w:sz w:val="24"/>
          <w:szCs w:val="24"/>
          <w:highlight w:val="none"/>
        </w:rPr>
      </w:pPr>
      <w:bookmarkStart w:id="3" w:name="_Toc1316"/>
      <w:r>
        <w:rPr>
          <w:rFonts w:hint="eastAsia" w:ascii="宋体" w:hAnsi="宋体" w:cs="宋体"/>
          <w:color w:val="auto"/>
          <w:sz w:val="24"/>
          <w:szCs w:val="24"/>
          <w:highlight w:val="none"/>
        </w:rPr>
        <w:t>附表一：投标资料表</w:t>
      </w:r>
      <w:bookmarkEnd w:id="3"/>
    </w:p>
    <w:tbl>
      <w:tblPr>
        <w:tblStyle w:val="28"/>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01"/>
        <w:gridCol w:w="2250"/>
        <w:gridCol w:w="5359"/>
      </w:tblGrid>
      <w:tr w14:paraId="498089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tcBorders>
              <w:tl2br w:val="nil"/>
              <w:tr2bl w:val="nil"/>
            </w:tcBorders>
            <w:vAlign w:val="center"/>
          </w:tcPr>
          <w:p w14:paraId="2568C61F">
            <w:pPr>
              <w:shd w:val="clear"/>
              <w:jc w:val="center"/>
              <w:rPr>
                <w:rFonts w:ascii="宋体" w:hAnsi="宋体"/>
                <w:color w:val="auto"/>
                <w:sz w:val="21"/>
                <w:szCs w:val="21"/>
                <w:highlight w:val="none"/>
              </w:rPr>
            </w:pPr>
            <w:r>
              <w:rPr>
                <w:rFonts w:hint="eastAsia" w:ascii="宋体" w:hAnsi="宋体"/>
                <w:color w:val="auto"/>
                <w:sz w:val="21"/>
                <w:szCs w:val="21"/>
                <w:highlight w:val="none"/>
              </w:rPr>
              <w:t>序号</w:t>
            </w:r>
          </w:p>
        </w:tc>
        <w:tc>
          <w:tcPr>
            <w:tcW w:w="7609" w:type="dxa"/>
            <w:gridSpan w:val="2"/>
            <w:tcBorders>
              <w:tl2br w:val="nil"/>
              <w:tr2bl w:val="nil"/>
            </w:tcBorders>
            <w:vAlign w:val="center"/>
          </w:tcPr>
          <w:p w14:paraId="3B7F3898">
            <w:pPr>
              <w:shd w:val="clear"/>
              <w:jc w:val="center"/>
              <w:rPr>
                <w:rFonts w:ascii="宋体" w:hAnsi="宋体"/>
                <w:b/>
                <w:color w:val="auto"/>
                <w:sz w:val="21"/>
                <w:szCs w:val="21"/>
                <w:highlight w:val="none"/>
              </w:rPr>
            </w:pPr>
            <w:r>
              <w:rPr>
                <w:rFonts w:hint="eastAsia" w:ascii="宋体" w:hAnsi="宋体"/>
                <w:b/>
                <w:color w:val="auto"/>
                <w:sz w:val="21"/>
                <w:szCs w:val="21"/>
                <w:highlight w:val="none"/>
              </w:rPr>
              <w:t>内容</w:t>
            </w:r>
          </w:p>
        </w:tc>
      </w:tr>
      <w:tr w14:paraId="13AA4C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8410" w:type="dxa"/>
            <w:gridSpan w:val="3"/>
            <w:tcBorders>
              <w:tl2br w:val="nil"/>
              <w:tr2bl w:val="nil"/>
            </w:tcBorders>
            <w:vAlign w:val="center"/>
          </w:tcPr>
          <w:p w14:paraId="495AFE2B">
            <w:pPr>
              <w:shd w:val="clear"/>
              <w:jc w:val="center"/>
              <w:rPr>
                <w:rFonts w:ascii="宋体" w:hAnsi="宋体"/>
                <w:b/>
                <w:color w:val="auto"/>
                <w:sz w:val="21"/>
                <w:szCs w:val="21"/>
                <w:highlight w:val="none"/>
              </w:rPr>
            </w:pPr>
            <w:r>
              <w:rPr>
                <w:rFonts w:hint="eastAsia" w:ascii="宋体" w:hAnsi="宋体"/>
                <w:b/>
                <w:color w:val="auto"/>
                <w:sz w:val="21"/>
                <w:szCs w:val="21"/>
                <w:highlight w:val="none"/>
              </w:rPr>
              <w:t>一、说明</w:t>
            </w:r>
          </w:p>
        </w:tc>
      </w:tr>
      <w:tr w14:paraId="1105EB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3BA44375">
            <w:pPr>
              <w:shd w:val="clear"/>
              <w:jc w:val="center"/>
              <w:rPr>
                <w:rFonts w:ascii="宋体" w:hAnsi="宋体"/>
                <w:color w:val="auto"/>
                <w:sz w:val="21"/>
                <w:szCs w:val="21"/>
                <w:highlight w:val="none"/>
              </w:rPr>
            </w:pPr>
            <w:r>
              <w:rPr>
                <w:rFonts w:hint="eastAsia" w:ascii="宋体" w:hAnsi="宋体"/>
                <w:color w:val="auto"/>
                <w:sz w:val="21"/>
                <w:szCs w:val="21"/>
                <w:highlight w:val="none"/>
              </w:rPr>
              <w:t>1</w:t>
            </w:r>
          </w:p>
        </w:tc>
        <w:tc>
          <w:tcPr>
            <w:tcW w:w="7609" w:type="dxa"/>
            <w:gridSpan w:val="2"/>
            <w:tcBorders>
              <w:tl2br w:val="nil"/>
              <w:tr2bl w:val="nil"/>
            </w:tcBorders>
            <w:vAlign w:val="center"/>
          </w:tcPr>
          <w:p w14:paraId="0C26A03C">
            <w:pPr>
              <w:shd w:val="clear"/>
              <w:rPr>
                <w:rFonts w:ascii="宋体" w:hAnsi="宋体"/>
                <w:b/>
                <w:bCs/>
                <w:color w:val="auto"/>
                <w:sz w:val="21"/>
                <w:szCs w:val="21"/>
                <w:highlight w:val="none"/>
              </w:rPr>
            </w:pPr>
            <w:r>
              <w:rPr>
                <w:rFonts w:hint="eastAsia" w:ascii="宋体" w:hAnsi="宋体"/>
                <w:b/>
                <w:bCs/>
                <w:color w:val="auto"/>
                <w:sz w:val="21"/>
                <w:szCs w:val="21"/>
                <w:highlight w:val="none"/>
              </w:rPr>
              <w:t>项目最高限价（</w:t>
            </w:r>
            <w:r>
              <w:rPr>
                <w:rFonts w:hint="eastAsia" w:ascii="宋体" w:hAnsi="宋体"/>
                <w:b/>
                <w:bCs/>
                <w:color w:val="auto"/>
                <w:sz w:val="21"/>
                <w:szCs w:val="21"/>
                <w:highlight w:val="none"/>
                <w:u w:val="single"/>
              </w:rPr>
              <w:t>单位：元</w:t>
            </w:r>
            <w:r>
              <w:rPr>
                <w:rFonts w:hint="eastAsia" w:ascii="宋体" w:hAnsi="宋体"/>
                <w:b/>
                <w:bCs/>
                <w:color w:val="auto"/>
                <w:sz w:val="21"/>
                <w:szCs w:val="21"/>
                <w:highlight w:val="none"/>
              </w:rPr>
              <w:t>）</w:t>
            </w:r>
          </w:p>
        </w:tc>
      </w:tr>
      <w:tr w14:paraId="6DD758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783880E7">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3BA2E2ED">
            <w:pPr>
              <w:shd w:val="clear"/>
              <w:rPr>
                <w:rFonts w:hint="eastAsia" w:ascii="宋体" w:hAnsi="宋体" w:eastAsia="宋体"/>
                <w:b/>
                <w:bCs/>
                <w:color w:val="auto"/>
                <w:sz w:val="21"/>
                <w:szCs w:val="21"/>
                <w:highlight w:val="none"/>
                <w:lang w:eastAsia="zh-CN"/>
              </w:rPr>
            </w:pPr>
            <w:r>
              <w:rPr>
                <w:rFonts w:hint="eastAsia" w:ascii="宋体" w:hAnsi="宋体"/>
                <w:b w:val="0"/>
                <w:bCs w:val="0"/>
                <w:color w:val="auto"/>
                <w:sz w:val="21"/>
                <w:szCs w:val="21"/>
                <w:highlight w:val="none"/>
              </w:rPr>
              <w:t>与项目预算一致</w:t>
            </w:r>
            <w:r>
              <w:rPr>
                <w:rFonts w:hint="eastAsia" w:ascii="宋体" w:hAnsi="宋体"/>
                <w:b w:val="0"/>
                <w:bCs w:val="0"/>
                <w:color w:val="auto"/>
                <w:sz w:val="21"/>
                <w:szCs w:val="21"/>
                <w:highlight w:val="none"/>
                <w:lang w:eastAsia="zh-CN"/>
              </w:rPr>
              <w:t>。</w:t>
            </w:r>
          </w:p>
        </w:tc>
      </w:tr>
      <w:tr w14:paraId="2316D8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5CBEB78F">
            <w:pPr>
              <w:shd w:val="clear"/>
              <w:jc w:val="center"/>
              <w:rPr>
                <w:rFonts w:ascii="宋体" w:hAnsi="宋体"/>
                <w:color w:val="auto"/>
                <w:sz w:val="21"/>
                <w:szCs w:val="21"/>
                <w:highlight w:val="none"/>
              </w:rPr>
            </w:pPr>
            <w:r>
              <w:rPr>
                <w:rFonts w:hint="eastAsia" w:ascii="宋体" w:hAnsi="宋体"/>
                <w:color w:val="auto"/>
                <w:sz w:val="21"/>
                <w:szCs w:val="21"/>
                <w:highlight w:val="none"/>
              </w:rPr>
              <w:t>2</w:t>
            </w:r>
          </w:p>
        </w:tc>
        <w:tc>
          <w:tcPr>
            <w:tcW w:w="7609" w:type="dxa"/>
            <w:gridSpan w:val="2"/>
            <w:tcBorders>
              <w:tl2br w:val="nil"/>
              <w:tr2bl w:val="nil"/>
            </w:tcBorders>
            <w:vAlign w:val="center"/>
          </w:tcPr>
          <w:p w14:paraId="0E4ECFA4">
            <w:pPr>
              <w:shd w:val="clear"/>
              <w:rPr>
                <w:rFonts w:ascii="宋体" w:hAnsi="宋体"/>
                <w:b/>
                <w:bCs/>
                <w:color w:val="auto"/>
                <w:sz w:val="21"/>
                <w:szCs w:val="21"/>
                <w:highlight w:val="none"/>
              </w:rPr>
            </w:pPr>
            <w:r>
              <w:rPr>
                <w:rFonts w:hint="eastAsia" w:ascii="宋体" w:hAnsi="宋体"/>
                <w:b/>
                <w:bCs/>
                <w:color w:val="auto"/>
                <w:sz w:val="21"/>
                <w:szCs w:val="21"/>
                <w:highlight w:val="none"/>
              </w:rPr>
              <w:t>发包方式</w:t>
            </w:r>
          </w:p>
        </w:tc>
      </w:tr>
      <w:tr w14:paraId="49B298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5FD710DE">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354FD6F3">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固定总价包干；</w:t>
            </w:r>
          </w:p>
          <w:p w14:paraId="11E52CC3">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
                <w:bCs/>
                <w:color w:val="auto"/>
                <w:sz w:val="21"/>
                <w:szCs w:val="21"/>
                <w:highlight w:val="none"/>
              </w:rPr>
              <w:t>固定单价暂定总价包干；</w:t>
            </w:r>
          </w:p>
          <w:p w14:paraId="627E0970">
            <w:pPr>
              <w:shd w:val="clear"/>
              <w:rPr>
                <w:rFonts w:ascii="宋体" w:hAnsi="宋体"/>
                <w:b/>
                <w:bCs/>
                <w:color w:val="auto"/>
                <w:sz w:val="21"/>
                <w:szCs w:val="21"/>
                <w:highlight w:val="none"/>
                <w:u w:val="singl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费率</w:t>
            </w:r>
            <w:r>
              <w:rPr>
                <w:rFonts w:hint="eastAsia" w:ascii="宋体" w:hAnsi="宋体"/>
                <w:b/>
                <w:bCs/>
                <w:color w:val="auto"/>
                <w:sz w:val="21"/>
                <w:szCs w:val="21"/>
                <w:highlight w:val="none"/>
                <w:u w:val="single"/>
              </w:rPr>
              <w:t xml:space="preserve">         ；</w:t>
            </w:r>
          </w:p>
          <w:p w14:paraId="164028EC">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其他</w:t>
            </w:r>
            <w:r>
              <w:rPr>
                <w:rFonts w:hint="eastAsia" w:ascii="宋体" w:hAnsi="宋体"/>
                <w:b/>
                <w:bCs/>
                <w:color w:val="auto"/>
                <w:sz w:val="21"/>
                <w:szCs w:val="21"/>
                <w:highlight w:val="none"/>
                <w:u w:val="single"/>
              </w:rPr>
              <w:t xml:space="preserve">           </w:t>
            </w:r>
            <w:r>
              <w:rPr>
                <w:rFonts w:hint="eastAsia" w:ascii="宋体" w:hAnsi="宋体"/>
                <w:b/>
                <w:bCs/>
                <w:color w:val="auto"/>
                <w:sz w:val="21"/>
                <w:szCs w:val="21"/>
                <w:highlight w:val="none"/>
              </w:rPr>
              <w:t>；</w:t>
            </w:r>
          </w:p>
        </w:tc>
      </w:tr>
      <w:tr w14:paraId="0B563A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05DB26C7">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3</w:t>
            </w:r>
          </w:p>
        </w:tc>
        <w:tc>
          <w:tcPr>
            <w:tcW w:w="7609" w:type="dxa"/>
            <w:gridSpan w:val="2"/>
            <w:tcBorders>
              <w:tl2br w:val="nil"/>
              <w:tr2bl w:val="nil"/>
            </w:tcBorders>
            <w:vAlign w:val="center"/>
          </w:tcPr>
          <w:p w14:paraId="638E6612">
            <w:pPr>
              <w:shd w:val="clear"/>
              <w:rPr>
                <w:rFonts w:ascii="宋体" w:hAnsi="宋体"/>
                <w:b/>
                <w:bCs/>
                <w:color w:val="auto"/>
                <w:sz w:val="21"/>
                <w:szCs w:val="21"/>
                <w:highlight w:val="none"/>
              </w:rPr>
            </w:pPr>
            <w:r>
              <w:rPr>
                <w:rFonts w:hint="eastAsia" w:ascii="宋体" w:hAnsi="宋体"/>
                <w:b/>
                <w:bCs/>
                <w:color w:val="auto"/>
                <w:sz w:val="21"/>
                <w:szCs w:val="21"/>
                <w:highlight w:val="none"/>
              </w:rPr>
              <w:t>资金来源</w:t>
            </w:r>
          </w:p>
        </w:tc>
      </w:tr>
      <w:tr w14:paraId="1C1AFA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114520B5">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7A8D6099">
            <w:pPr>
              <w:shd w:val="clear"/>
              <w:rPr>
                <w:rFonts w:ascii="宋体" w:hAnsi="宋体"/>
                <w:b/>
                <w:bCs/>
                <w:color w:val="auto"/>
                <w:sz w:val="21"/>
                <w:szCs w:val="21"/>
                <w:highlight w:val="none"/>
              </w:rPr>
            </w:pPr>
            <w:r>
              <w:rPr>
                <w:rFonts w:hint="eastAsia" w:ascii="宋体" w:hAnsi="宋体"/>
                <w:color w:val="auto"/>
                <w:sz w:val="21"/>
                <w:szCs w:val="21"/>
                <w:highlight w:val="none"/>
                <w:u w:val="single"/>
              </w:rPr>
              <w:t>自筹资金。</w:t>
            </w:r>
          </w:p>
        </w:tc>
      </w:tr>
      <w:tr w14:paraId="696DF1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6B9C12D1">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4</w:t>
            </w:r>
          </w:p>
        </w:tc>
        <w:tc>
          <w:tcPr>
            <w:tcW w:w="7609" w:type="dxa"/>
            <w:gridSpan w:val="2"/>
            <w:tcBorders>
              <w:tl2br w:val="nil"/>
              <w:tr2bl w:val="nil"/>
            </w:tcBorders>
            <w:vAlign w:val="center"/>
          </w:tcPr>
          <w:p w14:paraId="07C6DA37">
            <w:pPr>
              <w:shd w:val="clear"/>
              <w:rPr>
                <w:rFonts w:ascii="宋体" w:hAnsi="宋体"/>
                <w:b/>
                <w:color w:val="auto"/>
                <w:sz w:val="21"/>
                <w:szCs w:val="21"/>
                <w:highlight w:val="none"/>
              </w:rPr>
            </w:pPr>
            <w:r>
              <w:rPr>
                <w:rFonts w:hint="eastAsia" w:ascii="宋体" w:hAnsi="宋体"/>
                <w:b/>
                <w:color w:val="auto"/>
                <w:sz w:val="21"/>
                <w:szCs w:val="21"/>
                <w:highlight w:val="none"/>
              </w:rPr>
              <w:t>踏勘现场</w:t>
            </w:r>
          </w:p>
        </w:tc>
      </w:tr>
      <w:tr w14:paraId="7B25E6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08EFE3C0">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3946D6D0">
            <w:pPr>
              <w:shd w:val="clear"/>
              <w:rPr>
                <w:rFonts w:ascii="宋体" w:hAnsi="宋体"/>
                <w:bCs/>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Cs/>
                <w:color w:val="auto"/>
                <w:sz w:val="21"/>
                <w:szCs w:val="21"/>
                <w:highlight w:val="none"/>
              </w:rPr>
              <w:t>不组织 。</w:t>
            </w:r>
          </w:p>
          <w:p w14:paraId="6E9CB212">
            <w:pPr>
              <w:shd w:val="clear"/>
              <w:rPr>
                <w:rFonts w:ascii="宋体" w:hAnsi="宋体"/>
                <w:bCs/>
                <w:color w:val="auto"/>
                <w:sz w:val="21"/>
                <w:szCs w:val="21"/>
                <w:highlight w:val="none"/>
              </w:rPr>
            </w:pPr>
            <w:r>
              <w:rPr>
                <w:rFonts w:hint="eastAsia" w:ascii="宋体" w:hAnsi="宋体"/>
                <w:b/>
                <w:bCs/>
                <w:color w:val="auto"/>
                <w:sz w:val="21"/>
                <w:szCs w:val="21"/>
                <w:highlight w:val="none"/>
              </w:rPr>
              <w:sym w:font="Wingdings" w:char="00A8"/>
            </w:r>
            <w:r>
              <w:rPr>
                <w:rFonts w:hint="eastAsia" w:ascii="宋体" w:hAnsi="宋体"/>
                <w:bCs/>
                <w:color w:val="auto"/>
                <w:sz w:val="21"/>
                <w:szCs w:val="21"/>
                <w:highlight w:val="none"/>
              </w:rPr>
              <w:t>组织，踏勘现场时间、地点：</w:t>
            </w:r>
            <w:r>
              <w:rPr>
                <w:rFonts w:hint="eastAsia" w:ascii="宋体" w:hAnsi="宋体"/>
                <w:bCs/>
                <w:color w:val="auto"/>
                <w:sz w:val="21"/>
                <w:szCs w:val="21"/>
                <w:highlight w:val="none"/>
                <w:u w:val="single"/>
              </w:rPr>
              <w:t xml:space="preserve">         </w:t>
            </w:r>
            <w:r>
              <w:rPr>
                <w:rFonts w:hint="eastAsia" w:ascii="宋体" w:hAnsi="宋体"/>
                <w:bCs/>
                <w:color w:val="auto"/>
                <w:sz w:val="21"/>
                <w:szCs w:val="21"/>
                <w:highlight w:val="none"/>
              </w:rPr>
              <w:t xml:space="preserve">。 </w:t>
            </w:r>
          </w:p>
        </w:tc>
      </w:tr>
      <w:tr w14:paraId="216364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8410" w:type="dxa"/>
            <w:gridSpan w:val="3"/>
            <w:tcBorders>
              <w:tl2br w:val="nil"/>
              <w:tr2bl w:val="nil"/>
            </w:tcBorders>
            <w:vAlign w:val="center"/>
          </w:tcPr>
          <w:p w14:paraId="0A3ACA04">
            <w:pPr>
              <w:shd w:val="clear"/>
              <w:jc w:val="center"/>
              <w:rPr>
                <w:rFonts w:ascii="宋体" w:hAnsi="宋体"/>
                <w:b/>
                <w:color w:val="auto"/>
                <w:sz w:val="21"/>
                <w:szCs w:val="21"/>
                <w:highlight w:val="none"/>
              </w:rPr>
            </w:pPr>
            <w:r>
              <w:rPr>
                <w:rFonts w:hint="eastAsia" w:ascii="宋体" w:hAnsi="宋体"/>
                <w:b/>
                <w:color w:val="auto"/>
                <w:sz w:val="21"/>
                <w:szCs w:val="21"/>
                <w:highlight w:val="none"/>
              </w:rPr>
              <w:t>二、投标文件的编制</w:t>
            </w:r>
          </w:p>
        </w:tc>
      </w:tr>
      <w:tr w14:paraId="173A89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22F28EC1">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5</w:t>
            </w:r>
          </w:p>
        </w:tc>
        <w:tc>
          <w:tcPr>
            <w:tcW w:w="7609" w:type="dxa"/>
            <w:gridSpan w:val="2"/>
            <w:tcBorders>
              <w:tl2br w:val="nil"/>
              <w:tr2bl w:val="nil"/>
            </w:tcBorders>
            <w:vAlign w:val="center"/>
          </w:tcPr>
          <w:p w14:paraId="6FC25F2D">
            <w:pPr>
              <w:shd w:val="clear"/>
              <w:rPr>
                <w:rFonts w:ascii="宋体" w:hAnsi="宋体"/>
                <w:b/>
                <w:color w:val="auto"/>
                <w:sz w:val="21"/>
                <w:szCs w:val="21"/>
                <w:highlight w:val="none"/>
              </w:rPr>
            </w:pPr>
            <w:r>
              <w:rPr>
                <w:rFonts w:hint="eastAsia" w:ascii="宋体" w:hAnsi="宋体"/>
                <w:b/>
                <w:color w:val="auto"/>
                <w:sz w:val="21"/>
                <w:szCs w:val="21"/>
                <w:highlight w:val="none"/>
              </w:rPr>
              <w:t>投标语言</w:t>
            </w:r>
          </w:p>
        </w:tc>
      </w:tr>
      <w:tr w14:paraId="1BE346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4B69035C">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1AB86E15">
            <w:pPr>
              <w:shd w:val="clear"/>
              <w:rPr>
                <w:rFonts w:ascii="宋体" w:hAnsi="宋体"/>
                <w:b/>
                <w:color w:val="auto"/>
                <w:sz w:val="21"/>
                <w:szCs w:val="21"/>
                <w:highlight w:val="none"/>
              </w:rPr>
            </w:pPr>
            <w:r>
              <w:rPr>
                <w:rFonts w:hint="eastAsia" w:ascii="宋体" w:hAnsi="宋体"/>
                <w:color w:val="auto"/>
                <w:sz w:val="21"/>
                <w:szCs w:val="21"/>
                <w:highlight w:val="none"/>
              </w:rPr>
              <w:t>中文。</w:t>
            </w:r>
          </w:p>
        </w:tc>
      </w:tr>
      <w:tr w14:paraId="3C9581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5FA9D47D">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6</w:t>
            </w:r>
          </w:p>
        </w:tc>
        <w:tc>
          <w:tcPr>
            <w:tcW w:w="7609" w:type="dxa"/>
            <w:gridSpan w:val="2"/>
            <w:tcBorders>
              <w:tl2br w:val="nil"/>
              <w:tr2bl w:val="nil"/>
            </w:tcBorders>
            <w:vAlign w:val="center"/>
          </w:tcPr>
          <w:p w14:paraId="56313748">
            <w:pPr>
              <w:shd w:val="clear"/>
              <w:jc w:val="both"/>
              <w:rPr>
                <w:rFonts w:ascii="宋体" w:hAnsi="宋体"/>
                <w:b/>
                <w:color w:val="auto"/>
                <w:sz w:val="21"/>
                <w:szCs w:val="21"/>
                <w:highlight w:val="none"/>
              </w:rPr>
            </w:pPr>
            <w:r>
              <w:rPr>
                <w:rFonts w:hint="eastAsia" w:ascii="宋体" w:hAnsi="宋体"/>
                <w:b/>
                <w:color w:val="auto"/>
                <w:sz w:val="21"/>
                <w:szCs w:val="21"/>
                <w:highlight w:val="none"/>
              </w:rPr>
              <w:t>投标报价</w:t>
            </w:r>
          </w:p>
        </w:tc>
      </w:tr>
      <w:tr w14:paraId="6B1FF1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7C51C00D">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4AB6E6B9">
            <w:pPr>
              <w:shd w:val="clear"/>
              <w:jc w:val="both"/>
              <w:rPr>
                <w:rFonts w:ascii="宋体" w:hAnsi="宋体"/>
                <w:color w:val="auto"/>
                <w:sz w:val="21"/>
                <w:szCs w:val="21"/>
                <w:highlight w:val="none"/>
              </w:rPr>
            </w:pPr>
            <w:r>
              <w:rPr>
                <w:rFonts w:hint="eastAsia" w:ascii="宋体" w:hAnsi="宋体"/>
                <w:color w:val="auto"/>
                <w:sz w:val="21"/>
                <w:szCs w:val="21"/>
                <w:highlight w:val="none"/>
              </w:rPr>
              <w:t>详见投标人须知。</w:t>
            </w:r>
          </w:p>
        </w:tc>
      </w:tr>
      <w:tr w14:paraId="2CDC67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43EC7147">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7</w:t>
            </w:r>
          </w:p>
        </w:tc>
        <w:tc>
          <w:tcPr>
            <w:tcW w:w="7609" w:type="dxa"/>
            <w:gridSpan w:val="2"/>
            <w:tcBorders>
              <w:tl2br w:val="nil"/>
              <w:tr2bl w:val="nil"/>
            </w:tcBorders>
            <w:vAlign w:val="center"/>
          </w:tcPr>
          <w:p w14:paraId="78BCB464">
            <w:pPr>
              <w:shd w:val="clear"/>
              <w:jc w:val="both"/>
              <w:rPr>
                <w:rFonts w:ascii="宋体" w:hAnsi="宋体"/>
                <w:b/>
                <w:color w:val="auto"/>
                <w:sz w:val="21"/>
                <w:szCs w:val="21"/>
                <w:highlight w:val="none"/>
              </w:rPr>
            </w:pPr>
            <w:r>
              <w:rPr>
                <w:rFonts w:hint="eastAsia" w:ascii="宋体" w:hAnsi="宋体"/>
                <w:b/>
                <w:color w:val="auto"/>
                <w:sz w:val="21"/>
                <w:szCs w:val="21"/>
                <w:highlight w:val="none"/>
              </w:rPr>
              <w:t>投标保证金</w:t>
            </w:r>
          </w:p>
        </w:tc>
      </w:tr>
      <w:tr w14:paraId="3C55F1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7D8F7BA7">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4985F51B">
            <w:pPr>
              <w:shd w:val="clear"/>
              <w:jc w:val="both"/>
              <w:rPr>
                <w:rFonts w:ascii="宋体" w:hAnsi="宋体"/>
                <w:color w:val="auto"/>
                <w:sz w:val="21"/>
                <w:szCs w:val="21"/>
                <w:highlight w:val="none"/>
              </w:rPr>
            </w:pPr>
            <w:r>
              <w:rPr>
                <w:rFonts w:hint="eastAsia" w:ascii="宋体" w:hAnsi="宋体"/>
                <w:color w:val="auto"/>
                <w:sz w:val="21"/>
                <w:szCs w:val="21"/>
                <w:highlight w:val="none"/>
              </w:rPr>
              <w:t>（1）投标保证金金额：</w:t>
            </w:r>
            <w:r>
              <w:rPr>
                <w:rFonts w:hint="eastAsia" w:ascii="宋体" w:hAnsi="宋体" w:eastAsia="宋体"/>
                <w:color w:val="auto"/>
                <w:sz w:val="21"/>
                <w:szCs w:val="21"/>
                <w:highlight w:val="none"/>
              </w:rPr>
              <w:t>人民币</w:t>
            </w:r>
            <w:r>
              <w:rPr>
                <w:rFonts w:hint="eastAsia" w:ascii="宋体" w:hAnsi="宋体" w:eastAsia="宋体"/>
                <w:color w:val="auto"/>
                <w:sz w:val="21"/>
                <w:szCs w:val="21"/>
                <w:highlight w:val="none"/>
                <w:lang w:val="en-US" w:eastAsia="zh-CN"/>
              </w:rPr>
              <w:t>贰万元整</w:t>
            </w:r>
            <w:r>
              <w:rPr>
                <w:rFonts w:hint="eastAsia" w:ascii="宋体" w:hAnsi="宋体" w:eastAsia="宋体"/>
                <w:color w:val="auto"/>
                <w:sz w:val="21"/>
                <w:szCs w:val="21"/>
                <w:highlight w:val="none"/>
              </w:rPr>
              <w:t>（</w:t>
            </w:r>
            <w:r>
              <w:rPr>
                <w:rFonts w:hint="eastAsia" w:ascii="宋体" w:hAnsi="宋体"/>
                <w:b/>
                <w:bCs/>
                <w:color w:val="auto"/>
                <w:sz w:val="21"/>
                <w:szCs w:val="21"/>
                <w:highlight w:val="none"/>
                <w:lang w:val="en-US" w:eastAsia="zh-CN"/>
              </w:rPr>
              <w:t>¥20000.00</w:t>
            </w:r>
            <w:r>
              <w:rPr>
                <w:rFonts w:hint="eastAsia" w:ascii="宋体" w:hAnsi="宋体" w:eastAsia="宋体"/>
                <w:color w:val="auto"/>
                <w:sz w:val="21"/>
                <w:szCs w:val="21"/>
                <w:highlight w:val="none"/>
              </w:rPr>
              <w:t>）</w:t>
            </w:r>
            <w:r>
              <w:rPr>
                <w:rFonts w:hint="eastAsia" w:ascii="宋体" w:hAnsi="宋体"/>
                <w:color w:val="auto"/>
                <w:sz w:val="21"/>
                <w:szCs w:val="21"/>
                <w:highlight w:val="none"/>
              </w:rPr>
              <w:t>。</w:t>
            </w:r>
          </w:p>
        </w:tc>
      </w:tr>
      <w:tr w14:paraId="513F3D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0FE4CA7B">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5DB56983">
            <w:pPr>
              <w:shd w:val="clear"/>
              <w:tabs>
                <w:tab w:val="left" w:pos="567"/>
              </w:tabs>
              <w:jc w:val="both"/>
              <w:rPr>
                <w:rFonts w:hAnsi="宋体"/>
                <w:color w:val="auto"/>
                <w:kern w:val="2"/>
                <w:sz w:val="21"/>
                <w:szCs w:val="21"/>
                <w:highlight w:val="none"/>
                <w:lang w:val="zh-CN"/>
              </w:rPr>
            </w:pPr>
            <w:r>
              <w:rPr>
                <w:rFonts w:hint="eastAsia" w:ascii="宋体" w:hAnsi="宋体"/>
                <w:color w:val="auto"/>
                <w:sz w:val="21"/>
                <w:szCs w:val="21"/>
                <w:highlight w:val="none"/>
              </w:rPr>
              <w:t>（2）</w:t>
            </w:r>
            <w:r>
              <w:rPr>
                <w:rFonts w:hint="eastAsia" w:hAnsi="宋体"/>
                <w:color w:val="auto"/>
                <w:kern w:val="2"/>
                <w:sz w:val="21"/>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372F709A">
            <w:pPr>
              <w:shd w:val="clear"/>
              <w:tabs>
                <w:tab w:val="left" w:pos="567"/>
              </w:tabs>
              <w:ind w:left="567" w:hanging="567"/>
              <w:jc w:val="both"/>
              <w:rPr>
                <w:rFonts w:hAnsi="宋体"/>
                <w:color w:val="auto"/>
                <w:kern w:val="2"/>
                <w:sz w:val="21"/>
                <w:szCs w:val="21"/>
                <w:highlight w:val="none"/>
                <w:lang w:val="zh-CN"/>
              </w:rPr>
            </w:pPr>
            <w:r>
              <w:rPr>
                <w:rFonts w:hint="eastAsia" w:hAnsi="宋体"/>
                <w:color w:val="auto"/>
                <w:kern w:val="2"/>
                <w:sz w:val="21"/>
                <w:szCs w:val="21"/>
                <w:highlight w:val="none"/>
                <w:lang w:val="zh-CN"/>
              </w:rPr>
              <w:t>投标保证金专用账户如下：</w:t>
            </w:r>
          </w:p>
          <w:p w14:paraId="783E6F0B">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帐户名称： </w:t>
            </w:r>
            <w:r>
              <w:rPr>
                <w:rFonts w:hint="eastAsia" w:hAnsi="宋体" w:cs="宋体"/>
                <w:color w:val="auto"/>
                <w:kern w:val="2"/>
                <w:sz w:val="21"/>
                <w:szCs w:val="21"/>
                <w:highlight w:val="none"/>
                <w:u w:val="single"/>
              </w:rPr>
              <w:t xml:space="preserve">  </w:t>
            </w:r>
            <w:r>
              <w:rPr>
                <w:rFonts w:hint="eastAsia" w:ascii="Verdana" w:hAnsi="Verdana" w:eastAsia="Verdana" w:cs="Verdana"/>
                <w:i w:val="0"/>
                <w:iCs w:val="0"/>
                <w:caps w:val="0"/>
                <w:snapToGrid w:val="0"/>
                <w:color w:val="000000"/>
                <w:spacing w:val="0"/>
                <w:kern w:val="0"/>
                <w:sz w:val="21"/>
                <w:szCs w:val="21"/>
                <w:u w:val="single"/>
                <w:shd w:val="clear" w:fill="FFFFFF"/>
                <w:lang w:val="en-US" w:eastAsia="zh-CN" w:bidi="ar"/>
              </w:rPr>
              <w:t>广东建瀚工程管理有限公司东莞分公司</w:t>
            </w:r>
            <w:r>
              <w:rPr>
                <w:rFonts w:hint="eastAsia" w:hAnsi="宋体" w:cs="宋体"/>
                <w:color w:val="auto"/>
                <w:kern w:val="2"/>
                <w:sz w:val="21"/>
                <w:szCs w:val="21"/>
                <w:highlight w:val="none"/>
                <w:u w:val="single"/>
              </w:rPr>
              <w:t xml:space="preserve">  </w:t>
            </w:r>
            <w:r>
              <w:rPr>
                <w:rFonts w:hint="eastAsia" w:hAnsi="宋体" w:cs="宋体"/>
                <w:color w:val="auto"/>
                <w:kern w:val="2"/>
                <w:sz w:val="21"/>
                <w:szCs w:val="21"/>
                <w:highlight w:val="none"/>
                <w:lang w:val="zh-CN"/>
              </w:rPr>
              <w:t>；</w:t>
            </w:r>
          </w:p>
          <w:p w14:paraId="669E0EA5">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开户银行： </w:t>
            </w:r>
            <w:r>
              <w:rPr>
                <w:rFonts w:hint="eastAsia" w:hAnsi="宋体" w:cs="宋体"/>
                <w:color w:val="auto"/>
                <w:kern w:val="2"/>
                <w:sz w:val="21"/>
                <w:szCs w:val="21"/>
                <w:highlight w:val="none"/>
                <w:u w:val="single"/>
              </w:rPr>
              <w:t xml:space="preserve">  </w:t>
            </w:r>
            <w:r>
              <w:rPr>
                <w:rFonts w:hint="eastAsia" w:hAnsi="宋体" w:cs="宋体"/>
                <w:color w:val="auto"/>
                <w:kern w:val="2"/>
                <w:sz w:val="21"/>
                <w:szCs w:val="21"/>
                <w:highlight w:val="none"/>
                <w:u w:val="single"/>
                <w:lang w:val="en-US" w:eastAsia="zh-CN"/>
              </w:rPr>
              <w:t>中国工商银行股份有限公司东莞分行</w:t>
            </w:r>
            <w:r>
              <w:rPr>
                <w:rFonts w:hint="eastAsia" w:hAnsi="宋体" w:cs="宋体"/>
                <w:color w:val="auto"/>
                <w:kern w:val="2"/>
                <w:sz w:val="21"/>
                <w:szCs w:val="21"/>
                <w:highlight w:val="none"/>
                <w:u w:val="single"/>
              </w:rPr>
              <w:t xml:space="preserve"> </w:t>
            </w:r>
            <w:r>
              <w:rPr>
                <w:rFonts w:hint="eastAsia" w:hAnsi="宋体" w:cs="宋体"/>
                <w:color w:val="auto"/>
                <w:kern w:val="2"/>
                <w:sz w:val="21"/>
                <w:szCs w:val="21"/>
                <w:highlight w:val="none"/>
                <w:lang w:val="zh-CN"/>
              </w:rPr>
              <w:t>；</w:t>
            </w:r>
          </w:p>
          <w:p w14:paraId="030FEC57">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银行帐号： </w:t>
            </w:r>
            <w:r>
              <w:rPr>
                <w:rFonts w:hint="eastAsia" w:hAnsi="宋体" w:cs="宋体"/>
                <w:color w:val="auto"/>
                <w:kern w:val="2"/>
                <w:sz w:val="21"/>
                <w:szCs w:val="21"/>
                <w:highlight w:val="none"/>
                <w:u w:val="single"/>
              </w:rPr>
              <w:t xml:space="preserve"> </w:t>
            </w:r>
            <w:r>
              <w:rPr>
                <w:rFonts w:hint="eastAsia" w:hAnsi="宋体" w:cs="宋体"/>
                <w:color w:val="auto"/>
                <w:kern w:val="2"/>
                <w:sz w:val="21"/>
                <w:szCs w:val="21"/>
                <w:highlight w:val="none"/>
                <w:u w:val="single"/>
                <w:lang w:val="en-US" w:eastAsia="zh-CN"/>
              </w:rPr>
              <w:t>2010021309200628206</w:t>
            </w:r>
            <w:r>
              <w:rPr>
                <w:rFonts w:hint="eastAsia" w:ascii="宋体" w:hAnsi="宋体" w:eastAsia="宋体" w:cs="宋体"/>
                <w:color w:val="auto"/>
                <w:kern w:val="2"/>
                <w:sz w:val="21"/>
                <w:szCs w:val="21"/>
                <w:highlight w:val="none"/>
                <w:u w:val="single"/>
                <w:lang w:val="en-US" w:eastAsia="zh-CN"/>
              </w:rPr>
              <w:t xml:space="preserve"> </w:t>
            </w:r>
            <w:r>
              <w:rPr>
                <w:rFonts w:hint="eastAsia" w:hAnsi="宋体" w:cs="宋体"/>
                <w:color w:val="auto"/>
                <w:kern w:val="2"/>
                <w:sz w:val="21"/>
                <w:szCs w:val="21"/>
                <w:highlight w:val="none"/>
                <w:u w:val="single"/>
                <w:lang w:val="en-US" w:eastAsia="zh-CN"/>
              </w:rPr>
              <w:t xml:space="preserve"> </w:t>
            </w:r>
            <w:r>
              <w:rPr>
                <w:rFonts w:hint="eastAsia" w:hAnsi="宋体" w:cs="宋体"/>
                <w:color w:val="auto"/>
                <w:kern w:val="2"/>
                <w:sz w:val="21"/>
                <w:szCs w:val="21"/>
                <w:highlight w:val="none"/>
                <w:lang w:val="zh-CN"/>
              </w:rPr>
              <w:t>；</w:t>
            </w:r>
            <w:r>
              <w:rPr>
                <w:rFonts w:hint="eastAsia" w:hAnsi="宋体" w:cs="宋体"/>
                <w:color w:val="auto"/>
                <w:kern w:val="2"/>
                <w:sz w:val="21"/>
                <w:szCs w:val="21"/>
                <w:highlight w:val="none"/>
                <w:u w:val="single"/>
              </w:rPr>
              <w:t xml:space="preserve">  </w:t>
            </w:r>
          </w:p>
          <w:p w14:paraId="29DAB11C">
            <w:pPr>
              <w:shd w:val="clear"/>
              <w:tabs>
                <w:tab w:val="left" w:pos="567"/>
              </w:tabs>
              <w:ind w:firstLine="422" w:firstLineChars="200"/>
              <w:jc w:val="both"/>
              <w:rPr>
                <w:rFonts w:ascii="宋体" w:hAnsi="宋体"/>
                <w:b/>
                <w:color w:val="auto"/>
                <w:sz w:val="21"/>
                <w:szCs w:val="21"/>
                <w:highlight w:val="none"/>
              </w:rPr>
            </w:pPr>
            <w:r>
              <w:rPr>
                <w:rFonts w:hint="eastAsia" w:hAnsi="宋体" w:cs="宋体"/>
                <w:b/>
                <w:color w:val="auto"/>
                <w:sz w:val="21"/>
                <w:szCs w:val="21"/>
                <w:highlight w:val="none"/>
              </w:rPr>
              <w:t>（注：各投标人在转帐或电汇时须在用途栏上备注项目编号，及项目名称，如有字数限制项目名称可简写。）</w:t>
            </w:r>
          </w:p>
        </w:tc>
      </w:tr>
      <w:tr w14:paraId="16B4B6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66FC5230">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p>
        </w:tc>
        <w:tc>
          <w:tcPr>
            <w:tcW w:w="7609" w:type="dxa"/>
            <w:gridSpan w:val="2"/>
            <w:tcBorders>
              <w:tl2br w:val="nil"/>
              <w:tr2bl w:val="nil"/>
            </w:tcBorders>
            <w:vAlign w:val="center"/>
          </w:tcPr>
          <w:p w14:paraId="75D7910C">
            <w:pPr>
              <w:shd w:val="clear"/>
              <w:jc w:val="both"/>
              <w:rPr>
                <w:rFonts w:ascii="宋体" w:hAnsi="宋体"/>
                <w:b/>
                <w:bCs/>
                <w:color w:val="auto"/>
                <w:sz w:val="21"/>
                <w:szCs w:val="21"/>
                <w:highlight w:val="none"/>
                <w:lang w:val="zh-CN"/>
              </w:rPr>
            </w:pPr>
            <w:r>
              <w:rPr>
                <w:rFonts w:hint="eastAsia" w:ascii="宋体" w:hAnsi="宋体"/>
                <w:b/>
                <w:bCs/>
                <w:color w:val="auto"/>
                <w:sz w:val="21"/>
                <w:szCs w:val="21"/>
                <w:highlight w:val="none"/>
                <w:lang w:val="zh-CN"/>
              </w:rPr>
              <w:t>投标保证金退还</w:t>
            </w:r>
          </w:p>
        </w:tc>
      </w:tr>
      <w:tr w14:paraId="56F47C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3971BB06">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121B9EA7">
            <w:pPr>
              <w:shd w:val="clear"/>
              <w:jc w:val="both"/>
              <w:rPr>
                <w:rFonts w:ascii="宋体" w:hAnsi="宋体"/>
                <w:color w:val="auto"/>
                <w:sz w:val="21"/>
                <w:szCs w:val="21"/>
                <w:highlight w:val="none"/>
                <w:lang w:val="zh-CN"/>
              </w:rPr>
            </w:pPr>
            <w:r>
              <w:rPr>
                <w:rFonts w:hint="eastAsia" w:ascii="宋体" w:hAnsi="宋体"/>
                <w:color w:val="auto"/>
                <w:sz w:val="21"/>
                <w:szCs w:val="21"/>
                <w:highlight w:val="none"/>
                <w:lang w:val="zh-CN"/>
              </w:rPr>
              <w:t>（</w:t>
            </w:r>
            <w:r>
              <w:rPr>
                <w:rFonts w:hint="eastAsia" w:ascii="宋体" w:hAnsi="宋体"/>
                <w:color w:val="auto"/>
                <w:sz w:val="21"/>
                <w:szCs w:val="21"/>
                <w:highlight w:val="none"/>
              </w:rPr>
              <w:t>1</w:t>
            </w:r>
            <w:r>
              <w:rPr>
                <w:rFonts w:hint="eastAsia" w:ascii="宋体" w:hAnsi="宋体"/>
                <w:color w:val="auto"/>
                <w:sz w:val="21"/>
                <w:szCs w:val="21"/>
                <w:highlight w:val="none"/>
                <w:lang w:val="zh-CN"/>
              </w:rPr>
              <w:t>）未中标的投标人的保证金应当在中标通知书发出后退还，中标</w:t>
            </w:r>
            <w:r>
              <w:rPr>
                <w:rFonts w:hint="eastAsia" w:ascii="宋体" w:hAnsi="宋体"/>
                <w:color w:val="auto"/>
                <w:sz w:val="21"/>
                <w:szCs w:val="21"/>
                <w:highlight w:val="none"/>
              </w:rPr>
              <w:t>的</w:t>
            </w:r>
            <w:r>
              <w:rPr>
                <w:rFonts w:hint="eastAsia" w:ascii="宋体" w:hAnsi="宋体"/>
                <w:color w:val="auto"/>
                <w:sz w:val="21"/>
                <w:szCs w:val="21"/>
                <w:highlight w:val="none"/>
                <w:lang w:val="zh-CN"/>
              </w:rPr>
              <w:t>投标人的保证金应当在采购合同签订</w:t>
            </w:r>
            <w:r>
              <w:rPr>
                <w:rFonts w:hint="eastAsia" w:ascii="宋体" w:hAnsi="宋体"/>
                <w:color w:val="auto"/>
                <w:sz w:val="21"/>
                <w:szCs w:val="21"/>
                <w:highlight w:val="none"/>
              </w:rPr>
              <w:t>并缴纳履约保证金</w:t>
            </w:r>
            <w:r>
              <w:rPr>
                <w:rFonts w:hint="eastAsia" w:ascii="宋体" w:hAnsi="宋体"/>
                <w:color w:val="auto"/>
                <w:sz w:val="21"/>
                <w:szCs w:val="21"/>
                <w:highlight w:val="none"/>
                <w:lang w:val="zh-CN"/>
              </w:rPr>
              <w:t>后退还。</w:t>
            </w:r>
          </w:p>
          <w:p w14:paraId="0CA1BAB4">
            <w:pPr>
              <w:shd w:val="clear"/>
              <w:jc w:val="both"/>
              <w:rPr>
                <w:color w:val="auto"/>
                <w:sz w:val="21"/>
                <w:szCs w:val="21"/>
                <w:highlight w:val="none"/>
              </w:rPr>
            </w:pPr>
            <w:r>
              <w:rPr>
                <w:rFonts w:hint="eastAsia" w:ascii="宋体" w:hAnsi="宋体"/>
                <w:color w:val="auto"/>
                <w:sz w:val="21"/>
                <w:szCs w:val="21"/>
                <w:highlight w:val="none"/>
                <w:lang w:val="zh-CN"/>
              </w:rPr>
              <w:t>（</w:t>
            </w:r>
            <w:r>
              <w:rPr>
                <w:rFonts w:hint="eastAsia" w:ascii="宋体" w:hAnsi="宋体"/>
                <w:color w:val="auto"/>
                <w:sz w:val="21"/>
                <w:szCs w:val="21"/>
                <w:highlight w:val="none"/>
              </w:rPr>
              <w:t>2</w:t>
            </w:r>
            <w:r>
              <w:rPr>
                <w:rFonts w:hint="eastAsia" w:ascii="宋体" w:hAnsi="宋体"/>
                <w:color w:val="auto"/>
                <w:sz w:val="21"/>
                <w:szCs w:val="21"/>
                <w:highlight w:val="none"/>
                <w:lang w:val="zh-CN"/>
              </w:rPr>
              <w:t>）为方便退还未中标的投标人的保证金，投标人应制作《投标保证金汇入情况说明》随唱标信封一并递交。</w:t>
            </w:r>
          </w:p>
        </w:tc>
      </w:tr>
      <w:tr w14:paraId="13C071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6172F5FA">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9</w:t>
            </w:r>
          </w:p>
        </w:tc>
        <w:tc>
          <w:tcPr>
            <w:tcW w:w="7609" w:type="dxa"/>
            <w:gridSpan w:val="2"/>
            <w:tcBorders>
              <w:tl2br w:val="nil"/>
              <w:tr2bl w:val="nil"/>
            </w:tcBorders>
            <w:vAlign w:val="center"/>
          </w:tcPr>
          <w:p w14:paraId="22865173">
            <w:pPr>
              <w:shd w:val="clear"/>
              <w:jc w:val="both"/>
              <w:rPr>
                <w:rFonts w:ascii="宋体" w:hAnsi="宋体"/>
                <w:b/>
                <w:color w:val="auto"/>
                <w:sz w:val="21"/>
                <w:szCs w:val="21"/>
                <w:highlight w:val="none"/>
              </w:rPr>
            </w:pPr>
            <w:r>
              <w:rPr>
                <w:rFonts w:hint="eastAsia" w:ascii="宋体" w:hAnsi="宋体"/>
                <w:b/>
                <w:color w:val="auto"/>
                <w:sz w:val="21"/>
                <w:szCs w:val="21"/>
                <w:highlight w:val="none"/>
              </w:rPr>
              <w:t>投标有效期</w:t>
            </w:r>
          </w:p>
        </w:tc>
      </w:tr>
      <w:tr w14:paraId="2470A1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5D9534C0">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7CBC3925">
            <w:pPr>
              <w:shd w:val="clear"/>
              <w:jc w:val="both"/>
              <w:rPr>
                <w:rFonts w:ascii="宋体" w:hAnsi="宋体"/>
                <w:b/>
                <w:color w:val="auto"/>
                <w:sz w:val="21"/>
                <w:szCs w:val="21"/>
                <w:highlight w:val="none"/>
              </w:rPr>
            </w:pPr>
            <w:r>
              <w:rPr>
                <w:rFonts w:hint="eastAsia" w:ascii="宋体" w:hAnsi="宋体"/>
                <w:color w:val="auto"/>
                <w:sz w:val="21"/>
                <w:szCs w:val="21"/>
                <w:highlight w:val="none"/>
              </w:rPr>
              <w:t>九十天。</w:t>
            </w:r>
          </w:p>
        </w:tc>
      </w:tr>
      <w:tr w14:paraId="3A5EF5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7A1EC876">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10</w:t>
            </w:r>
          </w:p>
        </w:tc>
        <w:tc>
          <w:tcPr>
            <w:tcW w:w="7609" w:type="dxa"/>
            <w:gridSpan w:val="2"/>
            <w:tcBorders>
              <w:tl2br w:val="nil"/>
              <w:tr2bl w:val="nil"/>
            </w:tcBorders>
            <w:vAlign w:val="center"/>
          </w:tcPr>
          <w:p w14:paraId="721942C4">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6BDBEC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1DE740E0">
            <w:pPr>
              <w:shd w:val="clear"/>
              <w:jc w:val="center"/>
              <w:rPr>
                <w:rFonts w:ascii="宋体" w:hAnsi="宋体"/>
                <w:color w:val="auto"/>
                <w:sz w:val="21"/>
                <w:szCs w:val="21"/>
                <w:highlight w:val="none"/>
              </w:rPr>
            </w:pPr>
          </w:p>
        </w:tc>
        <w:tc>
          <w:tcPr>
            <w:tcW w:w="2250" w:type="dxa"/>
            <w:tcBorders>
              <w:tl2br w:val="nil"/>
              <w:tr2bl w:val="nil"/>
            </w:tcBorders>
            <w:vAlign w:val="center"/>
          </w:tcPr>
          <w:p w14:paraId="37748C1B">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投标文件类型</w:t>
            </w:r>
          </w:p>
        </w:tc>
        <w:tc>
          <w:tcPr>
            <w:tcW w:w="5359" w:type="dxa"/>
            <w:tcBorders>
              <w:tl2br w:val="nil"/>
              <w:tr2bl w:val="nil"/>
            </w:tcBorders>
            <w:vAlign w:val="center"/>
          </w:tcPr>
          <w:p w14:paraId="5F46AE6B">
            <w:pPr>
              <w:shd w:val="clear"/>
              <w:jc w:val="center"/>
              <w:rPr>
                <w:rFonts w:ascii="宋体" w:hAnsi="宋体"/>
                <w:b/>
                <w:color w:val="auto"/>
                <w:sz w:val="21"/>
                <w:szCs w:val="21"/>
                <w:highlight w:val="none"/>
              </w:rPr>
            </w:pPr>
            <w:r>
              <w:rPr>
                <w:rFonts w:hint="eastAsia" w:ascii="宋体" w:hAnsi="宋体"/>
                <w:b/>
                <w:color w:val="auto"/>
                <w:sz w:val="21"/>
                <w:szCs w:val="21"/>
                <w:highlight w:val="none"/>
              </w:rPr>
              <w:t>份数</w:t>
            </w:r>
          </w:p>
        </w:tc>
      </w:tr>
      <w:tr w14:paraId="7D0B98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5AB59115">
            <w:pPr>
              <w:shd w:val="clear"/>
              <w:jc w:val="center"/>
              <w:rPr>
                <w:rFonts w:ascii="宋体" w:hAnsi="宋体"/>
                <w:color w:val="auto"/>
                <w:sz w:val="21"/>
                <w:szCs w:val="21"/>
                <w:highlight w:val="none"/>
              </w:rPr>
            </w:pPr>
          </w:p>
        </w:tc>
        <w:tc>
          <w:tcPr>
            <w:tcW w:w="2250" w:type="dxa"/>
            <w:tcBorders>
              <w:tl2br w:val="nil"/>
              <w:tr2bl w:val="nil"/>
            </w:tcBorders>
            <w:vAlign w:val="center"/>
          </w:tcPr>
          <w:p w14:paraId="021D62F7">
            <w:pPr>
              <w:shd w:val="clear"/>
              <w:jc w:val="center"/>
              <w:rPr>
                <w:rFonts w:ascii="宋体" w:hAnsi="宋体"/>
                <w:b/>
                <w:color w:val="auto"/>
                <w:sz w:val="21"/>
                <w:szCs w:val="21"/>
                <w:highlight w:val="none"/>
              </w:rPr>
            </w:pPr>
            <w:r>
              <w:rPr>
                <w:rFonts w:hint="eastAsia" w:ascii="宋体" w:hAnsi="宋体"/>
                <w:b/>
                <w:color w:val="auto"/>
                <w:sz w:val="21"/>
                <w:szCs w:val="21"/>
                <w:highlight w:val="none"/>
              </w:rPr>
              <w:t>唱标信封</w:t>
            </w:r>
          </w:p>
        </w:tc>
        <w:tc>
          <w:tcPr>
            <w:tcW w:w="5359" w:type="dxa"/>
            <w:tcBorders>
              <w:tl2br w:val="nil"/>
              <w:tr2bl w:val="nil"/>
            </w:tcBorders>
            <w:vAlign w:val="center"/>
          </w:tcPr>
          <w:p w14:paraId="4C8870D2">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14:paraId="345609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5BAC74ED">
            <w:pPr>
              <w:shd w:val="clear"/>
              <w:jc w:val="center"/>
              <w:rPr>
                <w:rFonts w:ascii="宋体" w:hAnsi="宋体"/>
                <w:color w:val="auto"/>
                <w:sz w:val="21"/>
                <w:szCs w:val="21"/>
                <w:highlight w:val="none"/>
              </w:rPr>
            </w:pPr>
          </w:p>
        </w:tc>
        <w:tc>
          <w:tcPr>
            <w:tcW w:w="2250" w:type="dxa"/>
            <w:tcBorders>
              <w:tl2br w:val="nil"/>
              <w:tr2bl w:val="nil"/>
            </w:tcBorders>
            <w:vAlign w:val="center"/>
          </w:tcPr>
          <w:p w14:paraId="22A17BE4">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投标文件正本</w:t>
            </w:r>
          </w:p>
        </w:tc>
        <w:tc>
          <w:tcPr>
            <w:tcW w:w="5359" w:type="dxa"/>
            <w:tcBorders>
              <w:tl2br w:val="nil"/>
              <w:tr2bl w:val="nil"/>
            </w:tcBorders>
            <w:vAlign w:val="center"/>
          </w:tcPr>
          <w:p w14:paraId="2500C417">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14:paraId="4E8158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6187244B">
            <w:pPr>
              <w:shd w:val="clear"/>
              <w:jc w:val="center"/>
              <w:rPr>
                <w:rFonts w:ascii="宋体" w:hAnsi="宋体"/>
                <w:color w:val="auto"/>
                <w:sz w:val="21"/>
                <w:szCs w:val="21"/>
                <w:highlight w:val="none"/>
              </w:rPr>
            </w:pPr>
          </w:p>
        </w:tc>
        <w:tc>
          <w:tcPr>
            <w:tcW w:w="2250" w:type="dxa"/>
            <w:tcBorders>
              <w:tl2br w:val="nil"/>
              <w:tr2bl w:val="nil"/>
            </w:tcBorders>
            <w:vAlign w:val="center"/>
          </w:tcPr>
          <w:p w14:paraId="5DA043F4">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投标文件副本</w:t>
            </w:r>
          </w:p>
        </w:tc>
        <w:tc>
          <w:tcPr>
            <w:tcW w:w="5359" w:type="dxa"/>
            <w:tcBorders>
              <w:tl2br w:val="nil"/>
              <w:tr2bl w:val="nil"/>
            </w:tcBorders>
            <w:vAlign w:val="center"/>
          </w:tcPr>
          <w:p w14:paraId="5E6EE6B3">
            <w:pPr>
              <w:shd w:val="clear"/>
              <w:jc w:val="center"/>
              <w:rPr>
                <w:rFonts w:ascii="宋体" w:hAnsi="宋体"/>
                <w:b/>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
                <w:color w:val="auto"/>
                <w:sz w:val="21"/>
                <w:szCs w:val="21"/>
                <w:highlight w:val="none"/>
              </w:rPr>
              <w:t xml:space="preserve">5  </w:t>
            </w:r>
            <w:r>
              <w:rPr>
                <w:rFonts w:hint="eastAsia" w:ascii="宋体" w:hAnsi="宋体"/>
                <w:b/>
                <w:bCs/>
                <w:color w:val="auto"/>
                <w:sz w:val="21"/>
                <w:szCs w:val="21"/>
                <w:highlight w:val="none"/>
              </w:rPr>
              <w:sym w:font="Wingdings" w:char="00A8"/>
            </w:r>
            <w:r>
              <w:rPr>
                <w:rFonts w:hint="eastAsia" w:ascii="宋体" w:hAnsi="宋体"/>
                <w:b/>
                <w:color w:val="auto"/>
                <w:sz w:val="21"/>
                <w:szCs w:val="21"/>
                <w:highlight w:val="none"/>
              </w:rPr>
              <w:t>7</w:t>
            </w:r>
          </w:p>
        </w:tc>
      </w:tr>
      <w:tr w14:paraId="59E73B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46EEF7D0">
            <w:pPr>
              <w:shd w:val="clear"/>
              <w:jc w:val="center"/>
              <w:rPr>
                <w:rFonts w:ascii="宋体" w:hAnsi="宋体"/>
                <w:color w:val="auto"/>
                <w:sz w:val="21"/>
                <w:szCs w:val="21"/>
                <w:highlight w:val="none"/>
              </w:rPr>
            </w:pPr>
          </w:p>
        </w:tc>
        <w:tc>
          <w:tcPr>
            <w:tcW w:w="2250" w:type="dxa"/>
            <w:vMerge w:val="restart"/>
            <w:tcBorders>
              <w:tl2br w:val="nil"/>
              <w:tr2bl w:val="nil"/>
            </w:tcBorders>
            <w:vAlign w:val="center"/>
          </w:tcPr>
          <w:p w14:paraId="3F38A1C8">
            <w:pPr>
              <w:shd w:val="clear"/>
              <w:jc w:val="center"/>
              <w:rPr>
                <w:rFonts w:ascii="宋体" w:hAnsi="宋体"/>
                <w:b/>
                <w:color w:val="auto"/>
                <w:sz w:val="21"/>
                <w:szCs w:val="21"/>
                <w:highlight w:val="none"/>
              </w:rPr>
            </w:pPr>
            <w:r>
              <w:rPr>
                <w:rFonts w:hint="eastAsia" w:ascii="宋体" w:hAnsi="宋体"/>
                <w:b/>
                <w:color w:val="auto"/>
                <w:sz w:val="21"/>
                <w:szCs w:val="21"/>
                <w:highlight w:val="none"/>
              </w:rPr>
              <w:t>电子文档</w:t>
            </w:r>
          </w:p>
        </w:tc>
        <w:tc>
          <w:tcPr>
            <w:tcW w:w="5359" w:type="dxa"/>
            <w:tcBorders>
              <w:tl2br w:val="nil"/>
              <w:tr2bl w:val="nil"/>
            </w:tcBorders>
            <w:vAlign w:val="center"/>
          </w:tcPr>
          <w:p w14:paraId="59689CB4">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14:paraId="53631F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02EF5F9C">
            <w:pPr>
              <w:shd w:val="clear"/>
              <w:jc w:val="center"/>
              <w:rPr>
                <w:rFonts w:ascii="宋体" w:hAnsi="宋体"/>
                <w:color w:val="auto"/>
                <w:sz w:val="21"/>
                <w:szCs w:val="21"/>
                <w:highlight w:val="none"/>
              </w:rPr>
            </w:pPr>
          </w:p>
        </w:tc>
        <w:tc>
          <w:tcPr>
            <w:tcW w:w="2250" w:type="dxa"/>
            <w:vMerge w:val="continue"/>
            <w:tcBorders>
              <w:tl2br w:val="nil"/>
              <w:tr2bl w:val="nil"/>
            </w:tcBorders>
            <w:vAlign w:val="center"/>
          </w:tcPr>
          <w:p w14:paraId="76EF9A71">
            <w:pPr>
              <w:shd w:val="clear"/>
              <w:jc w:val="center"/>
              <w:rPr>
                <w:rFonts w:ascii="宋体" w:hAnsi="宋体"/>
                <w:b/>
                <w:color w:val="auto"/>
                <w:sz w:val="21"/>
                <w:szCs w:val="21"/>
                <w:highlight w:val="none"/>
              </w:rPr>
            </w:pPr>
          </w:p>
        </w:tc>
        <w:tc>
          <w:tcPr>
            <w:tcW w:w="5359" w:type="dxa"/>
            <w:tcBorders>
              <w:tl2br w:val="nil"/>
              <w:tr2bl w:val="nil"/>
            </w:tcBorders>
            <w:vAlign w:val="center"/>
          </w:tcPr>
          <w:p w14:paraId="01D71D1C">
            <w:pPr>
              <w:shd w:val="clear"/>
              <w:jc w:val="center"/>
              <w:rPr>
                <w:rFonts w:ascii="宋体" w:hAnsi="宋体"/>
                <w:b/>
                <w:color w:val="auto"/>
                <w:sz w:val="21"/>
                <w:szCs w:val="21"/>
                <w:highlight w:val="none"/>
              </w:rPr>
            </w:pPr>
            <w:r>
              <w:rPr>
                <w:rFonts w:hint="eastAsia" w:ascii="宋体" w:hAnsi="宋体" w:cs="Times New Roman"/>
                <w:b/>
                <w:color w:val="auto"/>
                <w:sz w:val="21"/>
                <w:szCs w:val="21"/>
                <w:highlight w:val="none"/>
              </w:rPr>
              <w:t>U盘，须含盖章版PDF投标文件和WORD版投标文件各一版，文字采用WORD文档，计算表格采用 EXCEL文档。</w:t>
            </w:r>
          </w:p>
        </w:tc>
      </w:tr>
      <w:tr w14:paraId="474EDB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410" w:type="dxa"/>
            <w:gridSpan w:val="3"/>
            <w:tcBorders>
              <w:tl2br w:val="nil"/>
              <w:tr2bl w:val="nil"/>
            </w:tcBorders>
            <w:vAlign w:val="center"/>
          </w:tcPr>
          <w:p w14:paraId="2F2AE095">
            <w:pPr>
              <w:shd w:val="clear"/>
              <w:jc w:val="center"/>
              <w:rPr>
                <w:rFonts w:ascii="宋体" w:hAnsi="宋体"/>
                <w:b/>
                <w:color w:val="auto"/>
                <w:sz w:val="21"/>
                <w:szCs w:val="21"/>
                <w:highlight w:val="none"/>
              </w:rPr>
            </w:pPr>
            <w:r>
              <w:rPr>
                <w:rFonts w:hint="eastAsia" w:ascii="宋体" w:hAnsi="宋体"/>
                <w:b/>
                <w:color w:val="auto"/>
                <w:sz w:val="21"/>
                <w:szCs w:val="21"/>
                <w:highlight w:val="none"/>
              </w:rPr>
              <w:t>三、开标与评标</w:t>
            </w:r>
          </w:p>
        </w:tc>
      </w:tr>
      <w:tr w14:paraId="2DCE04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76C87275">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11</w:t>
            </w:r>
          </w:p>
        </w:tc>
        <w:tc>
          <w:tcPr>
            <w:tcW w:w="7609" w:type="dxa"/>
            <w:gridSpan w:val="2"/>
            <w:tcBorders>
              <w:tl2br w:val="nil"/>
              <w:tr2bl w:val="nil"/>
            </w:tcBorders>
            <w:vAlign w:val="center"/>
          </w:tcPr>
          <w:p w14:paraId="66D2BF03">
            <w:pPr>
              <w:shd w:val="clear"/>
              <w:jc w:val="both"/>
              <w:rPr>
                <w:rFonts w:ascii="宋体" w:hAnsi="宋体"/>
                <w:color w:val="auto"/>
                <w:sz w:val="21"/>
                <w:szCs w:val="21"/>
                <w:highlight w:val="none"/>
              </w:rPr>
            </w:pPr>
            <w:r>
              <w:rPr>
                <w:rFonts w:hint="eastAsia" w:ascii="宋体" w:hAnsi="宋体"/>
                <w:b/>
                <w:color w:val="auto"/>
                <w:sz w:val="21"/>
                <w:szCs w:val="21"/>
                <w:highlight w:val="none"/>
              </w:rPr>
              <w:t>本项目评标方法</w:t>
            </w:r>
          </w:p>
        </w:tc>
      </w:tr>
      <w:tr w14:paraId="25B52B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3C899CFF">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701E23A0">
            <w:pPr>
              <w:shd w:val="clear"/>
              <w:jc w:val="both"/>
              <w:rPr>
                <w:rFonts w:ascii="宋体" w:hAnsi="宋体"/>
                <w:b/>
                <w:color w:val="auto"/>
                <w:sz w:val="21"/>
                <w:szCs w:val="21"/>
                <w:highlight w:val="none"/>
              </w:rPr>
            </w:pPr>
            <w:r>
              <w:rPr>
                <w:rFonts w:hint="eastAsia" w:ascii="宋体" w:hAnsi="宋体"/>
                <w:color w:val="auto"/>
                <w:sz w:val="21"/>
                <w:szCs w:val="21"/>
                <w:highlight w:val="none"/>
              </w:rPr>
              <w:t>综合评分法。</w:t>
            </w:r>
          </w:p>
        </w:tc>
      </w:tr>
      <w:tr w14:paraId="328433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383D778D">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12</w:t>
            </w:r>
          </w:p>
        </w:tc>
        <w:tc>
          <w:tcPr>
            <w:tcW w:w="7609" w:type="dxa"/>
            <w:gridSpan w:val="2"/>
            <w:tcBorders>
              <w:tl2br w:val="nil"/>
              <w:tr2bl w:val="nil"/>
            </w:tcBorders>
            <w:vAlign w:val="center"/>
          </w:tcPr>
          <w:p w14:paraId="6ABA1E73">
            <w:pPr>
              <w:shd w:val="clear"/>
              <w:jc w:val="both"/>
              <w:rPr>
                <w:rFonts w:ascii="宋体" w:hAnsi="宋体"/>
                <w:b/>
                <w:color w:val="auto"/>
                <w:sz w:val="21"/>
                <w:szCs w:val="21"/>
                <w:highlight w:val="none"/>
              </w:rPr>
            </w:pPr>
            <w:r>
              <w:rPr>
                <w:rFonts w:hint="eastAsia" w:ascii="宋体" w:hAnsi="宋体"/>
                <w:b/>
                <w:color w:val="auto"/>
                <w:sz w:val="21"/>
                <w:szCs w:val="21"/>
                <w:highlight w:val="none"/>
              </w:rPr>
              <w:t>综合评分法评分因素和权重分值</w:t>
            </w:r>
          </w:p>
        </w:tc>
      </w:tr>
      <w:tr w14:paraId="0263B2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3D219F19">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78122C23">
            <w:pPr>
              <w:shd w:val="clear"/>
              <w:jc w:val="both"/>
              <w:rPr>
                <w:rFonts w:ascii="宋体" w:hAnsi="宋体"/>
                <w:b/>
                <w:color w:val="auto"/>
                <w:sz w:val="21"/>
                <w:szCs w:val="21"/>
                <w:highlight w:val="none"/>
              </w:rPr>
            </w:pPr>
            <w:r>
              <w:rPr>
                <w:rFonts w:hint="eastAsia" w:ascii="宋体" w:hAnsi="宋体"/>
                <w:color w:val="auto"/>
                <w:sz w:val="21"/>
                <w:szCs w:val="21"/>
                <w:highlight w:val="none"/>
              </w:rPr>
              <w:t>见附表二。</w:t>
            </w:r>
          </w:p>
        </w:tc>
      </w:tr>
      <w:tr w14:paraId="7CC524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1C0A248C">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13</w:t>
            </w:r>
          </w:p>
        </w:tc>
        <w:tc>
          <w:tcPr>
            <w:tcW w:w="7609" w:type="dxa"/>
            <w:gridSpan w:val="2"/>
            <w:tcBorders>
              <w:tl2br w:val="nil"/>
              <w:tr2bl w:val="nil"/>
            </w:tcBorders>
            <w:vAlign w:val="center"/>
          </w:tcPr>
          <w:p w14:paraId="650B22F4">
            <w:pPr>
              <w:shd w:val="clear"/>
              <w:jc w:val="both"/>
              <w:rPr>
                <w:rFonts w:ascii="宋体" w:hAnsi="宋体"/>
                <w:color w:val="auto"/>
                <w:sz w:val="21"/>
                <w:szCs w:val="21"/>
                <w:highlight w:val="none"/>
              </w:rPr>
            </w:pPr>
            <w:r>
              <w:rPr>
                <w:rFonts w:hint="eastAsia" w:ascii="宋体" w:hAnsi="宋体"/>
                <w:b/>
                <w:color w:val="auto"/>
                <w:sz w:val="21"/>
                <w:szCs w:val="21"/>
                <w:highlight w:val="none"/>
              </w:rPr>
              <w:t>评标委员会</w:t>
            </w:r>
          </w:p>
        </w:tc>
      </w:tr>
      <w:tr w14:paraId="182734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0C9D5E43">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103AF5BF">
            <w:pPr>
              <w:shd w:val="clear"/>
              <w:jc w:val="both"/>
              <w:rPr>
                <w:rFonts w:ascii="宋体" w:hAnsi="宋体"/>
                <w:color w:val="auto"/>
                <w:sz w:val="21"/>
                <w:szCs w:val="21"/>
                <w:highlight w:val="none"/>
              </w:rPr>
            </w:pPr>
            <w:r>
              <w:rPr>
                <w:rFonts w:hint="eastAsia" w:ascii="宋体" w:hAnsi="宋体"/>
                <w:color w:val="auto"/>
                <w:sz w:val="21"/>
                <w:szCs w:val="21"/>
                <w:highlight w:val="none"/>
              </w:rPr>
              <w:t>评标委员会成员共</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五</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人：</w:t>
            </w:r>
            <w:r>
              <w:rPr>
                <w:rFonts w:hint="eastAsia" w:ascii="宋体" w:hAnsi="宋体"/>
                <w:color w:val="auto"/>
                <w:sz w:val="21"/>
                <w:szCs w:val="21"/>
                <w:highlight w:val="none"/>
                <w:lang w:val="zh-CN"/>
              </w:rPr>
              <w:t>评标委员会由采购人</w:t>
            </w:r>
            <w:r>
              <w:rPr>
                <w:rFonts w:hint="eastAsia" w:ascii="宋体" w:hAnsi="宋体"/>
                <w:color w:val="auto"/>
                <w:sz w:val="21"/>
                <w:szCs w:val="21"/>
                <w:highlight w:val="none"/>
              </w:rPr>
              <w:t>的</w:t>
            </w:r>
            <w:r>
              <w:rPr>
                <w:rFonts w:hint="eastAsia" w:ascii="宋体" w:hAnsi="宋体"/>
                <w:color w:val="auto"/>
                <w:sz w:val="21"/>
                <w:szCs w:val="21"/>
                <w:highlight w:val="none"/>
                <w:lang w:val="zh-CN"/>
              </w:rPr>
              <w:t>代表和</w:t>
            </w:r>
            <w:r>
              <w:rPr>
                <w:rFonts w:hint="eastAsia" w:ascii="宋体" w:hAnsi="宋体"/>
                <w:color w:val="auto"/>
                <w:sz w:val="21"/>
                <w:szCs w:val="21"/>
                <w:highlight w:val="none"/>
              </w:rPr>
              <w:t>有关方面的</w:t>
            </w:r>
            <w:r>
              <w:rPr>
                <w:rFonts w:hint="eastAsia" w:ascii="宋体" w:hAnsi="宋体"/>
                <w:color w:val="auto"/>
                <w:sz w:val="21"/>
                <w:szCs w:val="21"/>
                <w:highlight w:val="none"/>
                <w:lang w:val="zh-CN"/>
              </w:rPr>
              <w:t>专家组成，</w:t>
            </w:r>
            <w:r>
              <w:rPr>
                <w:rFonts w:hint="eastAsia" w:ascii="宋体" w:hAnsi="宋体"/>
                <w:color w:val="auto"/>
                <w:sz w:val="21"/>
                <w:szCs w:val="21"/>
                <w:highlight w:val="none"/>
              </w:rPr>
              <w:t>成员人数为五人或五人以上单数</w:t>
            </w:r>
            <w:r>
              <w:rPr>
                <w:rFonts w:hint="eastAsia" w:ascii="宋体" w:hAnsi="宋体"/>
                <w:color w:val="auto"/>
                <w:sz w:val="21"/>
                <w:szCs w:val="21"/>
                <w:highlight w:val="none"/>
                <w:lang w:val="zh-CN"/>
              </w:rPr>
              <w:t>，其中专家不得少于成员总数的三分之二。</w:t>
            </w:r>
          </w:p>
        </w:tc>
      </w:tr>
      <w:tr w14:paraId="6AFA45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8410" w:type="dxa"/>
            <w:gridSpan w:val="3"/>
            <w:tcBorders>
              <w:tl2br w:val="nil"/>
              <w:tr2bl w:val="nil"/>
            </w:tcBorders>
            <w:vAlign w:val="center"/>
          </w:tcPr>
          <w:p w14:paraId="3B7D8101">
            <w:pPr>
              <w:shd w:val="clear"/>
              <w:jc w:val="center"/>
              <w:rPr>
                <w:rFonts w:ascii="宋体" w:hAnsi="宋体"/>
                <w:b/>
                <w:color w:val="auto"/>
                <w:sz w:val="21"/>
                <w:szCs w:val="21"/>
                <w:highlight w:val="none"/>
              </w:rPr>
            </w:pPr>
            <w:r>
              <w:rPr>
                <w:rFonts w:hint="eastAsia" w:ascii="宋体" w:hAnsi="宋体"/>
                <w:b/>
                <w:color w:val="auto"/>
                <w:sz w:val="21"/>
                <w:szCs w:val="21"/>
                <w:highlight w:val="none"/>
              </w:rPr>
              <w:t>四、授予合同</w:t>
            </w:r>
          </w:p>
        </w:tc>
      </w:tr>
      <w:tr w14:paraId="410320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07FFE638">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14</w:t>
            </w:r>
          </w:p>
        </w:tc>
        <w:tc>
          <w:tcPr>
            <w:tcW w:w="7609" w:type="dxa"/>
            <w:gridSpan w:val="2"/>
            <w:tcBorders>
              <w:tl2br w:val="nil"/>
              <w:tr2bl w:val="nil"/>
            </w:tcBorders>
            <w:shd w:val="clear" w:color="auto" w:fill="auto"/>
            <w:vAlign w:val="center"/>
          </w:tcPr>
          <w:p w14:paraId="608B2616">
            <w:pPr>
              <w:shd w:val="clear"/>
              <w:jc w:val="both"/>
              <w:rPr>
                <w:rFonts w:ascii="宋体" w:hAnsi="宋体"/>
                <w:b/>
                <w:color w:val="auto"/>
                <w:sz w:val="21"/>
                <w:szCs w:val="21"/>
                <w:highlight w:val="none"/>
              </w:rPr>
            </w:pPr>
            <w:r>
              <w:rPr>
                <w:rFonts w:hint="eastAsia" w:ascii="宋体" w:hAnsi="宋体"/>
                <w:b/>
                <w:color w:val="auto"/>
                <w:sz w:val="21"/>
                <w:szCs w:val="21"/>
                <w:highlight w:val="none"/>
              </w:rPr>
              <w:t>履约担保</w:t>
            </w:r>
          </w:p>
        </w:tc>
      </w:tr>
      <w:tr w14:paraId="5C0717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7F0C16D5">
            <w:pPr>
              <w:shd w:val="clear"/>
              <w:jc w:val="center"/>
              <w:rPr>
                <w:rFonts w:ascii="宋体" w:hAnsi="宋体"/>
                <w:color w:val="auto"/>
                <w:sz w:val="21"/>
                <w:szCs w:val="21"/>
                <w:highlight w:val="none"/>
              </w:rPr>
            </w:pPr>
          </w:p>
        </w:tc>
        <w:tc>
          <w:tcPr>
            <w:tcW w:w="7609" w:type="dxa"/>
            <w:gridSpan w:val="2"/>
            <w:tcBorders>
              <w:tl2br w:val="nil"/>
              <w:tr2bl w:val="nil"/>
            </w:tcBorders>
            <w:shd w:val="clear" w:color="auto" w:fill="auto"/>
            <w:vAlign w:val="center"/>
          </w:tcPr>
          <w:p w14:paraId="14E6503D">
            <w:pPr>
              <w:shd w:val="clear"/>
              <w:jc w:val="both"/>
              <w:rPr>
                <w:rFonts w:ascii="宋体" w:hAnsi="宋体"/>
                <w:color w:val="auto"/>
                <w:sz w:val="21"/>
                <w:szCs w:val="21"/>
                <w:highlight w:val="none"/>
              </w:rPr>
            </w:pPr>
            <w:r>
              <w:rPr>
                <w:rFonts w:hint="eastAsia" w:ascii="宋体" w:hAnsi="宋体"/>
                <w:color w:val="auto"/>
                <w:sz w:val="21"/>
                <w:szCs w:val="21"/>
                <w:highlight w:val="none"/>
              </w:rPr>
              <w:t>1.履约担保金额为：</w:t>
            </w:r>
            <w:r>
              <w:rPr>
                <w:rFonts w:hint="eastAsia" w:ascii="宋体" w:hAnsi="宋体"/>
                <w:color w:val="auto"/>
                <w:sz w:val="21"/>
                <w:szCs w:val="21"/>
                <w:highlight w:val="none"/>
                <w:u w:val="single"/>
              </w:rPr>
              <w:t xml:space="preserve"> 合同金额的10% 。</w:t>
            </w:r>
          </w:p>
          <w:p w14:paraId="679A2ECB">
            <w:pPr>
              <w:shd w:val="clear"/>
              <w:jc w:val="both"/>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2</w:t>
            </w:r>
            <w:r>
              <w:rPr>
                <w:rFonts w:ascii="宋体" w:hAnsi="宋体"/>
                <w:color w:val="auto"/>
                <w:sz w:val="21"/>
                <w:szCs w:val="21"/>
                <w:highlight w:val="none"/>
              </w:rPr>
              <w:t>.</w:t>
            </w:r>
            <w:r>
              <w:rPr>
                <w:rFonts w:hint="eastAsia" w:ascii="宋体" w:hAnsi="宋体"/>
                <w:color w:val="auto"/>
                <w:sz w:val="21"/>
                <w:szCs w:val="21"/>
                <w:highlight w:val="none"/>
              </w:rPr>
              <w:t>履约保证金账户信息</w:t>
            </w:r>
            <w:r>
              <w:rPr>
                <w:rFonts w:hint="eastAsia" w:ascii="宋体" w:hAnsi="宋体"/>
                <w:color w:val="auto"/>
                <w:sz w:val="21"/>
                <w:szCs w:val="21"/>
                <w:highlight w:val="none"/>
                <w:lang w:eastAsia="zh-CN"/>
              </w:rPr>
              <w:t>（中标结果公示后待中标单位与采购人协商确认）</w:t>
            </w:r>
          </w:p>
          <w:p w14:paraId="312B8CCF">
            <w:pPr>
              <w:shd w:val="clear"/>
              <w:jc w:val="both"/>
              <w:rPr>
                <w:rFonts w:ascii="宋体" w:hAnsi="宋体"/>
                <w:color w:val="auto"/>
                <w:sz w:val="21"/>
                <w:szCs w:val="21"/>
                <w:highlight w:val="none"/>
              </w:rPr>
            </w:pPr>
            <w:r>
              <w:rPr>
                <w:rFonts w:hint="eastAsia" w:ascii="宋体" w:hAnsi="宋体"/>
                <w:color w:val="auto"/>
                <w:sz w:val="21"/>
                <w:szCs w:val="21"/>
                <w:highlight w:val="none"/>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17A9660B">
            <w:pPr>
              <w:shd w:val="clear"/>
              <w:jc w:val="both"/>
              <w:rPr>
                <w:rFonts w:ascii="宋体" w:hAnsi="宋体"/>
                <w:color w:val="auto"/>
                <w:sz w:val="21"/>
                <w:szCs w:val="21"/>
                <w:highlight w:val="none"/>
              </w:rPr>
            </w:pPr>
            <w:r>
              <w:rPr>
                <w:rFonts w:hint="eastAsia" w:ascii="宋体" w:hAnsi="宋体"/>
                <w:color w:val="auto"/>
                <w:sz w:val="21"/>
                <w:szCs w:val="21"/>
                <w:highlight w:val="none"/>
              </w:rPr>
              <w:t>4.履约担保期限从合同签订之日起至项目完工验收合格并结算完毕后，经双方签字</w:t>
            </w:r>
            <w:r>
              <w:rPr>
                <w:rFonts w:hint="eastAsia" w:ascii="宋体" w:hAnsi="宋体"/>
                <w:color w:val="auto"/>
                <w:sz w:val="21"/>
                <w:szCs w:val="21"/>
                <w:highlight w:val="none"/>
                <w:u w:val="single"/>
              </w:rPr>
              <w:t xml:space="preserve"> 7 </w:t>
            </w:r>
            <w:r>
              <w:rPr>
                <w:rFonts w:hint="eastAsia" w:ascii="宋体" w:hAnsi="宋体"/>
                <w:color w:val="auto"/>
                <w:sz w:val="21"/>
                <w:szCs w:val="21"/>
                <w:highlight w:val="none"/>
              </w:rPr>
              <w:t>天内保持有效。</w:t>
            </w:r>
          </w:p>
          <w:p w14:paraId="2DFAB16D">
            <w:pPr>
              <w:shd w:val="clear"/>
              <w:jc w:val="both"/>
              <w:rPr>
                <w:rFonts w:ascii="宋体" w:hAnsi="宋体"/>
                <w:color w:val="auto"/>
                <w:sz w:val="21"/>
                <w:szCs w:val="21"/>
                <w:highlight w:val="none"/>
              </w:rPr>
            </w:pPr>
            <w:r>
              <w:rPr>
                <w:rFonts w:hint="eastAsia" w:ascii="宋体" w:hAnsi="宋体"/>
                <w:color w:val="auto"/>
                <w:sz w:val="21"/>
                <w:szCs w:val="21"/>
                <w:highlight w:val="none"/>
              </w:rPr>
              <w:t>5、履约担保要求：</w:t>
            </w:r>
          </w:p>
          <w:p w14:paraId="66B57577">
            <w:pPr>
              <w:shd w:val="clear"/>
              <w:jc w:val="both"/>
              <w:rPr>
                <w:rFonts w:ascii="宋体" w:hAnsi="宋体"/>
                <w:color w:val="auto"/>
                <w:sz w:val="21"/>
                <w:szCs w:val="21"/>
                <w:highlight w:val="none"/>
              </w:rPr>
            </w:pPr>
            <w:r>
              <w:rPr>
                <w:rFonts w:hint="eastAsia" w:ascii="宋体" w:hAnsi="宋体"/>
                <w:color w:val="auto"/>
                <w:sz w:val="21"/>
                <w:szCs w:val="21"/>
                <w:highlight w:val="none"/>
              </w:rPr>
              <w:t>（1）履约保函。如果中标人的履约担保是以银行保函形式提供的，则该银行保函应：</w:t>
            </w:r>
          </w:p>
          <w:p w14:paraId="2089C7D5">
            <w:pPr>
              <w:shd w:val="clear"/>
              <w:jc w:val="both"/>
              <w:rPr>
                <w:rFonts w:ascii="宋体" w:hAnsi="宋体"/>
                <w:color w:val="auto"/>
                <w:sz w:val="21"/>
                <w:szCs w:val="21"/>
                <w:highlight w:val="none"/>
              </w:rPr>
            </w:pPr>
            <w:r>
              <w:rPr>
                <w:rFonts w:hint="eastAsia" w:ascii="宋体" w:hAnsi="宋体"/>
                <w:color w:val="auto"/>
                <w:sz w:val="21"/>
                <w:szCs w:val="21"/>
                <w:highlight w:val="none"/>
              </w:rPr>
              <w:t>①保函应由银行支行或以上银行机构开具，非东莞市行政区内的银行开具的保函要由银行所在地公证部门出具的公证书。</w:t>
            </w:r>
          </w:p>
          <w:p w14:paraId="05E535D8">
            <w:pPr>
              <w:shd w:val="clear"/>
              <w:jc w:val="both"/>
              <w:rPr>
                <w:rFonts w:ascii="宋体" w:hAnsi="宋体"/>
                <w:color w:val="auto"/>
                <w:sz w:val="21"/>
                <w:szCs w:val="21"/>
                <w:highlight w:val="none"/>
              </w:rPr>
            </w:pPr>
            <w:r>
              <w:rPr>
                <w:rFonts w:hint="eastAsia" w:ascii="宋体" w:hAnsi="宋体"/>
                <w:color w:val="auto"/>
                <w:sz w:val="21"/>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14F7D0AD">
            <w:pPr>
              <w:shd w:val="clear"/>
              <w:jc w:val="both"/>
              <w:rPr>
                <w:rFonts w:ascii="宋体" w:hAnsi="宋体"/>
                <w:color w:val="auto"/>
                <w:sz w:val="21"/>
                <w:szCs w:val="21"/>
                <w:highlight w:val="none"/>
              </w:rPr>
            </w:pPr>
            <w:r>
              <w:rPr>
                <w:rFonts w:hint="eastAsia" w:ascii="宋体" w:hAnsi="宋体"/>
                <w:color w:val="auto"/>
                <w:sz w:val="21"/>
                <w:szCs w:val="21"/>
                <w:highlight w:val="none"/>
              </w:rPr>
              <w:t>③履约保函必须打印，手写、涂改无效。</w:t>
            </w:r>
          </w:p>
          <w:p w14:paraId="6D7FD987">
            <w:pPr>
              <w:shd w:val="clear"/>
              <w:jc w:val="both"/>
              <w:rPr>
                <w:rFonts w:ascii="宋体" w:hAnsi="宋体"/>
                <w:color w:val="auto"/>
                <w:sz w:val="21"/>
                <w:szCs w:val="21"/>
                <w:highlight w:val="none"/>
              </w:rPr>
            </w:pPr>
            <w:r>
              <w:rPr>
                <w:rFonts w:hint="eastAsia" w:ascii="宋体" w:hAnsi="宋体"/>
                <w:color w:val="auto"/>
                <w:sz w:val="21"/>
                <w:szCs w:val="21"/>
                <w:highlight w:val="none"/>
              </w:rPr>
              <w:t>（2）履约保证金。可采用电汇、银行汇票等银行转帐方式提交，但不可以采用现金方式提交。中标人必须保证履约保证金以中标人名称在签订合同前提交至采购人指定账户。</w:t>
            </w:r>
          </w:p>
          <w:p w14:paraId="72A230B6">
            <w:pPr>
              <w:shd w:val="clear"/>
              <w:jc w:val="both"/>
              <w:rPr>
                <w:rFonts w:ascii="宋体" w:hAnsi="宋体"/>
                <w:color w:val="auto"/>
                <w:sz w:val="21"/>
                <w:szCs w:val="21"/>
                <w:highlight w:val="none"/>
              </w:rPr>
            </w:pPr>
            <w:r>
              <w:rPr>
                <w:rFonts w:hint="eastAsia" w:ascii="宋体" w:hAnsi="宋体"/>
                <w:color w:val="auto"/>
                <w:sz w:val="21"/>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455CF8D8">
            <w:pPr>
              <w:shd w:val="clear"/>
              <w:jc w:val="both"/>
              <w:rPr>
                <w:rFonts w:ascii="宋体" w:hAnsi="宋体"/>
                <w:color w:val="auto"/>
                <w:sz w:val="21"/>
                <w:szCs w:val="21"/>
                <w:highlight w:val="none"/>
              </w:rPr>
            </w:pPr>
            <w:r>
              <w:rPr>
                <w:rFonts w:hint="eastAsia" w:ascii="宋体" w:hAnsi="宋体"/>
                <w:color w:val="auto"/>
                <w:sz w:val="21"/>
                <w:szCs w:val="21"/>
                <w:highlight w:val="none"/>
              </w:rPr>
              <w:t>（4）为取得履约担保所需的费用，由中标人承担；若工期延误，履约担保时间延长，延长费用由中标人承担。</w:t>
            </w:r>
          </w:p>
          <w:p w14:paraId="0CCE4304">
            <w:pPr>
              <w:shd w:val="clear"/>
              <w:jc w:val="both"/>
              <w:rPr>
                <w:rFonts w:ascii="宋体" w:hAnsi="宋体"/>
                <w:color w:val="auto"/>
                <w:sz w:val="21"/>
                <w:szCs w:val="21"/>
                <w:highlight w:val="none"/>
              </w:rPr>
            </w:pPr>
            <w:r>
              <w:rPr>
                <w:rFonts w:hint="eastAsia" w:ascii="宋体" w:hAnsi="宋体"/>
                <w:color w:val="auto"/>
                <w:sz w:val="21"/>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20FB46B6">
            <w:pPr>
              <w:shd w:val="clear"/>
              <w:jc w:val="both"/>
              <w:rPr>
                <w:rFonts w:ascii="宋体" w:hAnsi="宋体"/>
                <w:color w:val="auto"/>
                <w:sz w:val="21"/>
                <w:szCs w:val="21"/>
                <w:highlight w:val="none"/>
              </w:rPr>
            </w:pPr>
            <w:r>
              <w:rPr>
                <w:rFonts w:hint="eastAsia" w:ascii="宋体" w:hAnsi="宋体"/>
                <w:color w:val="auto"/>
                <w:sz w:val="21"/>
                <w:szCs w:val="21"/>
                <w:highlight w:val="none"/>
              </w:rPr>
              <w:t>（6）下列任何情况发生时，采购人有权行使享有的担保权利：</w:t>
            </w:r>
          </w:p>
          <w:p w14:paraId="0D1DBA27">
            <w:pPr>
              <w:shd w:val="clear"/>
              <w:jc w:val="both"/>
              <w:rPr>
                <w:rFonts w:ascii="宋体" w:hAnsi="宋体"/>
                <w:color w:val="auto"/>
                <w:sz w:val="21"/>
                <w:szCs w:val="21"/>
                <w:highlight w:val="none"/>
              </w:rPr>
            </w:pPr>
            <w:r>
              <w:rPr>
                <w:rFonts w:hint="eastAsia" w:ascii="宋体" w:hAnsi="宋体"/>
                <w:color w:val="auto"/>
                <w:sz w:val="21"/>
                <w:szCs w:val="21"/>
                <w:highlight w:val="none"/>
              </w:rPr>
              <w:t>①中标人将本项目转让给他人，或者在投标文件中未说明，且未经采购人同意，将中标项目分包给他人的；</w:t>
            </w:r>
          </w:p>
          <w:p w14:paraId="0BDBB421">
            <w:pPr>
              <w:shd w:val="clear"/>
              <w:jc w:val="both"/>
              <w:rPr>
                <w:rFonts w:ascii="宋体" w:hAnsi="宋体"/>
                <w:color w:val="auto"/>
                <w:sz w:val="21"/>
                <w:szCs w:val="21"/>
                <w:highlight w:val="none"/>
              </w:rPr>
            </w:pPr>
            <w:r>
              <w:rPr>
                <w:rFonts w:hint="eastAsia" w:ascii="宋体" w:hAnsi="宋体"/>
                <w:color w:val="auto"/>
                <w:sz w:val="21"/>
                <w:szCs w:val="21"/>
                <w:highlight w:val="none"/>
              </w:rPr>
              <w:t>②中标人在履行采购合同期间，违反有关法律法规的规定及合同约定的条款，损害了采购人的利益。</w:t>
            </w:r>
          </w:p>
          <w:p w14:paraId="38F597E9">
            <w:pPr>
              <w:shd w:val="clear"/>
              <w:jc w:val="both"/>
              <w:rPr>
                <w:rFonts w:ascii="宋体" w:hAnsi="宋体"/>
                <w:b/>
                <w:color w:val="auto"/>
                <w:sz w:val="21"/>
                <w:szCs w:val="21"/>
                <w:highlight w:val="none"/>
              </w:rPr>
            </w:pPr>
            <w:r>
              <w:rPr>
                <w:rFonts w:hint="eastAsia" w:ascii="宋体" w:hAnsi="宋体"/>
                <w:color w:val="auto"/>
                <w:sz w:val="21"/>
                <w:szCs w:val="21"/>
                <w:highlight w:val="none"/>
              </w:rPr>
              <w:t>（7）在整个项目验收合格后，中标人向采购人提交退回履约担保的申请，采购人办理履约担保退还手续。</w:t>
            </w:r>
          </w:p>
        </w:tc>
      </w:tr>
      <w:tr w14:paraId="59E093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restart"/>
            <w:tcBorders>
              <w:tl2br w:val="nil"/>
              <w:tr2bl w:val="nil"/>
            </w:tcBorders>
            <w:vAlign w:val="center"/>
          </w:tcPr>
          <w:p w14:paraId="0C9A4E27">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15</w:t>
            </w:r>
          </w:p>
        </w:tc>
        <w:tc>
          <w:tcPr>
            <w:tcW w:w="7609" w:type="dxa"/>
            <w:gridSpan w:val="2"/>
            <w:tcBorders>
              <w:tl2br w:val="nil"/>
              <w:tr2bl w:val="nil"/>
            </w:tcBorders>
            <w:vAlign w:val="center"/>
          </w:tcPr>
          <w:p w14:paraId="27F716E4">
            <w:pPr>
              <w:shd w:val="clear"/>
              <w:jc w:val="both"/>
              <w:rPr>
                <w:rFonts w:ascii="宋体" w:hAnsi="宋体"/>
                <w:b/>
                <w:color w:val="auto"/>
                <w:sz w:val="21"/>
                <w:szCs w:val="21"/>
                <w:highlight w:val="none"/>
              </w:rPr>
            </w:pPr>
            <w:r>
              <w:rPr>
                <w:rFonts w:hint="eastAsia" w:ascii="宋体" w:hAnsi="宋体"/>
                <w:b/>
                <w:color w:val="auto"/>
                <w:sz w:val="21"/>
                <w:szCs w:val="21"/>
                <w:highlight w:val="none"/>
              </w:rPr>
              <w:t>中标服务费</w:t>
            </w:r>
          </w:p>
        </w:tc>
      </w:tr>
      <w:tr w14:paraId="529CAB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6E7FAAAB">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14:paraId="415E415C">
            <w:pPr>
              <w:keepNext w:val="0"/>
              <w:keepLines w:val="0"/>
              <w:pageBreakBefore w:val="0"/>
              <w:widowControl w:val="0"/>
              <w:shd w:val="clear"/>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stheme="minorBidi"/>
                <w:color w:val="auto"/>
                <w:sz w:val="21"/>
                <w:szCs w:val="21"/>
                <w:highlight w:val="none"/>
                <w:lang w:val="en-US" w:eastAsia="zh-CN" w:bidi="ar-SA"/>
              </w:rPr>
            </w:pPr>
            <w:r>
              <w:rPr>
                <w:rFonts w:hint="eastAsia" w:ascii="宋体" w:hAnsi="宋体" w:eastAsia="宋体"/>
                <w:color w:val="auto"/>
                <w:sz w:val="21"/>
                <w:szCs w:val="21"/>
                <w:highlight w:val="none"/>
              </w:rPr>
              <w:t>（1）中标服务费</w:t>
            </w:r>
            <w:r>
              <w:rPr>
                <w:rFonts w:hint="eastAsia" w:ascii="宋体" w:hAnsi="宋体" w:eastAsia="宋体"/>
                <w:color w:val="auto"/>
                <w:sz w:val="21"/>
                <w:szCs w:val="21"/>
                <w:highlight w:val="none"/>
                <w:lang w:eastAsia="zh-CN"/>
              </w:rPr>
              <w:t>参照</w:t>
            </w:r>
            <w:r>
              <w:rPr>
                <w:rFonts w:hint="eastAsia" w:ascii="宋体" w:hAnsi="宋体" w:eastAsia="宋体"/>
                <w:color w:val="auto"/>
                <w:sz w:val="21"/>
                <w:szCs w:val="21"/>
                <w:highlight w:val="none"/>
              </w:rPr>
              <w:t>国家计委[计价格[2002]1980号]文和国家发改委[发改价格[2011]534号]文及相关规定</w:t>
            </w:r>
            <w:r>
              <w:rPr>
                <w:rFonts w:hint="eastAsia" w:ascii="宋体" w:hAnsi="宋体" w:eastAsia="宋体"/>
                <w:color w:val="auto"/>
                <w:sz w:val="21"/>
                <w:szCs w:val="21"/>
                <w:highlight w:val="none"/>
                <w:lang w:eastAsia="zh-CN"/>
              </w:rPr>
              <w:t>并下浮</w:t>
            </w:r>
            <w:r>
              <w:rPr>
                <w:rFonts w:hint="eastAsia" w:ascii="宋体" w:hAnsi="宋体"/>
                <w:color w:val="auto"/>
                <w:sz w:val="21"/>
                <w:szCs w:val="21"/>
                <w:highlight w:val="none"/>
                <w:lang w:val="en-US" w:eastAsia="zh-CN"/>
              </w:rPr>
              <w:t>3</w:t>
            </w:r>
            <w:r>
              <w:rPr>
                <w:rFonts w:hint="eastAsia" w:ascii="宋体" w:hAnsi="宋体" w:eastAsia="宋体"/>
                <w:color w:val="auto"/>
                <w:sz w:val="21"/>
                <w:szCs w:val="21"/>
                <w:highlight w:val="none"/>
                <w:lang w:val="en-US" w:eastAsia="zh-CN"/>
              </w:rPr>
              <w:t>0%</w:t>
            </w:r>
            <w:r>
              <w:rPr>
                <w:rFonts w:hint="eastAsia" w:ascii="宋体" w:hAnsi="宋体" w:eastAsia="宋体"/>
                <w:color w:val="auto"/>
                <w:sz w:val="21"/>
                <w:szCs w:val="21"/>
                <w:highlight w:val="none"/>
              </w:rPr>
              <w:t>向中标单位收取，按差额定率累进法计算，以中标通知书中确定的中标总金额作为收费的计算</w:t>
            </w:r>
            <w:r>
              <w:rPr>
                <w:rFonts w:hint="eastAsia" w:ascii="宋体" w:hAnsi="宋体" w:eastAsia="宋体"/>
                <w:color w:val="auto"/>
                <w:sz w:val="21"/>
                <w:szCs w:val="21"/>
                <w:highlight w:val="none"/>
                <w:lang w:eastAsia="zh-CN"/>
              </w:rPr>
              <w:t>参照</w:t>
            </w:r>
            <w:r>
              <w:rPr>
                <w:rFonts w:hint="eastAsia" w:ascii="宋体" w:hAnsi="宋体" w:eastAsia="宋体"/>
                <w:color w:val="auto"/>
                <w:sz w:val="21"/>
                <w:szCs w:val="21"/>
                <w:highlight w:val="none"/>
              </w:rPr>
              <w:t>。</w:t>
            </w:r>
          </w:p>
        </w:tc>
      </w:tr>
      <w:tr w14:paraId="40065B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01" w:type="dxa"/>
            <w:vMerge w:val="continue"/>
            <w:tcBorders>
              <w:tl2br w:val="nil"/>
              <w:tr2bl w:val="nil"/>
            </w:tcBorders>
            <w:vAlign w:val="center"/>
          </w:tcPr>
          <w:p w14:paraId="564AF122">
            <w:pPr>
              <w:shd w:val="clear"/>
              <w:jc w:val="center"/>
              <w:rPr>
                <w:rFonts w:hint="default" w:ascii="宋体" w:hAnsi="宋体" w:eastAsia="宋体"/>
                <w:color w:val="auto"/>
                <w:sz w:val="21"/>
                <w:szCs w:val="21"/>
                <w:highlight w:val="none"/>
                <w:lang w:val="en-US" w:eastAsia="zh-CN"/>
              </w:rPr>
            </w:pPr>
          </w:p>
        </w:tc>
        <w:tc>
          <w:tcPr>
            <w:tcW w:w="7609" w:type="dxa"/>
            <w:gridSpan w:val="2"/>
            <w:tcBorders>
              <w:tl2br w:val="nil"/>
              <w:tr2bl w:val="nil"/>
            </w:tcBorders>
            <w:vAlign w:val="center"/>
          </w:tcPr>
          <w:p w14:paraId="2FFF1DF9">
            <w:pPr>
              <w:shd w:val="clear"/>
              <w:jc w:val="both"/>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（2）中标服务费以转账或现金的形式支付。</w:t>
            </w:r>
            <w:r>
              <w:rPr>
                <w:rFonts w:hint="eastAsia" w:ascii="宋体" w:hAnsi="宋体" w:eastAsia="宋体"/>
                <w:color w:val="auto"/>
                <w:sz w:val="21"/>
                <w:szCs w:val="21"/>
                <w:highlight w:val="none"/>
                <w:lang w:eastAsia="zh-CN"/>
              </w:rPr>
              <w:t>招标代理机构</w:t>
            </w:r>
            <w:r>
              <w:rPr>
                <w:rFonts w:hint="eastAsia" w:ascii="宋体" w:hAnsi="宋体" w:eastAsia="宋体"/>
                <w:color w:val="auto"/>
                <w:sz w:val="21"/>
                <w:szCs w:val="21"/>
                <w:highlight w:val="none"/>
              </w:rPr>
              <w:t>服务费汇入账号：</w:t>
            </w:r>
          </w:p>
          <w:p w14:paraId="457B986A">
            <w:pPr>
              <w:shd w:val="clear"/>
              <w:jc w:val="both"/>
              <w:rPr>
                <w:rFonts w:hint="eastAsia" w:ascii="宋体" w:hAnsi="宋体" w:eastAsia="宋体"/>
                <w:color w:val="auto"/>
                <w:sz w:val="21"/>
                <w:szCs w:val="21"/>
                <w:highlight w:val="none"/>
                <w:lang w:eastAsia="zh-CN"/>
              </w:rPr>
            </w:pPr>
            <w:r>
              <w:rPr>
                <w:rFonts w:hint="eastAsia" w:ascii="宋体" w:hAnsi="宋体" w:eastAsia="宋体"/>
                <w:color w:val="auto"/>
                <w:sz w:val="21"/>
                <w:szCs w:val="21"/>
                <w:highlight w:val="none"/>
              </w:rPr>
              <w:t>收 款 人：</w:t>
            </w:r>
            <w:r>
              <w:rPr>
                <w:rFonts w:hint="eastAsia" w:ascii="宋体" w:hAnsi="宋体"/>
                <w:color w:val="auto"/>
                <w:sz w:val="21"/>
                <w:szCs w:val="21"/>
                <w:highlight w:val="none"/>
                <w:lang w:eastAsia="zh-CN"/>
              </w:rPr>
              <w:t>广东建瀚工程管理有限公司</w:t>
            </w:r>
            <w:r>
              <w:rPr>
                <w:rFonts w:hint="eastAsia" w:ascii="宋体" w:hAnsi="宋体" w:eastAsia="宋体"/>
                <w:color w:val="auto"/>
                <w:sz w:val="21"/>
                <w:szCs w:val="21"/>
                <w:highlight w:val="none"/>
              </w:rPr>
              <w:t>东莞分公司</w:t>
            </w:r>
          </w:p>
          <w:p w14:paraId="04A4548D">
            <w:pPr>
              <w:shd w:val="clear"/>
              <w:jc w:val="both"/>
              <w:rPr>
                <w:rFonts w:hint="eastAsia" w:ascii="宋体" w:hAnsi="宋体" w:eastAsia="宋体"/>
                <w:color w:val="auto"/>
                <w:sz w:val="21"/>
                <w:szCs w:val="21"/>
                <w:highlight w:val="none"/>
              </w:rPr>
            </w:pPr>
            <w:r>
              <w:rPr>
                <w:rFonts w:hint="eastAsia" w:ascii="宋体" w:hAnsi="宋体" w:eastAsia="宋体"/>
                <w:color w:val="auto"/>
                <w:sz w:val="21"/>
                <w:szCs w:val="21"/>
                <w:highlight w:val="none"/>
              </w:rPr>
              <w:t>开户银行：</w:t>
            </w:r>
            <w:r>
              <w:rPr>
                <w:rFonts w:hint="eastAsia" w:ascii="宋体" w:hAnsi="宋体" w:eastAsia="宋体"/>
                <w:color w:val="auto"/>
                <w:sz w:val="21"/>
                <w:szCs w:val="21"/>
                <w:highlight w:val="none"/>
                <w:lang w:val="en-US" w:eastAsia="zh-CN"/>
              </w:rPr>
              <w:t>中国工商银行股份有限公司东莞分行</w:t>
            </w:r>
          </w:p>
          <w:p w14:paraId="7E2C4E55">
            <w:pPr>
              <w:shd w:val="clear"/>
              <w:jc w:val="both"/>
              <w:rPr>
                <w:rFonts w:ascii="宋体" w:hAnsi="宋体" w:eastAsia="宋体" w:cstheme="minorBidi"/>
                <w:color w:val="auto"/>
                <w:sz w:val="21"/>
                <w:szCs w:val="21"/>
                <w:highlight w:val="none"/>
                <w:lang w:val="en-US" w:eastAsia="zh-CN" w:bidi="ar-SA"/>
              </w:rPr>
            </w:pPr>
            <w:r>
              <w:rPr>
                <w:rFonts w:hint="eastAsia" w:ascii="宋体" w:hAnsi="宋体" w:eastAsia="宋体"/>
                <w:color w:val="auto"/>
                <w:sz w:val="21"/>
                <w:szCs w:val="21"/>
                <w:highlight w:val="none"/>
              </w:rPr>
              <w:t>账　　号：</w:t>
            </w:r>
            <w:r>
              <w:rPr>
                <w:rFonts w:hint="eastAsia" w:ascii="宋体" w:hAnsi="宋体" w:eastAsia="宋体"/>
                <w:color w:val="auto"/>
                <w:sz w:val="21"/>
                <w:szCs w:val="21"/>
                <w:highlight w:val="none"/>
                <w:lang w:val="en-US" w:eastAsia="zh-CN"/>
              </w:rPr>
              <w:t>2010021309200628206</w:t>
            </w:r>
          </w:p>
        </w:tc>
      </w:tr>
      <w:tr w14:paraId="3720D5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8410" w:type="dxa"/>
            <w:gridSpan w:val="3"/>
            <w:tcBorders>
              <w:tl2br w:val="nil"/>
              <w:tr2bl w:val="nil"/>
            </w:tcBorders>
            <w:vAlign w:val="center"/>
          </w:tcPr>
          <w:p w14:paraId="18F2BD74">
            <w:pPr>
              <w:widowControl w:val="0"/>
              <w:shd w:val="clear"/>
              <w:tabs>
                <w:tab w:val="left" w:pos="907"/>
              </w:tabs>
              <w:adjustRightInd/>
              <w:snapToGrid/>
              <w:ind w:firstLine="420" w:firstLineChars="200"/>
              <w:jc w:val="both"/>
              <w:rPr>
                <w:rFonts w:ascii="宋体" w:hAnsi="宋体"/>
                <w:color w:val="auto"/>
                <w:sz w:val="21"/>
                <w:szCs w:val="21"/>
                <w:highlight w:val="none"/>
              </w:rPr>
            </w:pPr>
            <w:r>
              <w:rPr>
                <w:rFonts w:hint="eastAsia" w:ascii="宋体" w:hAnsi="宋体"/>
                <w:color w:val="auto"/>
                <w:sz w:val="21"/>
                <w:szCs w:val="21"/>
                <w:highlight w:val="none"/>
              </w:rPr>
              <w:t>注：本表关于要采购项目的具体资料，是对投标人须知的具体补充和修改，如有矛盾，应以本资料表为准。不满足采购文件中 “★”条款的投标文件将作无效投标处理。</w:t>
            </w:r>
          </w:p>
        </w:tc>
      </w:tr>
    </w:tbl>
    <w:p w14:paraId="13DC6061">
      <w:pPr>
        <w:shd w:val="clear"/>
        <w:jc w:val="center"/>
        <w:rPr>
          <w:color w:val="auto"/>
          <w:highlight w:val="none"/>
        </w:rPr>
      </w:pPr>
      <w:r>
        <w:rPr>
          <w:rFonts w:hint="eastAsia"/>
          <w:color w:val="auto"/>
          <w:highlight w:val="none"/>
        </w:rPr>
        <w:br w:type="page"/>
      </w:r>
    </w:p>
    <w:p w14:paraId="3275C28B">
      <w:pPr>
        <w:pStyle w:val="7"/>
        <w:shd w:val="clear"/>
        <w:spacing w:before="0" w:after="0" w:line="240" w:lineRule="auto"/>
        <w:jc w:val="center"/>
        <w:rPr>
          <w:rFonts w:hAnsi="宋体" w:cs="宋体"/>
          <w:color w:val="auto"/>
          <w:sz w:val="21"/>
          <w:szCs w:val="21"/>
          <w:highlight w:val="none"/>
        </w:rPr>
      </w:pPr>
      <w:bookmarkStart w:id="4" w:name="_Toc19210"/>
      <w:bookmarkStart w:id="5" w:name="_Toc31223"/>
      <w:r>
        <w:rPr>
          <w:rFonts w:hint="eastAsia" w:ascii="宋体" w:hAnsi="宋体" w:cs="宋体"/>
          <w:color w:val="auto"/>
          <w:sz w:val="24"/>
          <w:szCs w:val="24"/>
          <w:highlight w:val="none"/>
        </w:rPr>
        <w:t>附表二：商务技术评分及价格权重表（满分100分）</w:t>
      </w:r>
      <w:bookmarkEnd w:id="4"/>
      <w:bookmarkEnd w:id="5"/>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27"/>
        <w:gridCol w:w="883"/>
        <w:gridCol w:w="5722"/>
      </w:tblGrid>
      <w:tr w14:paraId="0E6C6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22B5983">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227" w:type="dxa"/>
            <w:tcBorders>
              <w:top w:val="single" w:color="auto" w:sz="4" w:space="0"/>
              <w:left w:val="single" w:color="auto" w:sz="4" w:space="0"/>
              <w:bottom w:val="single" w:color="auto" w:sz="4" w:space="0"/>
              <w:right w:val="single" w:color="auto" w:sz="4" w:space="0"/>
            </w:tcBorders>
            <w:vAlign w:val="center"/>
          </w:tcPr>
          <w:p w14:paraId="4D54842F">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883" w:type="dxa"/>
            <w:tcBorders>
              <w:top w:val="single" w:color="auto" w:sz="4" w:space="0"/>
              <w:left w:val="single" w:color="auto" w:sz="4" w:space="0"/>
              <w:bottom w:val="single" w:color="auto" w:sz="4" w:space="0"/>
              <w:right w:val="single" w:color="auto" w:sz="4" w:space="0"/>
            </w:tcBorders>
            <w:vAlign w:val="center"/>
          </w:tcPr>
          <w:p w14:paraId="26B09B96">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722" w:type="dxa"/>
            <w:tcBorders>
              <w:top w:val="single" w:color="auto" w:sz="4" w:space="0"/>
              <w:left w:val="single" w:color="auto" w:sz="4" w:space="0"/>
              <w:bottom w:val="single" w:color="auto" w:sz="4" w:space="0"/>
              <w:right w:val="single" w:color="auto" w:sz="4" w:space="0"/>
            </w:tcBorders>
            <w:vAlign w:val="center"/>
          </w:tcPr>
          <w:p w14:paraId="558C5302">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6B75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C4F8ABC">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30</w:t>
            </w:r>
            <w:r>
              <w:rPr>
                <w:rFonts w:hint="eastAsia" w:ascii="宋体" w:eastAsia="宋体" w:cs="宋体"/>
                <w:b/>
                <w:bCs/>
                <w:color w:val="auto"/>
                <w:sz w:val="21"/>
                <w:szCs w:val="21"/>
                <w:highlight w:val="none"/>
              </w:rPr>
              <w:t>分）</w:t>
            </w:r>
          </w:p>
        </w:tc>
      </w:tr>
      <w:tr w14:paraId="351C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5BCBEDB1">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right w:val="single" w:color="auto" w:sz="4" w:space="0"/>
            </w:tcBorders>
            <w:vAlign w:val="center"/>
          </w:tcPr>
          <w:p w14:paraId="5470C1D4">
            <w:pPr>
              <w:pStyle w:val="45"/>
              <w:spacing w:line="360" w:lineRule="auto"/>
              <w:ind w:firstLine="0" w:firstLineChars="0"/>
              <w:jc w:val="center"/>
              <w:rPr>
                <w:rFonts w:hint="eastAsia" w:ascii="宋体" w:eastAsia="宋体" w:cs="宋体"/>
                <w:color w:val="auto"/>
                <w:sz w:val="21"/>
                <w:szCs w:val="21"/>
                <w:highlight w:val="none"/>
                <w:u w:val="none"/>
                <w:lang w:eastAsia="zh-CN"/>
              </w:rPr>
            </w:pPr>
            <w:r>
              <w:rPr>
                <w:rFonts w:hint="eastAsia" w:ascii="宋体" w:eastAsia="宋体" w:cs="宋体"/>
                <w:color w:val="auto"/>
                <w:sz w:val="21"/>
                <w:szCs w:val="21"/>
                <w:highlight w:val="none"/>
                <w:u w:val="none"/>
              </w:rPr>
              <w:t>体系</w:t>
            </w:r>
            <w:r>
              <w:rPr>
                <w:rFonts w:hint="eastAsia" w:ascii="宋体" w:eastAsia="宋体" w:cs="宋体"/>
                <w:color w:val="auto"/>
                <w:sz w:val="21"/>
                <w:szCs w:val="21"/>
                <w:highlight w:val="none"/>
                <w:u w:val="none"/>
                <w:lang w:eastAsia="zh-CN"/>
              </w:rPr>
              <w:t>认证</w:t>
            </w:r>
          </w:p>
        </w:tc>
        <w:tc>
          <w:tcPr>
            <w:tcW w:w="883" w:type="dxa"/>
            <w:tcBorders>
              <w:top w:val="single" w:color="auto" w:sz="4" w:space="0"/>
              <w:left w:val="single" w:color="auto" w:sz="4" w:space="0"/>
              <w:bottom w:val="single" w:color="auto" w:sz="4" w:space="0"/>
              <w:right w:val="single" w:color="auto" w:sz="4" w:space="0"/>
            </w:tcBorders>
            <w:vAlign w:val="center"/>
          </w:tcPr>
          <w:p w14:paraId="06AEE0C1">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3</w:t>
            </w:r>
          </w:p>
        </w:tc>
        <w:tc>
          <w:tcPr>
            <w:tcW w:w="5722" w:type="dxa"/>
            <w:tcBorders>
              <w:top w:val="single" w:color="auto" w:sz="4" w:space="0"/>
              <w:left w:val="single" w:color="auto" w:sz="4" w:space="0"/>
              <w:bottom w:val="single" w:color="auto" w:sz="4" w:space="0"/>
              <w:right w:val="single" w:color="auto" w:sz="4" w:space="0"/>
            </w:tcBorders>
            <w:vAlign w:val="center"/>
          </w:tcPr>
          <w:p w14:paraId="3675EDE4">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7F090E5E">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31D11C8B">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2D9C9145">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5FA7893A">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宋体" w:eastAsia="宋体" w:cs="宋体"/>
                <w:bCs/>
                <w:color w:val="auto"/>
                <w:sz w:val="21"/>
                <w:szCs w:val="21"/>
                <w:highlight w:val="none"/>
                <w:u w:val="none"/>
                <w:lang w:val="zh-CN"/>
              </w:rPr>
            </w:pPr>
            <w:r>
              <w:rPr>
                <w:rFonts w:hint="eastAsia" w:ascii="宋体" w:eastAsia="宋体" w:cs="宋体"/>
                <w:b/>
                <w:bCs w:val="0"/>
                <w:color w:val="auto"/>
                <w:sz w:val="21"/>
                <w:szCs w:val="21"/>
                <w:highlight w:val="none"/>
                <w:u w:val="none"/>
                <w:lang w:val="zh-CN"/>
              </w:rPr>
              <w:t>注：投标人</w:t>
            </w:r>
            <w:r>
              <w:rPr>
                <w:rFonts w:hint="eastAsia" w:ascii="宋体" w:eastAsia="宋体" w:cs="宋体"/>
                <w:b/>
                <w:bCs w:val="0"/>
                <w:color w:val="auto"/>
                <w:sz w:val="21"/>
                <w:szCs w:val="21"/>
                <w:highlight w:val="none"/>
                <w:u w:val="none"/>
                <w:lang w:val="en-US" w:eastAsia="zh-CN"/>
              </w:rPr>
              <w:t>(或</w:t>
            </w:r>
            <w:r>
              <w:rPr>
                <w:rFonts w:hint="eastAsia" w:ascii="宋体" w:eastAsia="宋体" w:cs="宋体"/>
                <w:b/>
                <w:bCs w:val="0"/>
                <w:color w:val="auto"/>
                <w:sz w:val="21"/>
                <w:szCs w:val="21"/>
                <w:highlight w:val="none"/>
                <w:u w:val="none"/>
                <w:lang w:val="zh-CN"/>
              </w:rPr>
              <w:t>联合体任意一方</w:t>
            </w:r>
            <w:r>
              <w:rPr>
                <w:rFonts w:hint="eastAsia" w:ascii="宋体" w:eastAsia="宋体" w:cs="宋体"/>
                <w:b/>
                <w:bCs w:val="0"/>
                <w:color w:val="auto"/>
                <w:sz w:val="21"/>
                <w:szCs w:val="21"/>
                <w:highlight w:val="none"/>
                <w:u w:val="none"/>
                <w:lang w:val="en-US" w:eastAsia="zh-CN"/>
              </w:rPr>
              <w:t>)</w:t>
            </w:r>
            <w:r>
              <w:rPr>
                <w:rFonts w:hint="eastAsia" w:ascii="宋体" w:eastAsia="宋体" w:cs="宋体"/>
                <w:b/>
                <w:bCs w:val="0"/>
                <w:color w:val="auto"/>
                <w:sz w:val="21"/>
                <w:szCs w:val="21"/>
                <w:highlight w:val="none"/>
                <w:u w:val="none"/>
              </w:rPr>
              <w:t>每提供一项得</w:t>
            </w:r>
            <w:r>
              <w:rPr>
                <w:rFonts w:hint="eastAsia" w:ascii="宋体" w:eastAsia="宋体" w:cs="宋体"/>
                <w:b/>
                <w:bCs w:val="0"/>
                <w:color w:val="auto"/>
                <w:sz w:val="21"/>
                <w:szCs w:val="21"/>
                <w:highlight w:val="none"/>
                <w:u w:val="none"/>
                <w:lang w:val="en-US" w:eastAsia="zh-CN"/>
              </w:rPr>
              <w:t>1</w:t>
            </w:r>
            <w:r>
              <w:rPr>
                <w:rFonts w:hint="eastAsia" w:ascii="宋体" w:eastAsia="宋体" w:cs="宋体"/>
                <w:b/>
                <w:bCs w:val="0"/>
                <w:color w:val="auto"/>
                <w:sz w:val="21"/>
                <w:szCs w:val="21"/>
                <w:highlight w:val="none"/>
                <w:u w:val="none"/>
              </w:rPr>
              <w:t>分，本项最高得</w:t>
            </w:r>
            <w:r>
              <w:rPr>
                <w:rFonts w:hint="eastAsia" w:ascii="宋体" w:eastAsia="宋体" w:cs="宋体"/>
                <w:b/>
                <w:bCs w:val="0"/>
                <w:color w:val="auto"/>
                <w:sz w:val="21"/>
                <w:szCs w:val="21"/>
                <w:highlight w:val="none"/>
                <w:u w:val="none"/>
                <w:lang w:val="en-US" w:eastAsia="zh-CN"/>
              </w:rPr>
              <w:t>3</w:t>
            </w:r>
            <w:r>
              <w:rPr>
                <w:rFonts w:hint="eastAsia" w:ascii="宋体" w:eastAsia="宋体" w:cs="宋体"/>
                <w:b/>
                <w:bCs w:val="0"/>
                <w:color w:val="auto"/>
                <w:sz w:val="21"/>
                <w:szCs w:val="21"/>
                <w:highlight w:val="none"/>
                <w:u w:val="none"/>
              </w:rPr>
              <w:t>分</w:t>
            </w:r>
            <w:r>
              <w:rPr>
                <w:rFonts w:hint="eastAsia" w:ascii="宋体" w:eastAsia="宋体" w:cs="宋体"/>
                <w:b/>
                <w:bCs w:val="0"/>
                <w:color w:val="auto"/>
                <w:sz w:val="21"/>
                <w:szCs w:val="21"/>
                <w:highlight w:val="none"/>
                <w:u w:val="none"/>
                <w:lang w:val="en-US" w:eastAsia="zh-CN"/>
              </w:rPr>
              <w:t>,</w:t>
            </w:r>
            <w:r>
              <w:rPr>
                <w:rFonts w:hint="eastAsia" w:ascii="宋体" w:eastAsia="宋体" w:cs="宋体"/>
                <w:b/>
                <w:bCs w:val="0"/>
                <w:color w:val="auto"/>
                <w:sz w:val="21"/>
                <w:szCs w:val="21"/>
                <w:highlight w:val="none"/>
                <w:u w:val="none"/>
                <w:lang w:val="zh-CN"/>
              </w:rPr>
              <w:t>应提供上述有效证书复印件及能显示证书有效状态的全国认证认可信息公共服务平台（http://cx.cnca.cn/）查询结果凭证[凭证界面需显示有“全国认证认可信息公共服务平台”或“认证证书（需显示网址cx.cnca.cn）”]，否则不得分。</w:t>
            </w:r>
          </w:p>
        </w:tc>
      </w:tr>
      <w:tr w14:paraId="68B23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F394069">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2</w:t>
            </w:r>
          </w:p>
        </w:tc>
        <w:tc>
          <w:tcPr>
            <w:tcW w:w="1227" w:type="dxa"/>
            <w:tcBorders>
              <w:top w:val="single" w:color="auto" w:sz="4" w:space="0"/>
              <w:left w:val="single" w:color="auto" w:sz="4" w:space="0"/>
              <w:bottom w:val="single" w:color="auto" w:sz="4" w:space="0"/>
              <w:right w:val="single" w:color="auto" w:sz="4" w:space="0"/>
            </w:tcBorders>
            <w:vAlign w:val="center"/>
          </w:tcPr>
          <w:p w14:paraId="01F660D9">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883" w:type="dxa"/>
            <w:tcBorders>
              <w:top w:val="single" w:color="auto" w:sz="4" w:space="0"/>
              <w:left w:val="single" w:color="auto" w:sz="4" w:space="0"/>
              <w:bottom w:val="single" w:color="auto" w:sz="4" w:space="0"/>
              <w:right w:val="single" w:color="auto" w:sz="4" w:space="0"/>
            </w:tcBorders>
            <w:vAlign w:val="center"/>
          </w:tcPr>
          <w:p w14:paraId="5FF96151">
            <w:pPr>
              <w:pStyle w:val="45"/>
              <w:spacing w:line="360" w:lineRule="auto"/>
              <w:ind w:firstLine="0" w:firstLineChars="0"/>
              <w:jc w:val="center"/>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2</w:t>
            </w:r>
          </w:p>
        </w:tc>
        <w:tc>
          <w:tcPr>
            <w:tcW w:w="5722" w:type="dxa"/>
            <w:tcBorders>
              <w:top w:val="single" w:color="auto" w:sz="4" w:space="0"/>
              <w:left w:val="single" w:color="auto" w:sz="4" w:space="0"/>
              <w:bottom w:val="single" w:color="auto" w:sz="4" w:space="0"/>
              <w:right w:val="single" w:color="auto" w:sz="4" w:space="0"/>
            </w:tcBorders>
            <w:vAlign w:val="center"/>
          </w:tcPr>
          <w:p w14:paraId="7F38554A">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2021</w:t>
            </w:r>
            <w:r>
              <w:rPr>
                <w:rFonts w:hint="eastAsia" w:ascii="宋体" w:eastAsia="宋体" w:cs="宋体"/>
                <w:bCs/>
                <w:color w:val="auto"/>
                <w:sz w:val="21"/>
                <w:szCs w:val="21"/>
                <w:highlight w:val="none"/>
                <w:u w:val="none"/>
                <w:lang w:val="zh-CN"/>
              </w:rPr>
              <w:t>年</w:t>
            </w:r>
            <w:r>
              <w:rPr>
                <w:rFonts w:hint="eastAsia" w:ascii="宋体" w:eastAsia="宋体" w:cs="宋体"/>
                <w:bCs/>
                <w:color w:val="auto"/>
                <w:sz w:val="21"/>
                <w:szCs w:val="21"/>
                <w:highlight w:val="none"/>
                <w:u w:val="none"/>
                <w:lang w:val="en-US" w:eastAsia="zh-CN"/>
              </w:rPr>
              <w:t>1月1日</w:t>
            </w:r>
            <w:r>
              <w:rPr>
                <w:rFonts w:hint="eastAsia" w:ascii="宋体" w:eastAsia="宋体" w:cs="宋体"/>
                <w:bCs/>
                <w:color w:val="auto"/>
                <w:sz w:val="21"/>
                <w:szCs w:val="21"/>
                <w:highlight w:val="none"/>
                <w:u w:val="none"/>
                <w:lang w:val="zh-CN"/>
              </w:rPr>
              <w:t>至今的财务状况进行评价，三年盈利得</w:t>
            </w:r>
            <w:r>
              <w:rPr>
                <w:rFonts w:hint="eastAsia" w:ascii="宋体" w:eastAsia="宋体" w:cs="宋体"/>
                <w:bCs/>
                <w:color w:val="auto"/>
                <w:sz w:val="21"/>
                <w:szCs w:val="21"/>
                <w:highlight w:val="none"/>
                <w:u w:val="none"/>
                <w:lang w:val="en-US" w:eastAsia="zh-CN"/>
              </w:rPr>
              <w:t>2</w:t>
            </w:r>
            <w:r>
              <w:rPr>
                <w:rFonts w:hint="eastAsia" w:ascii="宋体" w:eastAsia="宋体" w:cs="宋体"/>
                <w:bCs/>
                <w:color w:val="auto"/>
                <w:sz w:val="21"/>
                <w:szCs w:val="21"/>
                <w:highlight w:val="none"/>
                <w:u w:val="none"/>
                <w:lang w:val="zh-CN"/>
              </w:rPr>
              <w:t>分，两年盈利得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分，一年盈利得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471C316E">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eastAsia="宋体"/>
                <w:color w:val="auto"/>
                <w:highlight w:val="none"/>
                <w:u w:val="none"/>
                <w:lang w:eastAsia="zh-CN"/>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w:t>
            </w:r>
            <w:r>
              <w:rPr>
                <w:rFonts w:hint="eastAsia" w:ascii="宋体" w:eastAsia="宋体" w:cs="宋体"/>
                <w:b/>
                <w:bCs/>
                <w:color w:val="auto"/>
                <w:sz w:val="21"/>
                <w:szCs w:val="21"/>
                <w:highlight w:val="none"/>
                <w:u w:val="none"/>
                <w:lang w:eastAsia="zh-CN"/>
              </w:rPr>
              <w:t>完整的</w:t>
            </w:r>
            <w:r>
              <w:rPr>
                <w:rFonts w:hint="eastAsia" w:ascii="宋体" w:eastAsia="宋体" w:cs="宋体"/>
                <w:b/>
                <w:bCs/>
                <w:color w:val="auto"/>
                <w:sz w:val="21"/>
                <w:szCs w:val="21"/>
                <w:highlight w:val="none"/>
                <w:u w:val="none"/>
              </w:rPr>
              <w:t>财务报表复印件加盖投标人公章</w:t>
            </w:r>
            <w:r>
              <w:rPr>
                <w:rFonts w:hint="eastAsia" w:ascii="宋体" w:eastAsia="宋体" w:cs="宋体"/>
                <w:b/>
                <w:bCs/>
                <w:color w:val="auto"/>
                <w:sz w:val="21"/>
                <w:szCs w:val="21"/>
                <w:highlight w:val="none"/>
                <w:u w:val="none"/>
                <w:lang w:eastAsia="zh-CN"/>
              </w:rPr>
              <w:t>，联合体成员需同时满足才可得分。</w:t>
            </w:r>
          </w:p>
        </w:tc>
      </w:tr>
      <w:tr w14:paraId="34867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0" w:hRule="atLeast"/>
          <w:jc w:val="center"/>
        </w:trPr>
        <w:tc>
          <w:tcPr>
            <w:tcW w:w="690" w:type="dxa"/>
            <w:tcBorders>
              <w:top w:val="single" w:color="auto" w:sz="4" w:space="0"/>
              <w:left w:val="single" w:color="auto" w:sz="4" w:space="0"/>
              <w:right w:val="single" w:color="auto" w:sz="4" w:space="0"/>
            </w:tcBorders>
            <w:vAlign w:val="center"/>
          </w:tcPr>
          <w:p w14:paraId="3DBD490C">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3</w:t>
            </w:r>
          </w:p>
        </w:tc>
        <w:tc>
          <w:tcPr>
            <w:tcW w:w="1227" w:type="dxa"/>
            <w:tcBorders>
              <w:top w:val="single" w:color="auto" w:sz="4" w:space="0"/>
              <w:left w:val="single" w:color="auto" w:sz="4" w:space="0"/>
              <w:right w:val="single" w:color="auto" w:sz="4" w:space="0"/>
            </w:tcBorders>
            <w:vAlign w:val="center"/>
          </w:tcPr>
          <w:p w14:paraId="515A9443">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lang w:eastAsia="zh-CN"/>
              </w:rPr>
              <w:t>同类</w:t>
            </w:r>
            <w:r>
              <w:rPr>
                <w:rFonts w:hint="eastAsia" w:ascii="宋体" w:eastAsia="宋体" w:cs="宋体"/>
                <w:color w:val="auto"/>
                <w:sz w:val="21"/>
                <w:szCs w:val="21"/>
                <w:highlight w:val="none"/>
                <w:u w:val="none"/>
              </w:rPr>
              <w:t>业绩</w:t>
            </w:r>
          </w:p>
        </w:tc>
        <w:tc>
          <w:tcPr>
            <w:tcW w:w="883" w:type="dxa"/>
            <w:tcBorders>
              <w:top w:val="single" w:color="auto" w:sz="4" w:space="0"/>
              <w:left w:val="single" w:color="auto" w:sz="4" w:space="0"/>
              <w:bottom w:val="single" w:color="auto" w:sz="4" w:space="0"/>
              <w:right w:val="single" w:color="auto" w:sz="4" w:space="0"/>
            </w:tcBorders>
            <w:vAlign w:val="center"/>
          </w:tcPr>
          <w:p w14:paraId="1DDC53F6">
            <w:pPr>
              <w:pStyle w:val="45"/>
              <w:spacing w:line="360" w:lineRule="auto"/>
              <w:ind w:firstLine="0" w:firstLineChars="0"/>
              <w:jc w:val="center"/>
              <w:rPr>
                <w:rFonts w:hint="default"/>
                <w:color w:val="auto"/>
                <w:highlight w:val="none"/>
                <w:u w:val="none"/>
                <w:lang w:val="en-US"/>
              </w:rPr>
            </w:pPr>
            <w:r>
              <w:rPr>
                <w:rFonts w:hint="eastAsia" w:ascii="宋体" w:eastAsia="宋体" w:cs="宋体"/>
                <w:color w:val="auto"/>
                <w:sz w:val="21"/>
                <w:szCs w:val="21"/>
                <w:highlight w:val="none"/>
                <w:u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5A48A211">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bCs/>
                <w:color w:val="auto"/>
                <w:sz w:val="21"/>
                <w:szCs w:val="21"/>
                <w:highlight w:val="none"/>
                <w:u w:val="none"/>
                <w:lang w:val="zh-CN" w:eastAsia="zh-CN"/>
              </w:rPr>
            </w:pPr>
            <w:r>
              <w:rPr>
                <w:rFonts w:hint="eastAsia" w:ascii="宋体" w:eastAsia="宋体" w:cs="宋体"/>
                <w:bCs/>
                <w:color w:val="auto"/>
                <w:sz w:val="21"/>
                <w:szCs w:val="21"/>
                <w:highlight w:val="none"/>
                <w:u w:val="none"/>
                <w:lang w:val="en-US" w:eastAsia="zh-CN"/>
              </w:rPr>
              <w:t>1、</w:t>
            </w:r>
            <w:r>
              <w:rPr>
                <w:rFonts w:hint="eastAsia" w:ascii="宋体" w:hAnsi="宋体" w:eastAsia="宋体" w:cs="宋体"/>
                <w:bCs/>
                <w:color w:val="auto"/>
                <w:sz w:val="21"/>
                <w:szCs w:val="21"/>
                <w:highlight w:val="none"/>
                <w:u w:val="none"/>
                <w:lang w:val="zh-CN" w:eastAsia="zh-CN"/>
              </w:rPr>
              <w:t>投标人具有的光伏发电系统</w:t>
            </w:r>
            <w:r>
              <w:rPr>
                <w:rFonts w:hint="eastAsia" w:ascii="宋体" w:eastAsia="宋体" w:cs="宋体"/>
                <w:bCs/>
                <w:color w:val="auto"/>
                <w:sz w:val="21"/>
                <w:szCs w:val="21"/>
                <w:highlight w:val="none"/>
                <w:u w:val="none"/>
                <w:lang w:val="en-US" w:eastAsia="zh-CN"/>
              </w:rPr>
              <w:t>安装</w:t>
            </w:r>
            <w:r>
              <w:rPr>
                <w:rFonts w:hint="eastAsia" w:ascii="宋体" w:hAnsi="宋体" w:eastAsia="宋体" w:cs="宋体"/>
                <w:bCs/>
                <w:color w:val="auto"/>
                <w:sz w:val="21"/>
                <w:szCs w:val="21"/>
                <w:highlight w:val="none"/>
                <w:u w:val="none"/>
                <w:lang w:val="zh-CN" w:eastAsia="zh-CN"/>
              </w:rPr>
              <w:t>项目业绩，每提供一个合同业绩得</w:t>
            </w:r>
            <w:r>
              <w:rPr>
                <w:rFonts w:hint="eastAsia" w:asci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lang w:val="zh-CN" w:eastAsia="zh-CN"/>
              </w:rPr>
              <w:t>分，本项最高得</w:t>
            </w:r>
            <w:r>
              <w:rPr>
                <w:rFonts w:hint="eastAsia" w:ascii="宋体" w:eastAsia="宋体" w:cs="宋体"/>
                <w:bCs/>
                <w:color w:val="auto"/>
                <w:sz w:val="21"/>
                <w:szCs w:val="21"/>
                <w:highlight w:val="none"/>
                <w:u w:val="none"/>
                <w:lang w:val="en-US" w:eastAsia="zh-CN"/>
              </w:rPr>
              <w:t>6</w:t>
            </w:r>
            <w:r>
              <w:rPr>
                <w:rFonts w:hint="eastAsia" w:ascii="宋体" w:hAnsi="宋体" w:eastAsia="宋体" w:cs="宋体"/>
                <w:bCs/>
                <w:color w:val="auto"/>
                <w:sz w:val="21"/>
                <w:szCs w:val="21"/>
                <w:highlight w:val="none"/>
                <w:u w:val="none"/>
                <w:lang w:val="zh-CN" w:eastAsia="zh-CN"/>
              </w:rPr>
              <w:t>分。</w:t>
            </w:r>
          </w:p>
          <w:p w14:paraId="3C4DD689">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default" w:ascii="宋体" w:hAnsi="宋体" w:eastAsia="宋体" w:cs="宋体"/>
                <w:b/>
                <w:bCs/>
                <w:color w:val="auto"/>
                <w:sz w:val="21"/>
                <w:szCs w:val="21"/>
                <w:highlight w:val="none"/>
                <w:u w:val="none"/>
                <w:lang w:val="en-US" w:eastAsia="zh-CN"/>
              </w:rPr>
            </w:pPr>
            <w:r>
              <w:rPr>
                <w:rFonts w:hint="eastAsia" w:ascii="宋体" w:hAnsi="宋体" w:eastAsia="宋体" w:cs="宋体"/>
                <w:b/>
                <w:color w:val="auto"/>
                <w:sz w:val="21"/>
                <w:szCs w:val="21"/>
                <w:highlight w:val="none"/>
                <w:u w:val="none"/>
                <w:lang w:val="zh-CN" w:eastAsia="zh-CN"/>
              </w:rPr>
              <w:t>注：须提供合同复印件和并网证明并同时加盖投标人公章，不符合以上要求得不得分。若联合体投标，联合体中具有施工资质方提供方可得分((①若安装与设计为同一项目只按一次计分②资格条件所提供的业绩不得分))</w:t>
            </w:r>
            <w:r>
              <w:rPr>
                <w:rFonts w:hint="eastAsia" w:ascii="宋体" w:eastAsia="宋体" w:cs="宋体"/>
                <w:b/>
                <w:color w:val="auto"/>
                <w:sz w:val="21"/>
                <w:szCs w:val="21"/>
                <w:highlight w:val="none"/>
                <w:u w:val="none"/>
                <w:lang w:val="zh-CN" w:eastAsia="zh-CN"/>
              </w:rPr>
              <w:t>。</w:t>
            </w:r>
          </w:p>
          <w:p w14:paraId="388942FC">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s="宋体"/>
                <w:bCs/>
                <w:color w:val="auto"/>
                <w:sz w:val="21"/>
                <w:szCs w:val="21"/>
                <w:highlight w:val="none"/>
                <w:u w:val="none"/>
                <w:lang w:val="zh-CN" w:eastAsia="zh-CN"/>
              </w:rPr>
            </w:pPr>
            <w:r>
              <w:rPr>
                <w:rFonts w:hint="eastAsia" w:asci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lang w:val="zh-CN" w:eastAsia="zh-CN"/>
              </w:rPr>
              <w:t>投标人具有的光伏发电</w:t>
            </w:r>
            <w:r>
              <w:rPr>
                <w:rFonts w:hint="eastAsia" w:ascii="宋体" w:eastAsia="宋体" w:cs="宋体"/>
                <w:bCs/>
                <w:color w:val="auto"/>
                <w:sz w:val="21"/>
                <w:szCs w:val="21"/>
                <w:highlight w:val="none"/>
                <w:u w:val="none"/>
                <w:lang w:val="zh-CN" w:eastAsia="zh-CN"/>
              </w:rPr>
              <w:t>设计</w:t>
            </w:r>
            <w:r>
              <w:rPr>
                <w:rFonts w:hint="eastAsia" w:ascii="宋体" w:hAnsi="宋体" w:eastAsia="宋体" w:cs="宋体"/>
                <w:bCs/>
                <w:color w:val="auto"/>
                <w:sz w:val="21"/>
                <w:szCs w:val="21"/>
                <w:highlight w:val="none"/>
                <w:u w:val="none"/>
                <w:lang w:val="zh-CN" w:eastAsia="zh-CN"/>
              </w:rPr>
              <w:t>项目业绩，每提供一个合同业绩得</w:t>
            </w:r>
            <w:r>
              <w:rPr>
                <w:rFonts w:hint="eastAsia" w:asci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lang w:val="zh-CN" w:eastAsia="zh-CN"/>
              </w:rPr>
              <w:t>分，本项最高得</w:t>
            </w:r>
            <w:r>
              <w:rPr>
                <w:rFonts w:hint="eastAsia" w:ascii="宋体" w:eastAsia="宋体" w:cs="宋体"/>
                <w:bCs/>
                <w:color w:val="auto"/>
                <w:sz w:val="21"/>
                <w:szCs w:val="21"/>
                <w:highlight w:val="none"/>
                <w:u w:val="none"/>
                <w:lang w:val="en-US" w:eastAsia="zh-CN"/>
              </w:rPr>
              <w:t>4</w:t>
            </w:r>
            <w:r>
              <w:rPr>
                <w:rFonts w:hint="eastAsia" w:ascii="宋体" w:hAnsi="宋体" w:eastAsia="宋体" w:cs="宋体"/>
                <w:bCs/>
                <w:color w:val="auto"/>
                <w:sz w:val="21"/>
                <w:szCs w:val="21"/>
                <w:highlight w:val="none"/>
                <w:u w:val="none"/>
                <w:lang w:val="zh-CN" w:eastAsia="zh-CN"/>
              </w:rPr>
              <w:t>分。</w:t>
            </w:r>
          </w:p>
          <w:p w14:paraId="3D2200D2">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宋体" w:eastAsia="宋体" w:cs="宋体"/>
                <w:bCs/>
                <w:color w:val="auto"/>
                <w:sz w:val="21"/>
                <w:szCs w:val="21"/>
                <w:highlight w:val="none"/>
                <w:u w:val="none"/>
                <w:lang w:val="zh-CN"/>
              </w:rPr>
            </w:pPr>
            <w:r>
              <w:rPr>
                <w:rFonts w:hint="eastAsia" w:ascii="宋体" w:hAnsi="宋体" w:eastAsia="宋体" w:cs="宋体"/>
                <w:b/>
                <w:bCs w:val="0"/>
                <w:color w:val="auto"/>
                <w:sz w:val="21"/>
                <w:szCs w:val="21"/>
                <w:highlight w:val="none"/>
                <w:u w:val="none"/>
                <w:lang w:val="zh-CN" w:eastAsia="zh-CN"/>
              </w:rPr>
              <w:t>注：须提供合同复印件并同时加盖投标人公章，不符合以上要求得不得分。</w:t>
            </w:r>
            <w:r>
              <w:rPr>
                <w:rFonts w:hint="eastAsia" w:ascii="宋体" w:hAnsi="宋体" w:eastAsia="宋体" w:cs="宋体"/>
                <w:b/>
                <w:bCs w:val="0"/>
                <w:color w:val="auto"/>
                <w:sz w:val="21"/>
                <w:szCs w:val="21"/>
                <w:highlight w:val="none"/>
                <w:u w:val="none"/>
                <w:lang w:val="en-US" w:eastAsia="zh-CN"/>
              </w:rPr>
              <w:t>若联合体投标，联合体中具有设计资质方提供方可得分(同一项目只按一次计分)</w:t>
            </w:r>
            <w:r>
              <w:rPr>
                <w:rFonts w:hint="eastAsia" w:ascii="宋体" w:hAnsi="宋体" w:eastAsia="宋体" w:cs="宋体"/>
                <w:b/>
                <w:bCs w:val="0"/>
                <w:color w:val="auto"/>
                <w:sz w:val="21"/>
                <w:szCs w:val="21"/>
                <w:highlight w:val="none"/>
                <w:u w:val="none"/>
                <w:lang w:val="zh-CN"/>
              </w:rPr>
              <w:t>。</w:t>
            </w:r>
          </w:p>
        </w:tc>
      </w:tr>
      <w:tr w14:paraId="36EE7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646F9D8">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4</w:t>
            </w:r>
          </w:p>
        </w:tc>
        <w:tc>
          <w:tcPr>
            <w:tcW w:w="1227" w:type="dxa"/>
            <w:tcBorders>
              <w:top w:val="single" w:color="auto" w:sz="4" w:space="0"/>
              <w:left w:val="single" w:color="auto" w:sz="4" w:space="0"/>
              <w:bottom w:val="single" w:color="auto" w:sz="4" w:space="0"/>
              <w:right w:val="single" w:color="auto" w:sz="4" w:space="0"/>
            </w:tcBorders>
            <w:vAlign w:val="center"/>
          </w:tcPr>
          <w:p w14:paraId="761D3128">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人员要求</w:t>
            </w:r>
          </w:p>
        </w:tc>
        <w:tc>
          <w:tcPr>
            <w:tcW w:w="883" w:type="dxa"/>
            <w:tcBorders>
              <w:top w:val="single" w:color="auto" w:sz="4" w:space="0"/>
              <w:left w:val="single" w:color="auto" w:sz="4" w:space="0"/>
              <w:bottom w:val="single" w:color="auto" w:sz="4" w:space="0"/>
              <w:right w:val="single" w:color="auto" w:sz="4" w:space="0"/>
            </w:tcBorders>
            <w:vAlign w:val="center"/>
          </w:tcPr>
          <w:p w14:paraId="3C20EE65">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555DDD5E">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根据投标人拟投入的团队人员进行综合评审：</w:t>
            </w:r>
          </w:p>
          <w:p w14:paraId="31320D25">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1、团队人员中具有注册于投标人本单位的机电工程专业二级注册建造师执业资格证书和有效的安全生产考核合格证（B证）</w:t>
            </w:r>
            <w:r>
              <w:rPr>
                <w:rFonts w:hint="eastAsia" w:ascii="宋体" w:eastAsia="宋体" w:cs="宋体"/>
                <w:color w:val="auto"/>
                <w:sz w:val="21"/>
                <w:szCs w:val="21"/>
                <w:highlight w:val="none"/>
                <w:u w:val="none"/>
                <w:lang w:val="en-US" w:eastAsia="zh-CN"/>
              </w:rPr>
              <w:t>的</w:t>
            </w:r>
            <w:r>
              <w:rPr>
                <w:rFonts w:hint="eastAsia" w:ascii="宋体" w:eastAsia="宋体" w:cs="宋体"/>
                <w:color w:val="auto"/>
                <w:sz w:val="21"/>
                <w:szCs w:val="21"/>
                <w:highlight w:val="none"/>
                <w:u w:val="none"/>
              </w:rPr>
              <w:t>，得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分；机电工程专业一级注册建造师执业资格证书和有效的安全生产考核合格证（B证），得</w:t>
            </w:r>
            <w:r>
              <w:rPr>
                <w:rFonts w:hint="eastAsia" w:ascii="宋体" w:eastAsia="宋体" w:cs="宋体"/>
                <w:color w:val="auto"/>
                <w:sz w:val="21"/>
                <w:szCs w:val="21"/>
                <w:highlight w:val="none"/>
                <w:u w:val="none"/>
                <w:lang w:val="en-US" w:eastAsia="zh-CN"/>
              </w:rPr>
              <w:t>4</w:t>
            </w:r>
            <w:r>
              <w:rPr>
                <w:rFonts w:hint="eastAsia" w:ascii="宋体" w:eastAsia="宋体" w:cs="宋体"/>
                <w:color w:val="auto"/>
                <w:sz w:val="21"/>
                <w:szCs w:val="21"/>
                <w:highlight w:val="none"/>
                <w:u w:val="none"/>
              </w:rPr>
              <w:t>分，最高得</w:t>
            </w:r>
            <w:r>
              <w:rPr>
                <w:rFonts w:hint="eastAsia" w:ascii="宋体" w:eastAsia="宋体" w:cs="宋体"/>
                <w:color w:val="auto"/>
                <w:sz w:val="21"/>
                <w:szCs w:val="21"/>
                <w:highlight w:val="none"/>
                <w:u w:val="none"/>
                <w:lang w:val="en-US" w:eastAsia="zh-CN"/>
              </w:rPr>
              <w:t>4</w:t>
            </w:r>
            <w:r>
              <w:rPr>
                <w:rFonts w:hint="eastAsia" w:ascii="宋体" w:eastAsia="宋体" w:cs="宋体"/>
                <w:color w:val="auto"/>
                <w:sz w:val="21"/>
                <w:szCs w:val="21"/>
                <w:highlight w:val="none"/>
                <w:u w:val="none"/>
              </w:rPr>
              <w:t>分；</w:t>
            </w:r>
          </w:p>
          <w:p w14:paraId="0591B3B1">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2、团队人员中具有</w:t>
            </w:r>
            <w:r>
              <w:rPr>
                <w:rFonts w:hint="eastAsia" w:ascii="宋体" w:eastAsia="宋体" w:cs="宋体"/>
                <w:color w:val="auto"/>
                <w:sz w:val="21"/>
                <w:szCs w:val="21"/>
                <w:highlight w:val="none"/>
                <w:u w:val="none"/>
                <w:lang w:val="en-US" w:eastAsia="zh-CN"/>
              </w:rPr>
              <w:t>电工作业证</w:t>
            </w:r>
            <w:r>
              <w:rPr>
                <w:rFonts w:hint="eastAsia" w:ascii="宋体" w:eastAsia="宋体" w:cs="宋体"/>
                <w:color w:val="auto"/>
                <w:sz w:val="21"/>
                <w:szCs w:val="21"/>
                <w:highlight w:val="none"/>
                <w:u w:val="none"/>
                <w:lang w:eastAsia="zh-CN"/>
              </w:rPr>
              <w:t>（</w:t>
            </w:r>
            <w:r>
              <w:rPr>
                <w:rFonts w:hint="eastAsia" w:ascii="宋体" w:eastAsia="宋体" w:cs="宋体"/>
                <w:color w:val="auto"/>
                <w:sz w:val="21"/>
                <w:szCs w:val="21"/>
                <w:highlight w:val="none"/>
                <w:u w:val="none"/>
                <w:lang w:val="en-US" w:eastAsia="zh-CN"/>
              </w:rPr>
              <w:t>特种作业操作证）</w:t>
            </w:r>
            <w:r>
              <w:rPr>
                <w:rFonts w:hint="eastAsia" w:ascii="宋体" w:eastAsia="宋体" w:cs="宋体"/>
                <w:color w:val="auto"/>
                <w:sz w:val="21"/>
                <w:szCs w:val="21"/>
                <w:highlight w:val="none"/>
                <w:u w:val="none"/>
              </w:rPr>
              <w:t>，每提供一人得</w:t>
            </w:r>
            <w:r>
              <w:rPr>
                <w:rFonts w:hint="eastAsia" w:ascii="宋体" w:eastAsia="宋体" w:cs="宋体"/>
                <w:color w:val="auto"/>
                <w:sz w:val="21"/>
                <w:szCs w:val="21"/>
                <w:highlight w:val="none"/>
                <w:u w:val="none"/>
                <w:lang w:val="en-US" w:eastAsia="zh-CN"/>
              </w:rPr>
              <w:t>1</w:t>
            </w:r>
            <w:r>
              <w:rPr>
                <w:rFonts w:hint="eastAsia" w:ascii="宋体" w:eastAsia="宋体" w:cs="宋体"/>
                <w:color w:val="auto"/>
                <w:sz w:val="21"/>
                <w:szCs w:val="21"/>
                <w:highlight w:val="none"/>
                <w:u w:val="none"/>
              </w:rPr>
              <w:t>分，最高得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w:t>
            </w:r>
          </w:p>
          <w:p w14:paraId="3610ACDB">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3、团队人员中具有</w:t>
            </w:r>
            <w:r>
              <w:rPr>
                <w:rFonts w:hint="eastAsia" w:ascii="宋体" w:eastAsia="宋体" w:cs="宋体"/>
                <w:color w:val="auto"/>
                <w:sz w:val="21"/>
                <w:szCs w:val="21"/>
                <w:highlight w:val="none"/>
                <w:u w:val="none"/>
                <w:lang w:val="en-US" w:eastAsia="zh-CN"/>
              </w:rPr>
              <w:t>高处作业</w:t>
            </w:r>
            <w:r>
              <w:rPr>
                <w:rFonts w:hint="eastAsia" w:ascii="宋体" w:eastAsia="宋体" w:cs="宋体"/>
                <w:color w:val="auto"/>
                <w:sz w:val="21"/>
                <w:szCs w:val="21"/>
                <w:highlight w:val="none"/>
                <w:u w:val="none"/>
              </w:rPr>
              <w:t>证</w:t>
            </w:r>
            <w:r>
              <w:rPr>
                <w:rFonts w:hint="eastAsia" w:ascii="宋体" w:eastAsia="宋体" w:cs="宋体"/>
                <w:color w:val="auto"/>
                <w:sz w:val="21"/>
                <w:szCs w:val="21"/>
                <w:highlight w:val="none"/>
                <w:u w:val="none"/>
                <w:lang w:eastAsia="zh-CN"/>
              </w:rPr>
              <w:t>（</w:t>
            </w:r>
            <w:r>
              <w:rPr>
                <w:rFonts w:hint="eastAsia" w:ascii="宋体" w:eastAsia="宋体" w:cs="宋体"/>
                <w:color w:val="auto"/>
                <w:sz w:val="21"/>
                <w:szCs w:val="21"/>
                <w:highlight w:val="none"/>
                <w:u w:val="none"/>
                <w:lang w:val="en-US" w:eastAsia="zh-CN"/>
              </w:rPr>
              <w:t>特种作业操作证）</w:t>
            </w:r>
            <w:r>
              <w:rPr>
                <w:rFonts w:hint="eastAsia" w:ascii="宋体" w:eastAsia="宋体" w:cs="宋体"/>
                <w:color w:val="auto"/>
                <w:sz w:val="21"/>
                <w:szCs w:val="21"/>
                <w:highlight w:val="none"/>
                <w:u w:val="none"/>
              </w:rPr>
              <w:t>，每提供一人得</w:t>
            </w:r>
            <w:r>
              <w:rPr>
                <w:rFonts w:hint="eastAsia" w:ascii="宋体" w:eastAsia="宋体" w:cs="宋体"/>
                <w:color w:val="auto"/>
                <w:sz w:val="21"/>
                <w:szCs w:val="21"/>
                <w:highlight w:val="none"/>
                <w:u w:val="none"/>
                <w:lang w:val="en-US" w:eastAsia="zh-CN"/>
              </w:rPr>
              <w:t>1</w:t>
            </w:r>
            <w:r>
              <w:rPr>
                <w:rFonts w:hint="eastAsia" w:ascii="宋体" w:eastAsia="宋体" w:cs="宋体"/>
                <w:color w:val="auto"/>
                <w:sz w:val="21"/>
                <w:szCs w:val="21"/>
                <w:highlight w:val="none"/>
                <w:u w:val="none"/>
              </w:rPr>
              <w:t>分，最高得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w:t>
            </w:r>
          </w:p>
          <w:p w14:paraId="03891C93">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4、团队人员中具有焊接与热切割作业证</w:t>
            </w:r>
            <w:r>
              <w:rPr>
                <w:rFonts w:hint="eastAsia" w:ascii="宋体" w:eastAsia="宋体" w:cs="宋体"/>
                <w:color w:val="auto"/>
                <w:sz w:val="21"/>
                <w:szCs w:val="21"/>
                <w:highlight w:val="none"/>
                <w:u w:val="none"/>
                <w:lang w:eastAsia="zh-CN"/>
              </w:rPr>
              <w:t>（</w:t>
            </w:r>
            <w:r>
              <w:rPr>
                <w:rFonts w:hint="eastAsia" w:ascii="宋体" w:eastAsia="宋体" w:cs="宋体"/>
                <w:color w:val="auto"/>
                <w:sz w:val="21"/>
                <w:szCs w:val="21"/>
                <w:highlight w:val="none"/>
                <w:u w:val="none"/>
                <w:lang w:val="en-US" w:eastAsia="zh-CN"/>
              </w:rPr>
              <w:t>特种作业操作证）</w:t>
            </w:r>
            <w:r>
              <w:rPr>
                <w:rFonts w:hint="eastAsia" w:ascii="宋体" w:eastAsia="宋体" w:cs="宋体"/>
                <w:color w:val="auto"/>
                <w:sz w:val="21"/>
                <w:szCs w:val="21"/>
                <w:highlight w:val="none"/>
                <w:u w:val="none"/>
              </w:rPr>
              <w:t>，每提供一人得</w:t>
            </w:r>
            <w:r>
              <w:rPr>
                <w:rFonts w:hint="eastAsia" w:ascii="宋体" w:eastAsia="宋体" w:cs="宋体"/>
                <w:color w:val="auto"/>
                <w:sz w:val="21"/>
                <w:szCs w:val="21"/>
                <w:highlight w:val="none"/>
                <w:u w:val="none"/>
                <w:lang w:val="en-US" w:eastAsia="zh-CN"/>
              </w:rPr>
              <w:t>1</w:t>
            </w:r>
            <w:r>
              <w:rPr>
                <w:rFonts w:hint="eastAsia" w:ascii="宋体" w:eastAsia="宋体" w:cs="宋体"/>
                <w:color w:val="auto"/>
                <w:sz w:val="21"/>
                <w:szCs w:val="21"/>
                <w:highlight w:val="none"/>
                <w:u w:val="none"/>
              </w:rPr>
              <w:t>分，最高得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w:t>
            </w:r>
          </w:p>
          <w:p w14:paraId="678478C2">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ascii="宋体" w:eastAsia="宋体" w:cs="宋体"/>
                <w:color w:val="auto"/>
                <w:sz w:val="21"/>
                <w:szCs w:val="21"/>
                <w:highlight w:val="none"/>
                <w:u w:val="none"/>
                <w:lang w:eastAsia="zh-CN"/>
              </w:rPr>
            </w:pPr>
            <w:r>
              <w:rPr>
                <w:rFonts w:hint="eastAsia" w:ascii="宋体" w:eastAsia="宋体" w:cs="宋体"/>
                <w:b/>
                <w:bCs/>
                <w:color w:val="auto"/>
                <w:sz w:val="21"/>
                <w:szCs w:val="21"/>
                <w:highlight w:val="none"/>
                <w:u w:val="none"/>
              </w:rPr>
              <w:t>注：以上人员在履行期间，拟投入本项目的所有人员须专职服务本项目，如相关人员有变更应及时向采购人办理变更备案手续；提供的人员不得重复得分；须提供有效的相关证书复印件加盖投标人公章, 并提供社保部门出具的投标人为其购买的近六个月内任意一个月的社会保险证明材料加盖投标人公章，否则不得分，联合体任意一方提供即可得分。</w:t>
            </w:r>
          </w:p>
        </w:tc>
      </w:tr>
      <w:tr w14:paraId="02C0D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AFD9DC4">
            <w:pPr>
              <w:pStyle w:val="45"/>
              <w:spacing w:line="36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5</w:t>
            </w:r>
          </w:p>
        </w:tc>
        <w:tc>
          <w:tcPr>
            <w:tcW w:w="1227" w:type="dxa"/>
            <w:tcBorders>
              <w:top w:val="single" w:color="auto" w:sz="4" w:space="0"/>
              <w:left w:val="single" w:color="auto" w:sz="4" w:space="0"/>
              <w:bottom w:val="single" w:color="auto" w:sz="4" w:space="0"/>
              <w:right w:val="single" w:color="auto" w:sz="4" w:space="0"/>
            </w:tcBorders>
            <w:vAlign w:val="center"/>
          </w:tcPr>
          <w:p w14:paraId="788F03A6">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企业信誉</w:t>
            </w:r>
          </w:p>
        </w:tc>
        <w:tc>
          <w:tcPr>
            <w:tcW w:w="883" w:type="dxa"/>
            <w:tcBorders>
              <w:top w:val="single" w:color="auto" w:sz="4" w:space="0"/>
              <w:left w:val="single" w:color="auto" w:sz="4" w:space="0"/>
              <w:bottom w:val="single" w:color="auto" w:sz="4" w:space="0"/>
              <w:right w:val="single" w:color="auto" w:sz="4" w:space="0"/>
            </w:tcBorders>
            <w:vAlign w:val="center"/>
          </w:tcPr>
          <w:p w14:paraId="3F051796">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153AFDEF">
            <w:pPr>
              <w:pStyle w:val="45"/>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投标人提供2022年1月1日至今未受到相关主管部门的行政处罚或开标前未处在行政处罚内的得5分;未提供证明材料或受到1次以上行政处罚并在开标前处于行政处罚内的不得分。(以信用中国查询截图为准)</w:t>
            </w:r>
          </w:p>
          <w:p w14:paraId="6B122B0D">
            <w:pPr>
              <w:pStyle w:val="45"/>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hint="eastAsia"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注:此处行政处罚指供应商因违法经营受到的警告、通报批评、200万元以下罚款、限制开展生产经营活动、限制从业的行政处罚。</w:t>
            </w:r>
          </w:p>
        </w:tc>
      </w:tr>
      <w:tr w14:paraId="5F087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3BEF001">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14:paraId="79E3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D16FC0A">
            <w:pPr>
              <w:pStyle w:val="45"/>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1</w:t>
            </w:r>
          </w:p>
        </w:tc>
        <w:tc>
          <w:tcPr>
            <w:tcW w:w="1227" w:type="dxa"/>
            <w:tcBorders>
              <w:top w:val="single" w:color="auto" w:sz="4" w:space="0"/>
              <w:left w:val="single" w:color="auto" w:sz="4" w:space="0"/>
              <w:bottom w:val="single" w:color="auto" w:sz="4" w:space="0"/>
              <w:right w:val="single" w:color="auto" w:sz="4" w:space="0"/>
            </w:tcBorders>
            <w:vAlign w:val="center"/>
          </w:tcPr>
          <w:p w14:paraId="6A729D44">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项目实施（</w:t>
            </w:r>
            <w:r>
              <w:rPr>
                <w:rFonts w:hint="eastAsia" w:hAnsi="宋体" w:cs="宋体"/>
                <w:color w:val="auto"/>
                <w:spacing w:val="2"/>
                <w:szCs w:val="21"/>
                <w:highlight w:val="none"/>
                <w:u w:val="none"/>
                <w:lang w:eastAsia="zh-CN"/>
              </w:rPr>
              <w:t>设计、</w:t>
            </w:r>
            <w:r>
              <w:rPr>
                <w:rFonts w:hint="eastAsia" w:hAnsi="宋体" w:cs="宋体"/>
                <w:color w:val="auto"/>
                <w:spacing w:val="2"/>
                <w:szCs w:val="21"/>
                <w:highlight w:val="none"/>
                <w:u w:val="none"/>
              </w:rPr>
              <w:t>供货、安装）方案及进度计划</w:t>
            </w:r>
          </w:p>
        </w:tc>
        <w:tc>
          <w:tcPr>
            <w:tcW w:w="883" w:type="dxa"/>
            <w:tcBorders>
              <w:top w:val="single" w:color="auto" w:sz="4" w:space="0"/>
              <w:left w:val="single" w:color="auto" w:sz="4" w:space="0"/>
              <w:bottom w:val="single" w:color="auto" w:sz="4" w:space="0"/>
              <w:right w:val="single" w:color="auto" w:sz="4" w:space="0"/>
            </w:tcBorders>
            <w:vAlign w:val="center"/>
          </w:tcPr>
          <w:p w14:paraId="3C250D69">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3B7FE9FF">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ascii="宋体" w:hAnsi="宋体" w:cs="宋体"/>
                <w:color w:val="auto"/>
                <w:szCs w:val="21"/>
                <w:highlight w:val="none"/>
                <w:u w:val="none"/>
              </w:rPr>
            </w:pPr>
            <w:r>
              <w:rPr>
                <w:rFonts w:hint="eastAsia" w:ascii="宋体" w:hAnsi="宋体" w:cs="宋体"/>
                <w:color w:val="auto"/>
                <w:szCs w:val="21"/>
                <w:highlight w:val="none"/>
                <w:u w:val="none"/>
              </w:rPr>
              <w:t>根据供应商提供的项目实施方案（包括不限于</w:t>
            </w:r>
            <w:r>
              <w:rPr>
                <w:rFonts w:hint="eastAsia" w:ascii="宋体" w:hAnsi="宋体" w:cs="宋体"/>
                <w:color w:val="auto"/>
                <w:szCs w:val="21"/>
                <w:highlight w:val="none"/>
                <w:u w:val="none"/>
                <w:lang w:eastAsia="zh-CN"/>
              </w:rPr>
              <w:t>初步设计方案、</w:t>
            </w:r>
            <w:r>
              <w:rPr>
                <w:rFonts w:hint="eastAsia" w:ascii="宋体" w:hAnsi="宋体" w:cs="宋体"/>
                <w:color w:val="auto"/>
                <w:szCs w:val="21"/>
                <w:highlight w:val="none"/>
                <w:u w:val="none"/>
              </w:rPr>
              <w:t>项目进度安排、项目验收方案、货物运输及保护措施、安装调试方案）进行评审：</w:t>
            </w:r>
          </w:p>
          <w:p w14:paraId="496BE2C7">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078F4655">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479ECCB0">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color w:val="auto"/>
                <w:szCs w:val="21"/>
                <w:highlight w:val="none"/>
                <w:u w:val="none"/>
                <w:lang w:val="en-US" w:eastAsia="zh-CN"/>
              </w:rPr>
              <w:t>3</w:t>
            </w:r>
            <w:r>
              <w:rPr>
                <w:rFonts w:hint="eastAsia" w:ascii="宋体" w:hAnsi="宋体" w:cs="宋体"/>
                <w:color w:val="auto"/>
                <w:szCs w:val="21"/>
                <w:highlight w:val="none"/>
                <w:u w:val="none"/>
              </w:rPr>
              <w:t>分；</w:t>
            </w:r>
          </w:p>
          <w:p w14:paraId="56C34107">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④针对本项目特征制定的实施方案的可靠性、可行性、安全性差的，进度计划安排比较简单，可行性差</w:t>
            </w:r>
            <w:r>
              <w:rPr>
                <w:rFonts w:hint="eastAsia" w:ascii="宋体" w:hAnsi="宋体" w:cs="宋体"/>
                <w:color w:val="auto"/>
                <w:szCs w:val="21"/>
                <w:highlight w:val="none"/>
                <w:u w:val="none"/>
                <w:lang w:eastAsia="zh-CN"/>
              </w:rPr>
              <w:t>的，得</w:t>
            </w:r>
            <w:r>
              <w:rPr>
                <w:rFonts w:hint="eastAsia" w:ascii="宋体" w:hAnsi="宋体" w:cs="宋体"/>
                <w:color w:val="auto"/>
                <w:szCs w:val="21"/>
                <w:highlight w:val="none"/>
                <w:u w:val="none"/>
                <w:lang w:val="en-US" w:eastAsia="zh-CN"/>
              </w:rPr>
              <w:t>1分；</w:t>
            </w:r>
          </w:p>
          <w:p w14:paraId="78159CA3">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both"/>
              <w:textAlignment w:val="auto"/>
              <w:rPr>
                <w:rFonts w:hint="eastAsia" w:ascii="宋体" w:hAnsi="宋体" w:eastAsia="宋体" w:cs="宋体"/>
                <w:color w:val="auto"/>
                <w:szCs w:val="21"/>
                <w:highlight w:val="none"/>
                <w:u w:val="none"/>
                <w:lang w:eastAsia="zh-CN"/>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01EBC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0BA8E70">
            <w:pPr>
              <w:pStyle w:val="45"/>
              <w:spacing w:line="36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2</w:t>
            </w:r>
          </w:p>
        </w:tc>
        <w:tc>
          <w:tcPr>
            <w:tcW w:w="1227" w:type="dxa"/>
            <w:tcBorders>
              <w:top w:val="single" w:color="auto" w:sz="4" w:space="0"/>
              <w:left w:val="single" w:color="auto" w:sz="4" w:space="0"/>
              <w:bottom w:val="single" w:color="auto" w:sz="4" w:space="0"/>
              <w:right w:val="single" w:color="auto" w:sz="4" w:space="0"/>
            </w:tcBorders>
            <w:vAlign w:val="center"/>
          </w:tcPr>
          <w:p w14:paraId="64812B7D">
            <w:pPr>
              <w:widowControl w:val="0"/>
              <w:adjustRightInd/>
              <w:snapToGrid/>
              <w:jc w:val="center"/>
              <w:rPr>
                <w:rFonts w:hint="eastAsia" w:ascii="Tahoma" w:hAnsi="宋体" w:eastAsia="宋体" w:cs="宋体"/>
                <w:color w:val="auto"/>
                <w:spacing w:val="2"/>
                <w:sz w:val="21"/>
                <w:szCs w:val="21"/>
                <w:highlight w:val="none"/>
                <w:u w:val="none"/>
                <w:lang w:val="en-US" w:eastAsia="zh-CN" w:bidi="ar-SA"/>
              </w:rPr>
            </w:pPr>
            <w:r>
              <w:rPr>
                <w:rFonts w:hint="eastAsia" w:hAnsi="宋体" w:cs="宋体"/>
                <w:color w:val="auto"/>
                <w:spacing w:val="2"/>
                <w:szCs w:val="21"/>
                <w:highlight w:val="none"/>
                <w:u w:val="none"/>
                <w:lang w:eastAsia="zh-CN"/>
              </w:rPr>
              <w:t>产品性能</w:t>
            </w:r>
          </w:p>
        </w:tc>
        <w:tc>
          <w:tcPr>
            <w:tcW w:w="883" w:type="dxa"/>
            <w:tcBorders>
              <w:top w:val="single" w:color="auto" w:sz="4" w:space="0"/>
              <w:left w:val="single" w:color="auto" w:sz="4" w:space="0"/>
              <w:bottom w:val="single" w:color="auto" w:sz="4" w:space="0"/>
              <w:right w:val="single" w:color="auto" w:sz="4" w:space="0"/>
            </w:tcBorders>
            <w:vAlign w:val="center"/>
          </w:tcPr>
          <w:p w14:paraId="32E1C331">
            <w:pPr>
              <w:widowControl w:val="0"/>
              <w:adjustRightInd/>
              <w:snapToGrid/>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3EDC28E4">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根据投标人所投设备的综合性能</w:t>
            </w:r>
            <w:r>
              <w:rPr>
                <w:rFonts w:hint="eastAsia" w:ascii="宋体" w:hAnsi="宋体" w:eastAsia="宋体" w:cs="宋体"/>
                <w:color w:val="auto"/>
                <w:szCs w:val="21"/>
                <w:highlight w:val="none"/>
                <w:u w:val="none"/>
                <w:lang w:eastAsia="zh-CN"/>
              </w:rPr>
              <w:t>（包括设计与配置、材质、实用性、耐用性等）</w:t>
            </w:r>
            <w:r>
              <w:rPr>
                <w:rFonts w:hint="eastAsia" w:ascii="宋体" w:hAnsi="宋体" w:eastAsia="宋体" w:cs="宋体"/>
                <w:color w:val="auto"/>
                <w:szCs w:val="21"/>
                <w:highlight w:val="none"/>
                <w:u w:val="none"/>
              </w:rPr>
              <w:t>进行综合评分。</w:t>
            </w:r>
          </w:p>
          <w:p w14:paraId="6D52A93A">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①</w:t>
            </w:r>
            <w:r>
              <w:rPr>
                <w:rFonts w:hint="eastAsia" w:ascii="宋体" w:hAnsi="宋体" w:eastAsia="宋体" w:cs="宋体"/>
                <w:color w:val="auto"/>
                <w:szCs w:val="21"/>
                <w:highlight w:val="none"/>
                <w:u w:val="none"/>
              </w:rPr>
              <w:t>设备设计及配置先进，材质可靠，实用性、耐用性好，得</w:t>
            </w:r>
            <w:r>
              <w:rPr>
                <w:rFonts w:hint="eastAsia" w:ascii="宋体" w:hAnsi="宋体" w:eastAsia="宋体" w:cs="宋体"/>
                <w:color w:val="auto"/>
                <w:szCs w:val="21"/>
                <w:highlight w:val="none"/>
                <w:u w:val="none"/>
                <w:lang w:val="en-US" w:eastAsia="zh-CN"/>
              </w:rPr>
              <w:t>5</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6D9C634F">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②</w:t>
            </w:r>
            <w:r>
              <w:rPr>
                <w:rFonts w:hint="eastAsia" w:ascii="宋体" w:hAnsi="宋体" w:eastAsia="宋体" w:cs="宋体"/>
                <w:color w:val="auto"/>
                <w:szCs w:val="21"/>
                <w:highlight w:val="none"/>
                <w:u w:val="none"/>
              </w:rPr>
              <w:t>设备设计及配置较为先进，材质可靠，实用性、耐用性一般，得</w:t>
            </w:r>
            <w:r>
              <w:rPr>
                <w:rFonts w:hint="eastAsia" w:ascii="宋体" w:hAnsi="宋体" w:eastAsia="宋体" w:cs="宋体"/>
                <w:color w:val="auto"/>
                <w:szCs w:val="21"/>
                <w:highlight w:val="none"/>
                <w:u w:val="none"/>
                <w:lang w:val="en-US" w:eastAsia="zh-CN"/>
              </w:rPr>
              <w:t>4</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796B2665">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③</w:t>
            </w:r>
            <w:r>
              <w:rPr>
                <w:rFonts w:hint="eastAsia" w:ascii="宋体" w:hAnsi="宋体" w:eastAsia="宋体" w:cs="宋体"/>
                <w:color w:val="auto"/>
                <w:szCs w:val="21"/>
                <w:highlight w:val="none"/>
                <w:u w:val="none"/>
              </w:rPr>
              <w:t>设备设计及配置一般，材质一般，实用性、耐用性一般，得</w:t>
            </w:r>
            <w:r>
              <w:rPr>
                <w:rFonts w:hint="eastAsia" w:ascii="宋体" w:hAnsi="宋体" w:eastAsia="宋体" w:cs="宋体"/>
                <w:color w:val="auto"/>
                <w:szCs w:val="21"/>
                <w:highlight w:val="none"/>
                <w:u w:val="none"/>
                <w:lang w:val="en-US" w:eastAsia="zh-CN"/>
              </w:rPr>
              <w:t>3</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5C304271">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val="zh-CN"/>
              </w:rPr>
            </w:pPr>
            <w:r>
              <w:rPr>
                <w:rFonts w:hint="eastAsia" w:ascii="宋体" w:hAnsi="宋体" w:eastAsia="宋体" w:cs="宋体"/>
                <w:color w:val="auto"/>
                <w:szCs w:val="21"/>
                <w:highlight w:val="none"/>
                <w:u w:val="none"/>
                <w:lang w:val="zh-CN"/>
              </w:rPr>
              <w:t>④设备设计及配置差，材质差，实用性、耐用性差，得</w:t>
            </w:r>
            <w:r>
              <w:rPr>
                <w:rFonts w:hint="eastAsia" w:ascii="宋体" w:hAnsi="宋体" w:eastAsia="宋体" w:cs="宋体"/>
                <w:color w:val="auto"/>
                <w:szCs w:val="21"/>
                <w:highlight w:val="none"/>
                <w:u w:val="none"/>
              </w:rPr>
              <w:t>1</w:t>
            </w:r>
            <w:r>
              <w:rPr>
                <w:rFonts w:hint="eastAsia" w:ascii="宋体" w:hAnsi="宋体" w:eastAsia="宋体" w:cs="宋体"/>
                <w:color w:val="auto"/>
                <w:szCs w:val="21"/>
                <w:highlight w:val="none"/>
                <w:u w:val="none"/>
                <w:lang w:val="zh-CN"/>
              </w:rPr>
              <w:t>分；</w:t>
            </w:r>
          </w:p>
          <w:p w14:paraId="6464210A">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 w:val="21"/>
                <w:szCs w:val="21"/>
                <w:highlight w:val="none"/>
                <w:u w:val="none"/>
                <w:lang w:val="zh-CN" w:eastAsia="zh-CN" w:bidi="ar-SA"/>
              </w:rPr>
            </w:pPr>
            <w:r>
              <w:rPr>
                <w:rFonts w:hint="eastAsia" w:ascii="宋体" w:hAnsi="宋体" w:eastAsia="宋体" w:cs="宋体"/>
                <w:color w:val="auto"/>
                <w:szCs w:val="21"/>
                <w:highlight w:val="none"/>
                <w:u w:val="none"/>
                <w:lang w:eastAsia="zh-CN"/>
              </w:rPr>
              <w:t>⑤</w:t>
            </w:r>
            <w:r>
              <w:rPr>
                <w:rFonts w:hint="eastAsia" w:ascii="宋体" w:hAnsi="宋体" w:eastAsia="宋体" w:cs="宋体"/>
                <w:color w:val="auto"/>
                <w:szCs w:val="21"/>
                <w:highlight w:val="none"/>
                <w:u w:val="none"/>
              </w:rPr>
              <w:t>未提供对应方案不得分。</w:t>
            </w:r>
          </w:p>
        </w:tc>
      </w:tr>
      <w:tr w14:paraId="5CDE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49BFA16">
            <w:pPr>
              <w:pStyle w:val="45"/>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3</w:t>
            </w:r>
          </w:p>
        </w:tc>
        <w:tc>
          <w:tcPr>
            <w:tcW w:w="1227" w:type="dxa"/>
            <w:tcBorders>
              <w:top w:val="single" w:color="auto" w:sz="4" w:space="0"/>
              <w:left w:val="single" w:color="auto" w:sz="4" w:space="0"/>
              <w:bottom w:val="single" w:color="auto" w:sz="4" w:space="0"/>
              <w:right w:val="single" w:color="auto" w:sz="4" w:space="0"/>
            </w:tcBorders>
            <w:vAlign w:val="center"/>
          </w:tcPr>
          <w:p w14:paraId="7EF283CC">
            <w:pPr>
              <w:widowControl w:val="0"/>
              <w:adjustRightInd/>
              <w:snapToGrid/>
              <w:jc w:val="center"/>
              <w:rPr>
                <w:rFonts w:ascii="宋体" w:hAnsi="宋体" w:cs="宋体"/>
                <w:color w:val="auto"/>
                <w:szCs w:val="21"/>
                <w:highlight w:val="none"/>
                <w:u w:val="none"/>
              </w:rPr>
            </w:pPr>
            <w:r>
              <w:rPr>
                <w:rFonts w:hint="eastAsia" w:hAnsi="宋体" w:cs="宋体"/>
                <w:color w:val="auto"/>
                <w:szCs w:val="21"/>
                <w:highlight w:val="none"/>
                <w:u w:val="none"/>
                <w:lang w:bidi="ar"/>
              </w:rPr>
              <w:t>质量保证措施</w:t>
            </w:r>
          </w:p>
        </w:tc>
        <w:tc>
          <w:tcPr>
            <w:tcW w:w="883" w:type="dxa"/>
            <w:tcBorders>
              <w:top w:val="single" w:color="auto" w:sz="4" w:space="0"/>
              <w:left w:val="single" w:color="auto" w:sz="4" w:space="0"/>
              <w:bottom w:val="single" w:color="auto" w:sz="4" w:space="0"/>
              <w:right w:val="single" w:color="auto" w:sz="4" w:space="0"/>
            </w:tcBorders>
            <w:vAlign w:val="center"/>
          </w:tcPr>
          <w:p w14:paraId="0CFFDF5A">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7771B677">
            <w:pPr>
              <w:keepNext w:val="0"/>
              <w:keepLines w:val="0"/>
              <w:pageBreakBefore w:val="0"/>
              <w:kinsoku/>
              <w:wordWrap/>
              <w:overflowPunct/>
              <w:topLinePunct w:val="0"/>
              <w:autoSpaceDE/>
              <w:autoSpaceDN/>
              <w:bidi w:val="0"/>
              <w:spacing w:line="312" w:lineRule="auto"/>
              <w:textAlignment w:val="auto"/>
              <w:rPr>
                <w:rFonts w:ascii="宋体" w:hAnsi="宋体" w:cs="宋体"/>
                <w:color w:val="auto"/>
                <w:szCs w:val="21"/>
                <w:highlight w:val="none"/>
                <w:u w:val="none"/>
              </w:rPr>
            </w:pPr>
            <w:r>
              <w:rPr>
                <w:rFonts w:hint="eastAsia" w:ascii="宋体" w:hAnsi="宋体" w:cs="宋体"/>
                <w:color w:val="auto"/>
                <w:szCs w:val="21"/>
                <w:highlight w:val="none"/>
                <w:u w:val="none"/>
              </w:rPr>
              <w:t>根据供应商提供质量保证措施方案（包括但不限于质量目标、项目质量的控制、质量保证措施等）进行评审；</w:t>
            </w:r>
          </w:p>
          <w:p w14:paraId="43F5E295">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①质量目标非常明确、对项目质量的控制非常详细、检验手段非常科学，质量保证措施非常具体，可行</w:t>
            </w:r>
            <w:r>
              <w:rPr>
                <w:rFonts w:hint="eastAsia" w:ascii="宋体" w:hAnsi="宋体" w:cs="宋体"/>
                <w:color w:val="auto"/>
                <w:szCs w:val="21"/>
                <w:highlight w:val="none"/>
                <w:u w:val="none"/>
                <w:lang w:val="en-US" w:eastAsia="zh-CN"/>
              </w:rPr>
              <w:t>性强</w:t>
            </w:r>
            <w:r>
              <w:rPr>
                <w:rFonts w:hint="eastAsia" w:ascii="宋体" w:hAnsi="宋体" w:cs="宋体"/>
                <w:color w:val="auto"/>
                <w:szCs w:val="21"/>
                <w:highlight w:val="none"/>
                <w:u w:val="none"/>
              </w:rPr>
              <w:t>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18BE5929">
            <w:pPr>
              <w:keepNext w:val="0"/>
              <w:keepLines w:val="0"/>
              <w:pageBreakBefore w:val="0"/>
              <w:kinsoku/>
              <w:wordWrap/>
              <w:overflowPunct/>
              <w:topLinePunct w:val="0"/>
              <w:autoSpaceDE/>
              <w:autoSpaceDN/>
              <w:bidi w:val="0"/>
              <w:spacing w:line="312" w:lineRule="auto"/>
              <w:ind w:firstLine="420" w:firstLineChars="200"/>
              <w:textAlignment w:val="auto"/>
              <w:rPr>
                <w:rFonts w:ascii="宋体" w:hAnsi="宋体" w:cs="宋体"/>
                <w:color w:val="auto"/>
                <w:szCs w:val="21"/>
                <w:highlight w:val="none"/>
                <w:u w:val="none"/>
              </w:rPr>
            </w:pPr>
            <w:r>
              <w:rPr>
                <w:rFonts w:hint="eastAsia" w:ascii="宋体" w:hAnsi="宋体" w:cs="宋体"/>
                <w:color w:val="auto"/>
                <w:szCs w:val="21"/>
                <w:highlight w:val="none"/>
                <w:u w:val="none"/>
              </w:rPr>
              <w:t>②质量目标比较明确、对项目质量的控制较为详细、检验手段比较科学，质量保证措施比较具体，可行</w:t>
            </w:r>
            <w:r>
              <w:rPr>
                <w:rFonts w:hint="eastAsia" w:ascii="宋体" w:hAnsi="宋体" w:cs="宋体"/>
                <w:color w:val="auto"/>
                <w:szCs w:val="21"/>
                <w:highlight w:val="none"/>
                <w:u w:val="none"/>
                <w:lang w:val="en-US" w:eastAsia="zh-CN"/>
              </w:rPr>
              <w:t>性较强</w:t>
            </w:r>
            <w:r>
              <w:rPr>
                <w:rFonts w:hint="eastAsia" w:ascii="宋体" w:hAnsi="宋体" w:cs="宋体"/>
                <w:color w:val="auto"/>
                <w:szCs w:val="21"/>
                <w:highlight w:val="none"/>
                <w:u w:val="none"/>
              </w:rPr>
              <w:t>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09358EF0">
            <w:pPr>
              <w:keepNext w:val="0"/>
              <w:keepLines w:val="0"/>
              <w:pageBreakBefore w:val="0"/>
              <w:kinsoku/>
              <w:wordWrap/>
              <w:overflowPunct/>
              <w:topLinePunct w:val="0"/>
              <w:autoSpaceDE/>
              <w:autoSpaceDN/>
              <w:bidi w:val="0"/>
              <w:spacing w:line="312" w:lineRule="auto"/>
              <w:ind w:firstLine="420" w:firstLineChars="200"/>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③质量目标基本明确、对项目质量的控制详细程度</w:t>
            </w:r>
            <w:r>
              <w:rPr>
                <w:rFonts w:hint="eastAsia" w:ascii="宋体" w:hAnsi="宋体" w:cs="宋体"/>
                <w:color w:val="auto"/>
                <w:szCs w:val="21"/>
                <w:highlight w:val="none"/>
                <w:u w:val="none"/>
                <w:lang w:val="en-US" w:eastAsia="zh-CN"/>
              </w:rPr>
              <w:t>一般</w:t>
            </w:r>
            <w:r>
              <w:rPr>
                <w:rFonts w:hint="eastAsia" w:ascii="宋体" w:hAnsi="宋体" w:cs="宋体"/>
                <w:color w:val="auto"/>
                <w:szCs w:val="21"/>
                <w:highlight w:val="none"/>
                <w:u w:val="none"/>
              </w:rPr>
              <w:t>、检验手段科学性</w:t>
            </w:r>
            <w:r>
              <w:rPr>
                <w:rFonts w:hint="eastAsia" w:ascii="宋体" w:hAnsi="宋体" w:cs="宋体"/>
                <w:color w:val="auto"/>
                <w:szCs w:val="21"/>
                <w:highlight w:val="none"/>
                <w:u w:val="none"/>
                <w:lang w:eastAsia="zh-CN"/>
              </w:rPr>
              <w:t>一般</w:t>
            </w:r>
            <w:r>
              <w:rPr>
                <w:rFonts w:hint="eastAsia" w:ascii="宋体" w:hAnsi="宋体" w:cs="宋体"/>
                <w:color w:val="auto"/>
                <w:szCs w:val="21"/>
                <w:highlight w:val="none"/>
                <w:u w:val="none"/>
              </w:rPr>
              <w:t>，质量保证措施不够具体，可行性</w:t>
            </w:r>
            <w:r>
              <w:rPr>
                <w:rFonts w:hint="eastAsia" w:ascii="宋体" w:hAnsi="宋体" w:cs="宋体"/>
                <w:color w:val="auto"/>
                <w:szCs w:val="21"/>
                <w:highlight w:val="none"/>
                <w:u w:val="none"/>
                <w:lang w:eastAsia="zh-CN"/>
              </w:rPr>
              <w:t>一般的，得</w:t>
            </w:r>
            <w:r>
              <w:rPr>
                <w:rFonts w:hint="eastAsia" w:ascii="宋体" w:hAnsi="宋体" w:cs="宋体"/>
                <w:color w:val="auto"/>
                <w:szCs w:val="21"/>
                <w:highlight w:val="none"/>
                <w:u w:val="none"/>
                <w:lang w:val="en-US" w:eastAsia="zh-CN"/>
              </w:rPr>
              <w:t>3分；</w:t>
            </w:r>
          </w:p>
          <w:p w14:paraId="2A48150E">
            <w:pPr>
              <w:keepNext w:val="0"/>
              <w:keepLines w:val="0"/>
              <w:pageBreakBefore w:val="0"/>
              <w:kinsoku/>
              <w:wordWrap/>
              <w:overflowPunct/>
              <w:topLinePunct w:val="0"/>
              <w:autoSpaceDE/>
              <w:autoSpaceDN/>
              <w:bidi w:val="0"/>
              <w:spacing w:line="312" w:lineRule="auto"/>
              <w:ind w:firstLine="420" w:firstLineChars="200"/>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eastAsia="zh-CN"/>
              </w:rPr>
              <w:t>④</w:t>
            </w:r>
            <w:r>
              <w:rPr>
                <w:rFonts w:hint="eastAsia" w:ascii="宋体" w:hAnsi="宋体" w:cs="宋体"/>
                <w:color w:val="auto"/>
                <w:szCs w:val="21"/>
                <w:highlight w:val="none"/>
                <w:u w:val="none"/>
              </w:rPr>
              <w:t>质量目标</w:t>
            </w:r>
            <w:r>
              <w:rPr>
                <w:rFonts w:hint="eastAsia" w:ascii="宋体" w:hAnsi="宋体" w:cs="宋体"/>
                <w:color w:val="auto"/>
                <w:szCs w:val="21"/>
                <w:highlight w:val="none"/>
                <w:u w:val="none"/>
                <w:lang w:eastAsia="zh-CN"/>
              </w:rPr>
              <w:t>不</w:t>
            </w:r>
            <w:r>
              <w:rPr>
                <w:rFonts w:hint="eastAsia" w:ascii="宋体" w:hAnsi="宋体" w:cs="宋体"/>
                <w:color w:val="auto"/>
                <w:szCs w:val="21"/>
                <w:highlight w:val="none"/>
                <w:u w:val="none"/>
              </w:rPr>
              <w:t>明确、对项目质量的控制</w:t>
            </w:r>
            <w:r>
              <w:rPr>
                <w:rFonts w:hint="eastAsia" w:ascii="宋体" w:hAnsi="宋体" w:cs="宋体"/>
                <w:color w:val="auto"/>
                <w:szCs w:val="21"/>
                <w:highlight w:val="none"/>
                <w:u w:val="none"/>
                <w:lang w:eastAsia="zh-CN"/>
              </w:rPr>
              <w:t>方案</w:t>
            </w:r>
            <w:r>
              <w:rPr>
                <w:rFonts w:hint="eastAsia" w:ascii="宋体" w:hAnsi="宋体" w:cs="宋体"/>
                <w:color w:val="auto"/>
                <w:szCs w:val="21"/>
                <w:highlight w:val="none"/>
                <w:u w:val="none"/>
              </w:rPr>
              <w:t>、检验手段科学性</w:t>
            </w:r>
            <w:r>
              <w:rPr>
                <w:rFonts w:hint="eastAsia" w:ascii="宋体" w:hAnsi="宋体" w:cs="宋体"/>
                <w:color w:val="auto"/>
                <w:szCs w:val="21"/>
                <w:highlight w:val="none"/>
                <w:u w:val="none"/>
                <w:lang w:eastAsia="zh-CN"/>
              </w:rPr>
              <w:t>差</w:t>
            </w:r>
            <w:r>
              <w:rPr>
                <w:rFonts w:hint="eastAsia" w:ascii="宋体" w:hAnsi="宋体" w:cs="宋体"/>
                <w:color w:val="auto"/>
                <w:szCs w:val="21"/>
                <w:highlight w:val="none"/>
                <w:u w:val="none"/>
              </w:rPr>
              <w:t>，质量保证措施不具体，</w:t>
            </w:r>
            <w:r>
              <w:rPr>
                <w:rFonts w:hint="eastAsia" w:ascii="宋体" w:hAnsi="宋体" w:cs="宋体"/>
                <w:color w:val="auto"/>
                <w:szCs w:val="21"/>
                <w:highlight w:val="none"/>
                <w:u w:val="none"/>
                <w:lang w:eastAsia="zh-CN"/>
              </w:rPr>
              <w:t>不</w:t>
            </w:r>
            <w:r>
              <w:rPr>
                <w:rFonts w:hint="eastAsia" w:ascii="宋体" w:hAnsi="宋体" w:cs="宋体"/>
                <w:color w:val="auto"/>
                <w:szCs w:val="21"/>
                <w:highlight w:val="none"/>
                <w:u w:val="none"/>
              </w:rPr>
              <w:t>可行</w:t>
            </w:r>
            <w:r>
              <w:rPr>
                <w:rFonts w:hint="eastAsia" w:ascii="宋体" w:hAnsi="宋体" w:cs="宋体"/>
                <w:color w:val="auto"/>
                <w:szCs w:val="21"/>
                <w:highlight w:val="none"/>
                <w:u w:val="none"/>
                <w:lang w:eastAsia="zh-CN"/>
              </w:rPr>
              <w:t>的，得</w:t>
            </w:r>
            <w:r>
              <w:rPr>
                <w:rFonts w:hint="eastAsia" w:ascii="宋体" w:hAnsi="宋体" w:cs="宋体"/>
                <w:color w:val="auto"/>
                <w:szCs w:val="21"/>
                <w:highlight w:val="none"/>
                <w:u w:val="none"/>
                <w:lang w:val="en-US" w:eastAsia="zh-CN"/>
              </w:rPr>
              <w:t>1分；</w:t>
            </w:r>
          </w:p>
          <w:p w14:paraId="082E7176">
            <w:pPr>
              <w:keepNext w:val="0"/>
              <w:keepLines w:val="0"/>
              <w:pageBreakBefore w:val="0"/>
              <w:kinsoku/>
              <w:wordWrap/>
              <w:overflowPunct/>
              <w:topLinePunct w:val="0"/>
              <w:autoSpaceDE/>
              <w:autoSpaceDN/>
              <w:bidi w:val="0"/>
              <w:spacing w:line="312" w:lineRule="auto"/>
              <w:ind w:firstLine="420" w:firstLineChars="200"/>
              <w:textAlignment w:val="auto"/>
              <w:rPr>
                <w:rFonts w:hAnsi="宋体" w:cs="宋体"/>
                <w:color w:val="auto"/>
                <w:szCs w:val="21"/>
                <w:highlight w:val="none"/>
                <w:u w:val="none"/>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7ED14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B86D948">
            <w:pPr>
              <w:pStyle w:val="45"/>
              <w:spacing w:line="36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4</w:t>
            </w:r>
          </w:p>
        </w:tc>
        <w:tc>
          <w:tcPr>
            <w:tcW w:w="1227" w:type="dxa"/>
            <w:tcBorders>
              <w:top w:val="single" w:color="auto" w:sz="4" w:space="0"/>
              <w:left w:val="single" w:color="auto" w:sz="4" w:space="0"/>
              <w:bottom w:val="single" w:color="auto" w:sz="4" w:space="0"/>
              <w:right w:val="single" w:color="auto" w:sz="4" w:space="0"/>
            </w:tcBorders>
            <w:vAlign w:val="center"/>
          </w:tcPr>
          <w:p w14:paraId="2A1EFAA3">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售后服务</w:t>
            </w:r>
          </w:p>
        </w:tc>
        <w:tc>
          <w:tcPr>
            <w:tcW w:w="883" w:type="dxa"/>
            <w:tcBorders>
              <w:top w:val="single" w:color="auto" w:sz="4" w:space="0"/>
              <w:left w:val="single" w:color="auto" w:sz="4" w:space="0"/>
              <w:bottom w:val="single" w:color="auto" w:sz="4" w:space="0"/>
              <w:right w:val="single" w:color="auto" w:sz="4" w:space="0"/>
            </w:tcBorders>
            <w:vAlign w:val="center"/>
          </w:tcPr>
          <w:p w14:paraId="5F86E2C5">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798CDDE2">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根据各投标人提供的售后服务方案（包括售后响应时间、技术支持和售后服务计划、质保期外的维修服务收费标准、服务质量保证、应急方案）进行</w:t>
            </w:r>
            <w:r>
              <w:rPr>
                <w:rFonts w:hint="eastAsia" w:ascii="宋体" w:hAnsi="宋体" w:eastAsia="宋体" w:cs="宋体"/>
                <w:color w:val="auto"/>
                <w:szCs w:val="21"/>
                <w:highlight w:val="none"/>
                <w:u w:val="none"/>
                <w:lang w:eastAsia="zh-CN"/>
              </w:rPr>
              <w:t>评审</w:t>
            </w:r>
            <w:r>
              <w:rPr>
                <w:rFonts w:hint="eastAsia" w:ascii="宋体" w:hAnsi="宋体" w:eastAsia="宋体" w:cs="宋体"/>
                <w:color w:val="auto"/>
                <w:szCs w:val="21"/>
                <w:highlight w:val="none"/>
                <w:u w:val="none"/>
              </w:rPr>
              <w:t>：</w:t>
            </w:r>
          </w:p>
          <w:p w14:paraId="510F2FB2">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①售后服务方案保障措施详细完整，</w:t>
            </w:r>
            <w:r>
              <w:rPr>
                <w:rFonts w:hint="eastAsia" w:ascii="宋体" w:hAnsi="宋体" w:eastAsia="宋体" w:cs="宋体"/>
                <w:color w:val="auto"/>
                <w:szCs w:val="21"/>
                <w:highlight w:val="none"/>
                <w:u w:val="none"/>
                <w:lang w:eastAsia="zh-CN"/>
              </w:rPr>
              <w:t>科学合理，</w:t>
            </w:r>
            <w:r>
              <w:rPr>
                <w:rFonts w:hint="eastAsia" w:ascii="宋体" w:hAnsi="宋体" w:eastAsia="宋体" w:cs="宋体"/>
                <w:color w:val="auto"/>
                <w:szCs w:val="21"/>
                <w:highlight w:val="none"/>
                <w:u w:val="none"/>
              </w:rPr>
              <w:t>切实可行的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eastAsia="宋体" w:cs="宋体"/>
                <w:color w:val="auto"/>
                <w:szCs w:val="21"/>
                <w:highlight w:val="none"/>
                <w:u w:val="none"/>
                <w:lang w:val="en-US" w:eastAsia="zh-CN"/>
              </w:rPr>
              <w:t>5</w:t>
            </w:r>
            <w:r>
              <w:rPr>
                <w:rFonts w:hint="eastAsia" w:ascii="宋体" w:hAnsi="宋体" w:eastAsia="宋体" w:cs="宋体"/>
                <w:color w:val="auto"/>
                <w:szCs w:val="21"/>
                <w:highlight w:val="none"/>
                <w:u w:val="none"/>
              </w:rPr>
              <w:t>分；</w:t>
            </w:r>
          </w:p>
          <w:p w14:paraId="5D5B5F4E">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②售后服务方案保障措施基本完整，</w:t>
            </w:r>
            <w:r>
              <w:rPr>
                <w:rFonts w:hint="eastAsia" w:ascii="宋体" w:hAnsi="宋体" w:eastAsia="宋体" w:cs="宋体"/>
                <w:color w:val="auto"/>
                <w:szCs w:val="21"/>
                <w:highlight w:val="none"/>
                <w:u w:val="none"/>
                <w:lang w:eastAsia="zh-CN"/>
              </w:rPr>
              <w:t>较科学合理，</w:t>
            </w:r>
            <w:r>
              <w:rPr>
                <w:rFonts w:hint="eastAsia" w:ascii="宋体" w:hAnsi="宋体" w:eastAsia="宋体" w:cs="宋体"/>
                <w:color w:val="auto"/>
                <w:szCs w:val="21"/>
                <w:highlight w:val="none"/>
                <w:u w:val="none"/>
              </w:rPr>
              <w:t>可行性</w:t>
            </w:r>
            <w:r>
              <w:rPr>
                <w:rFonts w:hint="eastAsia" w:ascii="宋体" w:hAnsi="宋体" w:eastAsia="宋体" w:cs="宋体"/>
                <w:color w:val="auto"/>
                <w:szCs w:val="21"/>
                <w:highlight w:val="none"/>
                <w:u w:val="none"/>
                <w:lang w:val="en-US" w:eastAsia="zh-CN"/>
              </w:rPr>
              <w:t>较强</w:t>
            </w:r>
            <w:r>
              <w:rPr>
                <w:rFonts w:hint="eastAsia" w:ascii="宋体" w:hAnsi="宋体" w:eastAsia="宋体" w:cs="宋体"/>
                <w:color w:val="auto"/>
                <w:szCs w:val="21"/>
                <w:highlight w:val="none"/>
                <w:u w:val="none"/>
              </w:rPr>
              <w:t>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eastAsia="宋体" w:cs="宋体"/>
                <w:color w:val="auto"/>
                <w:szCs w:val="21"/>
                <w:highlight w:val="none"/>
                <w:u w:val="none"/>
                <w:lang w:val="en-US" w:eastAsia="zh-CN"/>
              </w:rPr>
              <w:t>4</w:t>
            </w:r>
            <w:r>
              <w:rPr>
                <w:rFonts w:hint="eastAsia" w:ascii="宋体" w:hAnsi="宋体" w:eastAsia="宋体" w:cs="宋体"/>
                <w:color w:val="auto"/>
                <w:szCs w:val="21"/>
                <w:highlight w:val="none"/>
                <w:u w:val="none"/>
              </w:rPr>
              <w:t>分；</w:t>
            </w:r>
          </w:p>
          <w:p w14:paraId="6A8B6C83">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③售后服务方案保障措施可行性</w:t>
            </w:r>
            <w:r>
              <w:rPr>
                <w:rFonts w:hint="eastAsia" w:ascii="宋体" w:hAnsi="宋体" w:eastAsia="宋体" w:cs="宋体"/>
                <w:color w:val="auto"/>
                <w:szCs w:val="21"/>
                <w:highlight w:val="none"/>
                <w:u w:val="none"/>
                <w:lang w:eastAsia="zh-CN"/>
              </w:rPr>
              <w:t>一般，合理性一般，不太可行的，得</w:t>
            </w:r>
            <w:r>
              <w:rPr>
                <w:rFonts w:hint="eastAsia" w:ascii="宋体" w:hAnsi="宋体" w:eastAsia="宋体" w:cs="宋体"/>
                <w:color w:val="auto"/>
                <w:szCs w:val="21"/>
                <w:highlight w:val="none"/>
                <w:u w:val="none"/>
                <w:lang w:val="en-US" w:eastAsia="zh-CN"/>
              </w:rPr>
              <w:t>3分</w:t>
            </w:r>
            <w:r>
              <w:rPr>
                <w:rFonts w:hint="eastAsia" w:ascii="宋体" w:hAnsi="宋体" w:eastAsia="宋体" w:cs="宋体"/>
                <w:color w:val="auto"/>
                <w:szCs w:val="21"/>
                <w:highlight w:val="none"/>
                <w:u w:val="none"/>
                <w:lang w:eastAsia="zh-CN"/>
              </w:rPr>
              <w:t>；</w:t>
            </w:r>
          </w:p>
          <w:p w14:paraId="131D1BCC">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lang w:eastAsia="zh-CN"/>
              </w:rPr>
              <w:t>④</w:t>
            </w:r>
            <w:r>
              <w:rPr>
                <w:rFonts w:hint="eastAsia" w:ascii="宋体" w:hAnsi="宋体" w:eastAsia="宋体" w:cs="宋体"/>
                <w:color w:val="auto"/>
                <w:szCs w:val="21"/>
                <w:highlight w:val="none"/>
                <w:u w:val="none"/>
              </w:rPr>
              <w:t>售后服务方案保障措施可行性</w:t>
            </w:r>
            <w:r>
              <w:rPr>
                <w:rFonts w:hint="eastAsia" w:ascii="宋体" w:hAnsi="宋体" w:eastAsia="宋体" w:cs="宋体"/>
                <w:color w:val="auto"/>
                <w:szCs w:val="21"/>
                <w:highlight w:val="none"/>
                <w:u w:val="none"/>
                <w:lang w:eastAsia="zh-CN"/>
              </w:rPr>
              <w:t>差，不合理的，不可行的，得</w:t>
            </w:r>
            <w:r>
              <w:rPr>
                <w:rFonts w:hint="eastAsia" w:ascii="宋体" w:hAnsi="宋体" w:eastAsia="宋体" w:cs="宋体"/>
                <w:color w:val="auto"/>
                <w:szCs w:val="21"/>
                <w:highlight w:val="none"/>
                <w:u w:val="none"/>
                <w:lang w:val="en-US" w:eastAsia="zh-CN"/>
              </w:rPr>
              <w:t>1分</w:t>
            </w:r>
            <w:r>
              <w:rPr>
                <w:rFonts w:hint="eastAsia" w:ascii="宋体" w:hAnsi="宋体" w:eastAsia="宋体" w:cs="宋体"/>
                <w:color w:val="auto"/>
                <w:szCs w:val="21"/>
                <w:highlight w:val="none"/>
                <w:u w:val="none"/>
                <w:lang w:eastAsia="zh-CN"/>
              </w:rPr>
              <w:t>；</w:t>
            </w:r>
          </w:p>
          <w:p w14:paraId="7C5CF488">
            <w:pPr>
              <w:keepNext w:val="0"/>
              <w:keepLines w:val="0"/>
              <w:pageBreakBefore w:val="0"/>
              <w:widowControl/>
              <w:kinsoku/>
              <w:wordWrap/>
              <w:overflowPunct/>
              <w:topLinePunct w:val="0"/>
              <w:autoSpaceDE/>
              <w:autoSpaceDN/>
              <w:bidi w:val="0"/>
              <w:adjustRightInd w:val="0"/>
              <w:snapToGrid w:val="0"/>
              <w:spacing w:line="312" w:lineRule="auto"/>
              <w:ind w:firstLine="420" w:firstLineChars="200"/>
              <w:textAlignment w:val="auto"/>
              <w:rPr>
                <w:rFonts w:hint="eastAsia" w:ascii="宋体" w:hAnsi="宋体" w:eastAsia="宋体" w:cs="宋体"/>
                <w:color w:val="auto"/>
                <w:szCs w:val="21"/>
                <w:highlight w:val="none"/>
                <w:u w:val="none"/>
                <w:lang w:val="zh-CN"/>
              </w:rPr>
            </w:pPr>
            <w:r>
              <w:rPr>
                <w:rFonts w:hint="eastAsia" w:ascii="宋体" w:hAnsi="宋体" w:eastAsia="宋体" w:cs="宋体"/>
                <w:color w:val="auto"/>
                <w:szCs w:val="21"/>
                <w:highlight w:val="none"/>
                <w:u w:val="none"/>
                <w:lang w:eastAsia="zh-CN"/>
              </w:rPr>
              <w:t>⑤</w:t>
            </w:r>
            <w:r>
              <w:rPr>
                <w:rFonts w:hint="eastAsia" w:ascii="宋体" w:hAnsi="宋体" w:eastAsia="宋体" w:cs="宋体"/>
                <w:color w:val="auto"/>
                <w:szCs w:val="21"/>
                <w:highlight w:val="none"/>
                <w:u w:val="none"/>
              </w:rPr>
              <w:t>未提供</w:t>
            </w:r>
            <w:r>
              <w:rPr>
                <w:rFonts w:hint="eastAsia" w:ascii="宋体" w:hAnsi="宋体" w:eastAsia="宋体" w:cs="宋体"/>
                <w:color w:val="auto"/>
                <w:szCs w:val="21"/>
                <w:highlight w:val="none"/>
                <w:u w:val="none"/>
                <w:lang w:eastAsia="zh-CN"/>
              </w:rPr>
              <w:t>相关方案的</w:t>
            </w:r>
            <w:r>
              <w:rPr>
                <w:rFonts w:hint="eastAsia" w:ascii="宋体" w:hAnsi="宋体" w:eastAsia="宋体" w:cs="宋体"/>
                <w:color w:val="auto"/>
                <w:szCs w:val="21"/>
                <w:highlight w:val="none"/>
                <w:u w:val="none"/>
              </w:rPr>
              <w:t>，不得分</w:t>
            </w:r>
            <w:r>
              <w:rPr>
                <w:rFonts w:hint="eastAsia" w:ascii="宋体" w:hAnsi="宋体" w:eastAsia="宋体" w:cs="宋体"/>
                <w:color w:val="auto"/>
                <w:szCs w:val="21"/>
                <w:highlight w:val="none"/>
                <w:u w:val="none"/>
                <w:lang w:eastAsia="zh-CN"/>
              </w:rPr>
              <w:t>。</w:t>
            </w:r>
          </w:p>
        </w:tc>
      </w:tr>
      <w:tr w14:paraId="5C278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2B91853B">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5B4B1674">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6B5CB46D">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tc>
      </w:tr>
      <w:tr w14:paraId="5BAF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460A3365">
            <w:pPr>
              <w:pStyle w:val="45"/>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50</w:t>
            </w:r>
            <w:r>
              <w:rPr>
                <w:rFonts w:hint="eastAsia" w:ascii="宋体" w:eastAsia="宋体" w:cs="宋体"/>
                <w:b/>
                <w:bCs/>
                <w:color w:val="auto"/>
                <w:sz w:val="21"/>
                <w:szCs w:val="21"/>
                <w:highlight w:val="none"/>
              </w:rPr>
              <w:t>分）</w:t>
            </w:r>
          </w:p>
        </w:tc>
      </w:tr>
      <w:tr w14:paraId="51CD8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0C646A3">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bottom w:val="single" w:color="auto" w:sz="4" w:space="0"/>
              <w:right w:val="single" w:color="auto" w:sz="4" w:space="0"/>
            </w:tcBorders>
            <w:vAlign w:val="center"/>
          </w:tcPr>
          <w:p w14:paraId="6D7FAE4D">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883" w:type="dxa"/>
            <w:tcBorders>
              <w:top w:val="single" w:color="auto" w:sz="4" w:space="0"/>
              <w:left w:val="single" w:color="auto" w:sz="4" w:space="0"/>
              <w:bottom w:val="single" w:color="auto" w:sz="4" w:space="0"/>
              <w:right w:val="single" w:color="auto" w:sz="4" w:space="0"/>
            </w:tcBorders>
            <w:vAlign w:val="center"/>
          </w:tcPr>
          <w:p w14:paraId="4472B858">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lang w:val="en-US" w:eastAsia="zh-CN"/>
              </w:rPr>
              <w:t>50</w:t>
            </w:r>
            <w:r>
              <w:rPr>
                <w:rFonts w:ascii="宋体" w:hAnsi="宋体" w:cs="宋体"/>
                <w:color w:val="auto"/>
                <w:kern w:val="2"/>
                <w:szCs w:val="21"/>
                <w:highlight w:val="none"/>
              </w:rPr>
              <w:t xml:space="preserve"> </w:t>
            </w:r>
          </w:p>
        </w:tc>
        <w:tc>
          <w:tcPr>
            <w:tcW w:w="5722" w:type="dxa"/>
            <w:tcBorders>
              <w:top w:val="single" w:color="auto" w:sz="4" w:space="0"/>
              <w:left w:val="single" w:color="auto" w:sz="4" w:space="0"/>
              <w:bottom w:val="single" w:color="auto" w:sz="4" w:space="0"/>
              <w:right w:val="single" w:color="auto" w:sz="4" w:space="0"/>
            </w:tcBorders>
            <w:vAlign w:val="center"/>
          </w:tcPr>
          <w:p w14:paraId="2D28C7D6">
            <w:pPr>
              <w:widowControl w:val="0"/>
              <w:adjustRightInd/>
              <w:snapToGrid/>
              <w:ind w:firstLine="420" w:firstLineChars="200"/>
              <w:rPr>
                <w:rFonts w:hint="default" w:ascii="宋体" w:hAnsi="宋体" w:cs="宋体" w:eastAsiaTheme="minorEastAsia"/>
                <w:color w:val="auto"/>
                <w:kern w:val="2"/>
                <w:szCs w:val="21"/>
                <w:highlight w:val="none"/>
                <w:lang w:val="en-US" w:eastAsia="zh-CN"/>
              </w:rPr>
            </w:pPr>
            <w:r>
              <w:rPr>
                <w:rFonts w:hint="eastAsia" w:ascii="宋体" w:hAnsi="宋体" w:cs="宋体"/>
                <w:color w:val="auto"/>
                <w:kern w:val="2"/>
                <w:szCs w:val="21"/>
                <w:highlight w:val="none"/>
                <w:lang w:val="zh-CN"/>
              </w:rPr>
              <w:t>满足采购文件要求，排除下浮率最高和最低的报价，剩余的投标人下浮率最高的为评标基准价，评标基准价与下浮率最高的投标人价格分均为满分。其余投标人的价格分（结果四舍五入后保留两位小数）统一按照下列公式计算：计算公式为：价格得分 = 50 -（评标基准价 - 投标人下浮率）÷1% ×2，价格得分最低为0分</w:t>
            </w:r>
            <w:r>
              <w:rPr>
                <w:rFonts w:hint="eastAsia" w:ascii="宋体" w:hAnsi="宋体" w:cs="宋体"/>
                <w:color w:val="auto"/>
                <w:kern w:val="2"/>
                <w:szCs w:val="21"/>
                <w:highlight w:val="none"/>
                <w:lang w:val="en-US" w:eastAsia="zh-CN"/>
              </w:rPr>
              <w:t>。</w:t>
            </w:r>
          </w:p>
        </w:tc>
      </w:tr>
    </w:tbl>
    <w:p w14:paraId="093FFC5C">
      <w:pPr>
        <w:shd w:val="clear"/>
        <w:ind w:firstLine="420" w:firstLineChars="200"/>
        <w:rPr>
          <w:color w:val="auto"/>
          <w:highlight w:val="none"/>
        </w:rPr>
      </w:pPr>
      <w:r>
        <w:rPr>
          <w:rFonts w:hint="eastAsia"/>
          <w:color w:val="auto"/>
          <w:highlight w:val="none"/>
        </w:rPr>
        <w:br w:type="page"/>
      </w:r>
    </w:p>
    <w:p w14:paraId="358A6B61">
      <w:pPr>
        <w:pStyle w:val="6"/>
        <w:shd w:val="clear"/>
        <w:spacing w:before="0" w:after="0" w:line="240" w:lineRule="auto"/>
        <w:rPr>
          <w:color w:val="auto"/>
          <w:sz w:val="36"/>
          <w:szCs w:val="36"/>
          <w:highlight w:val="none"/>
        </w:rPr>
      </w:pPr>
      <w:bookmarkStart w:id="6" w:name="_Toc5576"/>
      <w:r>
        <w:rPr>
          <w:rFonts w:hint="eastAsia"/>
          <w:color w:val="auto"/>
          <w:sz w:val="28"/>
          <w:szCs w:val="28"/>
          <w:highlight w:val="none"/>
        </w:rPr>
        <w:t>第三部分用户需求书</w:t>
      </w:r>
      <w:bookmarkEnd w:id="6"/>
    </w:p>
    <w:p w14:paraId="503B53DD">
      <w:pPr>
        <w:pStyle w:val="7"/>
        <w:shd w:val="clear"/>
        <w:spacing w:before="0" w:after="0" w:line="360" w:lineRule="auto"/>
        <w:jc w:val="center"/>
        <w:rPr>
          <w:rFonts w:ascii="宋体" w:hAnsi="宋体"/>
          <w:color w:val="auto"/>
          <w:highlight w:val="none"/>
        </w:rPr>
      </w:pPr>
      <w:bookmarkStart w:id="7" w:name="_Toc1593"/>
      <w:bookmarkStart w:id="8" w:name="_Toc11625"/>
      <w:bookmarkStart w:id="9" w:name="_Toc14462"/>
      <w:bookmarkStart w:id="10" w:name="_Toc24679"/>
      <w:bookmarkStart w:id="11" w:name="_Toc31278"/>
      <w:bookmarkStart w:id="12" w:name="_Toc13112"/>
      <w:bookmarkStart w:id="13" w:name="_Toc308786492"/>
      <w:r>
        <w:rPr>
          <w:rFonts w:hint="eastAsia" w:ascii="宋体" w:hAnsi="宋体"/>
          <w:color w:val="auto"/>
          <w:highlight w:val="none"/>
        </w:rPr>
        <w:t>第一章 商务需求书</w:t>
      </w:r>
      <w:bookmarkEnd w:id="7"/>
      <w:bookmarkEnd w:id="8"/>
    </w:p>
    <w:tbl>
      <w:tblPr>
        <w:tblStyle w:val="28"/>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3059E3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trPr>
        <w:tc>
          <w:tcPr>
            <w:tcW w:w="718" w:type="dxa"/>
            <w:vAlign w:val="center"/>
          </w:tcPr>
          <w:p w14:paraId="7EB5ED69">
            <w:pPr>
              <w:jc w:val="center"/>
              <w:rPr>
                <w:rFonts w:hint="eastAsia" w:ascii="宋体" w:hAnsi="宋体" w:eastAsia="宋体" w:cs="宋体"/>
                <w:b/>
                <w:bCs/>
                <w:color w:val="auto"/>
                <w:szCs w:val="21"/>
                <w:highlight w:val="none"/>
              </w:rPr>
            </w:pPr>
            <w:bookmarkStart w:id="14" w:name="_Toc19316"/>
            <w:r>
              <w:rPr>
                <w:rFonts w:hint="eastAsia" w:ascii="宋体" w:hAnsi="宋体" w:eastAsia="宋体" w:cs="宋体"/>
                <w:b/>
                <w:bCs/>
                <w:color w:val="auto"/>
                <w:szCs w:val="21"/>
                <w:highlight w:val="none"/>
              </w:rPr>
              <w:t>序号</w:t>
            </w:r>
          </w:p>
        </w:tc>
        <w:tc>
          <w:tcPr>
            <w:tcW w:w="1501" w:type="dxa"/>
            <w:vAlign w:val="center"/>
          </w:tcPr>
          <w:p w14:paraId="5DB327E2">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条款名称</w:t>
            </w:r>
          </w:p>
        </w:tc>
        <w:tc>
          <w:tcPr>
            <w:tcW w:w="6466" w:type="dxa"/>
            <w:vAlign w:val="center"/>
          </w:tcPr>
          <w:p w14:paraId="41F71BC9">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  明</w:t>
            </w:r>
          </w:p>
        </w:tc>
      </w:tr>
      <w:tr w14:paraId="4CDE49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19" w:hRule="atLeast"/>
        </w:trPr>
        <w:tc>
          <w:tcPr>
            <w:tcW w:w="718" w:type="dxa"/>
            <w:vAlign w:val="center"/>
          </w:tcPr>
          <w:p w14:paraId="6F25A97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501" w:type="dxa"/>
            <w:vAlign w:val="center"/>
          </w:tcPr>
          <w:p w14:paraId="414225C4">
            <w:pPr>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eastAsia="zh-CN"/>
              </w:rPr>
              <w:t>完工期</w:t>
            </w:r>
          </w:p>
        </w:tc>
        <w:tc>
          <w:tcPr>
            <w:tcW w:w="6466" w:type="dxa"/>
            <w:vAlign w:val="center"/>
          </w:tcPr>
          <w:p w14:paraId="56792873">
            <w:pPr>
              <w:pStyle w:val="39"/>
              <w:spacing w:line="360" w:lineRule="auto"/>
              <w:ind w:firstLine="420" w:firstLineChars="200"/>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130</w:t>
            </w:r>
            <w:r>
              <w:rPr>
                <w:rFonts w:hint="eastAsia" w:ascii="宋体" w:hAnsi="宋体" w:eastAsia="宋体" w:cs="宋体"/>
                <w:color w:val="auto"/>
                <w:kern w:val="2"/>
                <w:sz w:val="21"/>
                <w:szCs w:val="21"/>
                <w:highlight w:val="none"/>
              </w:rPr>
              <w:t>天内完成（包括</w:t>
            </w:r>
            <w:r>
              <w:rPr>
                <w:rFonts w:hint="eastAsia" w:ascii="宋体" w:hAnsi="宋体" w:eastAsia="宋体" w:cs="宋体"/>
                <w:color w:val="auto"/>
                <w:kern w:val="2"/>
                <w:sz w:val="21"/>
                <w:szCs w:val="21"/>
                <w:highlight w:val="none"/>
                <w:lang w:eastAsia="zh-CN"/>
              </w:rPr>
              <w:t>设计、</w:t>
            </w:r>
            <w:r>
              <w:rPr>
                <w:rFonts w:hint="eastAsia" w:ascii="宋体" w:hAnsi="宋体" w:eastAsia="宋体" w:cs="宋体"/>
                <w:color w:val="auto"/>
                <w:kern w:val="2"/>
                <w:sz w:val="21"/>
                <w:szCs w:val="21"/>
                <w:highlight w:val="none"/>
              </w:rPr>
              <w:t>供货、</w:t>
            </w:r>
            <w:r>
              <w:rPr>
                <w:rFonts w:hint="eastAsia" w:ascii="宋体" w:hAnsi="宋体" w:eastAsia="宋体" w:cs="宋体"/>
                <w:color w:val="auto"/>
                <w:kern w:val="2"/>
                <w:sz w:val="21"/>
                <w:szCs w:val="21"/>
                <w:highlight w:val="none"/>
                <w:lang w:eastAsia="zh-CN"/>
              </w:rPr>
              <w:t>安装</w:t>
            </w:r>
            <w:r>
              <w:rPr>
                <w:rFonts w:hint="eastAsia" w:ascii="宋体" w:hAnsi="宋体" w:eastAsia="宋体" w:cs="宋体"/>
                <w:color w:val="auto"/>
                <w:kern w:val="2"/>
                <w:sz w:val="21"/>
                <w:szCs w:val="21"/>
                <w:highlight w:val="none"/>
              </w:rPr>
              <w:t>、调试、验收</w:t>
            </w:r>
            <w:r>
              <w:rPr>
                <w:rFonts w:hint="eastAsia" w:ascii="宋体" w:hAnsi="宋体" w:eastAsia="宋体" w:cs="宋体"/>
                <w:color w:val="auto"/>
                <w:kern w:val="2"/>
                <w:sz w:val="21"/>
                <w:szCs w:val="21"/>
                <w:highlight w:val="none"/>
                <w:lang w:eastAsia="zh-CN"/>
              </w:rPr>
              <w:t>等</w:t>
            </w:r>
            <w:r>
              <w:rPr>
                <w:rFonts w:hint="eastAsia" w:ascii="宋体" w:hAnsi="宋体" w:eastAsia="宋体" w:cs="宋体"/>
                <w:color w:val="auto"/>
                <w:kern w:val="2"/>
                <w:sz w:val="21"/>
                <w:szCs w:val="21"/>
                <w:highlight w:val="none"/>
              </w:rPr>
              <w:t>工作）</w:t>
            </w:r>
            <w:r>
              <w:rPr>
                <w:rFonts w:hint="eastAsia" w:ascii="宋体" w:hAnsi="宋体" w:eastAsia="宋体" w:cs="宋体"/>
                <w:color w:val="auto"/>
                <w:kern w:val="2"/>
                <w:sz w:val="21"/>
                <w:szCs w:val="21"/>
                <w:highlight w:val="none"/>
                <w:lang w:eastAsia="zh-CN"/>
              </w:rPr>
              <w:t>。</w:t>
            </w:r>
          </w:p>
        </w:tc>
      </w:tr>
      <w:tr w14:paraId="2D636A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9" w:hRule="atLeast"/>
        </w:trPr>
        <w:tc>
          <w:tcPr>
            <w:tcW w:w="718" w:type="dxa"/>
            <w:vAlign w:val="center"/>
          </w:tcPr>
          <w:p w14:paraId="359CCE32">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1501" w:type="dxa"/>
            <w:vAlign w:val="center"/>
          </w:tcPr>
          <w:p w14:paraId="44DBB165">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项目地点</w:t>
            </w:r>
          </w:p>
        </w:tc>
        <w:tc>
          <w:tcPr>
            <w:tcW w:w="6466" w:type="dxa"/>
            <w:vAlign w:val="center"/>
          </w:tcPr>
          <w:p w14:paraId="25D2B618">
            <w:pPr>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采购人指定地点。</w:t>
            </w:r>
          </w:p>
        </w:tc>
      </w:tr>
      <w:tr w14:paraId="37705B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50" w:hRule="atLeast"/>
        </w:trPr>
        <w:tc>
          <w:tcPr>
            <w:tcW w:w="718" w:type="dxa"/>
            <w:vAlign w:val="center"/>
          </w:tcPr>
          <w:p w14:paraId="32E4FE7C">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1501" w:type="dxa"/>
            <w:vAlign w:val="center"/>
          </w:tcPr>
          <w:p w14:paraId="2A4B2FF2">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报价要求</w:t>
            </w:r>
          </w:p>
        </w:tc>
        <w:tc>
          <w:tcPr>
            <w:tcW w:w="6466" w:type="dxa"/>
            <w:vAlign w:val="center"/>
          </w:tcPr>
          <w:p w14:paraId="2EC35E1E">
            <w:pPr>
              <w:pStyle w:val="11"/>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投标报价应包括本次采购所有服务内容的费用，包括但不限于</w:t>
            </w:r>
            <w:r>
              <w:rPr>
                <w:rFonts w:hint="eastAsia" w:ascii="宋体" w:hAnsi="宋体" w:cs="宋体"/>
                <w:color w:val="auto"/>
                <w:szCs w:val="21"/>
                <w:highlight w:val="none"/>
                <w:lang w:eastAsia="zh-CN"/>
              </w:rPr>
              <w:t>设计费、</w:t>
            </w:r>
            <w:r>
              <w:rPr>
                <w:rFonts w:hint="eastAsia" w:ascii="宋体" w:hAnsi="宋体" w:eastAsia="宋体" w:cs="宋体"/>
                <w:color w:val="auto"/>
                <w:szCs w:val="21"/>
                <w:highlight w:val="none"/>
              </w:rPr>
              <w:t>人工、材料、成本、利润、机械设备使用费、措施费、税费以及合同实施过程中的不可预见费用等全部费用。</w:t>
            </w:r>
          </w:p>
          <w:p w14:paraId="4993938A">
            <w:pPr>
              <w:pStyle w:val="11"/>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 w:val="21"/>
                <w:szCs w:val="21"/>
                <w:highlight w:val="none"/>
                <w:lang w:val="en-US" w:eastAsia="zh-CN" w:bidi="zh-CN"/>
              </w:rPr>
              <w:t>2、</w:t>
            </w:r>
            <w:r>
              <w:rPr>
                <w:rFonts w:hint="eastAsia" w:ascii="宋体" w:hAnsi="宋体" w:eastAsia="宋体" w:cs="宋体"/>
                <w:color w:val="auto"/>
                <w:sz w:val="21"/>
                <w:szCs w:val="21"/>
                <w:highlight w:val="none"/>
                <w:lang w:val="en-US" w:eastAsia="zh-CN" w:bidi="zh-CN"/>
              </w:rPr>
              <w:t>设计费报价已包括完成本项目所有设计内容及文件要求的费用，供应商已在报价中考虑所有相关费用，不论</w:t>
            </w:r>
            <w:r>
              <w:rPr>
                <w:rFonts w:hint="eastAsia" w:ascii="宋体" w:hAnsi="宋体" w:cs="宋体"/>
                <w:color w:val="auto"/>
                <w:sz w:val="21"/>
                <w:szCs w:val="21"/>
                <w:highlight w:val="none"/>
                <w:lang w:val="en-US" w:eastAsia="zh-CN" w:bidi="zh-CN"/>
              </w:rPr>
              <w:t>投标人</w:t>
            </w:r>
            <w:r>
              <w:rPr>
                <w:rFonts w:hint="eastAsia" w:ascii="宋体" w:hAnsi="宋体" w:eastAsia="宋体" w:cs="宋体"/>
                <w:color w:val="auto"/>
                <w:sz w:val="21"/>
                <w:szCs w:val="21"/>
                <w:highlight w:val="none"/>
                <w:lang w:val="en-US" w:eastAsia="zh-CN" w:bidi="zh-CN"/>
              </w:rPr>
              <w:t>报价表是否有相应报价，其费用均视为已包含在报价中，采购人不另行计量支付。</w:t>
            </w:r>
          </w:p>
          <w:p w14:paraId="32516C47">
            <w:pPr>
              <w:pStyle w:val="11"/>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、本项目</w:t>
            </w:r>
            <w:r>
              <w:rPr>
                <w:rFonts w:hint="eastAsia" w:ascii="宋体" w:hAnsi="宋体" w:cs="宋体"/>
                <w:color w:val="auto"/>
                <w:szCs w:val="21"/>
                <w:highlight w:val="none"/>
                <w:lang w:val="en-US" w:eastAsia="zh-CN"/>
              </w:rPr>
              <w:t>安全防护费</w:t>
            </w:r>
            <w:r>
              <w:rPr>
                <w:rFonts w:hint="eastAsia" w:ascii="宋体" w:hAnsi="宋体" w:eastAsia="宋体" w:cs="宋体"/>
                <w:color w:val="auto"/>
                <w:szCs w:val="21"/>
                <w:highlight w:val="none"/>
                <w:lang w:val="en-US" w:eastAsia="zh-CN"/>
              </w:rPr>
              <w:t>：¥59,940.00元。</w:t>
            </w:r>
          </w:p>
          <w:p w14:paraId="642896B5">
            <w:pPr>
              <w:pStyle w:val="11"/>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4、单价上限表</w:t>
            </w:r>
          </w:p>
          <w:tbl>
            <w:tblPr>
              <w:tblStyle w:val="2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0"/>
              <w:gridCol w:w="609"/>
              <w:gridCol w:w="623"/>
              <w:gridCol w:w="995"/>
              <w:gridCol w:w="877"/>
              <w:gridCol w:w="1292"/>
              <w:gridCol w:w="846"/>
            </w:tblGrid>
            <w:tr w14:paraId="443F9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1" w:hRule="atLeast"/>
                <w:jc w:val="center"/>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421B7">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序号</w:t>
                  </w:r>
                </w:p>
              </w:tc>
              <w:tc>
                <w:tcPr>
                  <w:tcW w:w="123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69D68DDA">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名称</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2F324">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装机容量</w:t>
                  </w:r>
                </w:p>
                <w:p w14:paraId="4333B822">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（kWp）</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EC2C2">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单价上限</w:t>
                  </w:r>
                  <w:r>
                    <w:rPr>
                      <w:rFonts w:hint="eastAsia" w:ascii="宋体" w:hAnsi="宋体" w:eastAsia="宋体" w:cs="宋体"/>
                      <w:b/>
                      <w:bCs/>
                      <w:i w:val="0"/>
                      <w:iCs w:val="0"/>
                      <w:color w:val="auto"/>
                      <w:kern w:val="0"/>
                      <w:sz w:val="16"/>
                      <w:szCs w:val="16"/>
                      <w:highlight w:val="none"/>
                      <w:u w:val="none"/>
                      <w:lang w:val="en-US" w:eastAsia="zh-CN" w:bidi="ar"/>
                    </w:rPr>
                    <w:br w:type="textWrapping"/>
                  </w:r>
                  <w:r>
                    <w:rPr>
                      <w:rFonts w:hint="eastAsia" w:ascii="宋体" w:hAnsi="宋体" w:eastAsia="宋体" w:cs="宋体"/>
                      <w:b/>
                      <w:bCs/>
                      <w:i w:val="0"/>
                      <w:iCs w:val="0"/>
                      <w:color w:val="auto"/>
                      <w:kern w:val="0"/>
                      <w:sz w:val="16"/>
                      <w:szCs w:val="16"/>
                      <w:highlight w:val="none"/>
                      <w:u w:val="none"/>
                      <w:lang w:val="en-US" w:eastAsia="zh-CN" w:bidi="ar"/>
                    </w:rPr>
                    <w:t>（元/Wp）</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A00F9">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总价上限</w:t>
                  </w:r>
                </w:p>
                <w:p w14:paraId="1FDEA3EC">
                  <w:pPr>
                    <w:keepNext w:val="0"/>
                    <w:keepLines w:val="0"/>
                    <w:widowControl/>
                    <w:suppressLineNumbers w:val="0"/>
                    <w:jc w:val="center"/>
                    <w:textAlignment w:val="center"/>
                    <w:rPr>
                      <w:rFonts w:hint="eastAsia" w:ascii="宋体" w:hAnsi="宋体" w:eastAsia="宋体" w:cs="宋体"/>
                      <w:b/>
                      <w:bCs/>
                      <w:i w:val="0"/>
                      <w:iCs w:val="0"/>
                      <w:color w:val="auto"/>
                      <w:sz w:val="16"/>
                      <w:szCs w:val="16"/>
                      <w:highlight w:val="none"/>
                      <w:u w:val="none"/>
                    </w:rPr>
                  </w:pPr>
                  <w:r>
                    <w:rPr>
                      <w:rFonts w:hint="eastAsia" w:ascii="宋体" w:hAnsi="宋体" w:eastAsia="宋体" w:cs="宋体"/>
                      <w:b/>
                      <w:bCs/>
                      <w:i w:val="0"/>
                      <w:iCs w:val="0"/>
                      <w:color w:val="auto"/>
                      <w:kern w:val="0"/>
                      <w:sz w:val="16"/>
                      <w:szCs w:val="16"/>
                      <w:highlight w:val="none"/>
                      <w:u w:val="none"/>
                      <w:lang w:val="en-US" w:eastAsia="zh-CN" w:bidi="ar"/>
                    </w:rPr>
                    <w:t>（元）</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9170C">
                  <w:pPr>
                    <w:keepNext w:val="0"/>
                    <w:keepLines w:val="0"/>
                    <w:widowControl/>
                    <w:suppressLineNumbers w:val="0"/>
                    <w:jc w:val="center"/>
                    <w:textAlignment w:val="center"/>
                    <w:rPr>
                      <w:rFonts w:hint="default"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备注</w:t>
                  </w:r>
                </w:p>
              </w:tc>
            </w:tr>
            <w:tr w14:paraId="5E21A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jc w:val="center"/>
              </w:trPr>
              <w:tc>
                <w:tcPr>
                  <w:tcW w:w="52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DDA6BD9">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1</w:t>
                  </w:r>
                </w:p>
              </w:tc>
              <w:tc>
                <w:tcPr>
                  <w:tcW w:w="12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364CCE">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平铺式</w:t>
                  </w:r>
                </w:p>
              </w:tc>
              <w:tc>
                <w:tcPr>
                  <w:tcW w:w="99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B43AE4D">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2BD2D">
                  <w:pPr>
                    <w:jc w:val="center"/>
                    <w:rPr>
                      <w:rFonts w:hint="default" w:ascii="宋体" w:hAnsi="宋体" w:eastAsia="宋体" w:cs="宋体"/>
                      <w:i w:val="0"/>
                      <w:iCs w:val="0"/>
                      <w:color w:val="auto"/>
                      <w:kern w:val="2"/>
                      <w:sz w:val="16"/>
                      <w:szCs w:val="16"/>
                      <w:highlight w:val="none"/>
                      <w:u w:val="none"/>
                      <w:lang w:val="en-US" w:eastAsia="zh-CN" w:bidi="ar-SA"/>
                    </w:rPr>
                  </w:pPr>
                  <w:r>
                    <w:rPr>
                      <w:rFonts w:hint="eastAsia" w:ascii="宋体" w:hAnsi="宋体" w:eastAsia="宋体" w:cs="宋体"/>
                      <w:i w:val="0"/>
                      <w:iCs w:val="0"/>
                      <w:color w:val="auto"/>
                      <w:kern w:val="2"/>
                      <w:sz w:val="16"/>
                      <w:szCs w:val="16"/>
                      <w:highlight w:val="none"/>
                      <w:u w:val="none"/>
                      <w:lang w:val="en-US" w:eastAsia="zh-CN" w:bidi="ar-SA"/>
                    </w:rPr>
                    <w:t>/</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2C19C">
                  <w:pPr>
                    <w:keepNext w:val="0"/>
                    <w:keepLines w:val="0"/>
                    <w:widowControl/>
                    <w:suppressLineNumbers w:val="0"/>
                    <w:jc w:val="center"/>
                    <w:textAlignment w:val="center"/>
                    <w:rPr>
                      <w:rFonts w:hint="default" w:ascii="宋体" w:hAnsi="宋体" w:eastAsia="宋体" w:cs="宋体"/>
                      <w:i w:val="0"/>
                      <w:iCs w:val="0"/>
                      <w:color w:val="auto"/>
                      <w:kern w:val="2"/>
                      <w:sz w:val="16"/>
                      <w:szCs w:val="16"/>
                      <w:highlight w:val="none"/>
                      <w:u w:val="none"/>
                      <w:lang w:val="en-US" w:eastAsia="zh-CN" w:bidi="ar-SA"/>
                    </w:rPr>
                  </w:pPr>
                  <w:r>
                    <w:rPr>
                      <w:rFonts w:hint="eastAsia" w:ascii="宋体" w:hAnsi="宋体" w:eastAsia="宋体" w:cs="宋体"/>
                      <w:i w:val="0"/>
                      <w:iCs w:val="0"/>
                      <w:color w:val="auto"/>
                      <w:kern w:val="2"/>
                      <w:sz w:val="16"/>
                      <w:szCs w:val="16"/>
                      <w:highlight w:val="none"/>
                      <w:u w:val="none"/>
                      <w:lang w:val="en-US" w:eastAsia="zh-CN" w:bidi="ar-SA"/>
                    </w:rPr>
                    <w:t>/</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4DF71">
                  <w:pPr>
                    <w:keepNext w:val="0"/>
                    <w:keepLines w:val="0"/>
                    <w:widowControl/>
                    <w:suppressLineNumbers w:val="0"/>
                    <w:jc w:val="center"/>
                    <w:textAlignment w:val="center"/>
                    <w:rPr>
                      <w:rFonts w:hint="eastAsia" w:ascii="宋体" w:hAnsi="宋体" w:eastAsia="宋体" w:cs="宋体"/>
                      <w:i w:val="0"/>
                      <w:iCs w:val="0"/>
                      <w:color w:val="auto"/>
                      <w:kern w:val="2"/>
                      <w:sz w:val="16"/>
                      <w:szCs w:val="16"/>
                      <w:highlight w:val="none"/>
                      <w:u w:val="none"/>
                      <w:lang w:val="en-US" w:eastAsia="zh-CN" w:bidi="ar-SA"/>
                    </w:rPr>
                  </w:pPr>
                </w:p>
              </w:tc>
            </w:tr>
            <w:tr w14:paraId="466B5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 w:hRule="atLeast"/>
                <w:jc w:val="center"/>
              </w:trPr>
              <w:tc>
                <w:tcPr>
                  <w:tcW w:w="52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8F8F69F">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2</w:t>
                  </w:r>
                </w:p>
              </w:tc>
              <w:tc>
                <w:tcPr>
                  <w:tcW w:w="12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E07D1F">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阵列式</w:t>
                  </w:r>
                </w:p>
              </w:tc>
              <w:tc>
                <w:tcPr>
                  <w:tcW w:w="99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6A07126">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076A2">
                  <w:pPr>
                    <w:jc w:val="center"/>
                    <w:rPr>
                      <w:rFonts w:hint="default"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w:t>
                  </w:r>
                </w:p>
              </w:tc>
              <w:tc>
                <w:tcPr>
                  <w:tcW w:w="129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3C10F29">
                  <w:pPr>
                    <w:keepNext w:val="0"/>
                    <w:keepLines w:val="0"/>
                    <w:widowControl/>
                    <w:suppressLineNumbers w:val="0"/>
                    <w:jc w:val="center"/>
                    <w:textAlignment w:val="center"/>
                    <w:rPr>
                      <w:rFonts w:hint="default"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w:t>
                  </w:r>
                </w:p>
              </w:tc>
              <w:tc>
                <w:tcPr>
                  <w:tcW w:w="846"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4347E38">
                  <w:pPr>
                    <w:keepNext w:val="0"/>
                    <w:keepLines w:val="0"/>
                    <w:widowControl/>
                    <w:suppressLineNumbers w:val="0"/>
                    <w:jc w:val="center"/>
                    <w:textAlignment w:val="center"/>
                    <w:rPr>
                      <w:rFonts w:hint="default" w:ascii="宋体" w:hAnsi="宋体" w:eastAsia="宋体" w:cs="宋体"/>
                      <w:i w:val="0"/>
                      <w:iCs w:val="0"/>
                      <w:color w:val="auto"/>
                      <w:sz w:val="16"/>
                      <w:szCs w:val="16"/>
                      <w:highlight w:val="none"/>
                      <w:u w:val="none"/>
                      <w:lang w:val="en-US" w:eastAsia="zh-CN"/>
                    </w:rPr>
                  </w:pPr>
                </w:p>
              </w:tc>
            </w:tr>
            <w:tr w14:paraId="18B21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52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35B0323">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3</w:t>
                  </w:r>
                </w:p>
              </w:tc>
              <w:tc>
                <w:tcPr>
                  <w:tcW w:w="12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B83D0CD">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rPr>
                  </w:pPr>
                  <w:r>
                    <w:rPr>
                      <w:rFonts w:hint="eastAsia" w:ascii="宋体" w:hAnsi="宋体" w:eastAsia="宋体" w:cs="宋体"/>
                      <w:i w:val="0"/>
                      <w:iCs w:val="0"/>
                      <w:color w:val="auto"/>
                      <w:kern w:val="0"/>
                      <w:sz w:val="16"/>
                      <w:szCs w:val="16"/>
                      <w:highlight w:val="none"/>
                      <w:u w:val="none"/>
                      <w:lang w:val="en-US" w:eastAsia="zh-CN" w:bidi="ar"/>
                    </w:rPr>
                    <w:t>棚架式（方通）</w:t>
                  </w:r>
                </w:p>
              </w:tc>
              <w:tc>
                <w:tcPr>
                  <w:tcW w:w="99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F952D18">
                  <w:pPr>
                    <w:keepNext w:val="0"/>
                    <w:keepLines w:val="0"/>
                    <w:widowControl/>
                    <w:suppressLineNumbers w:val="0"/>
                    <w:jc w:val="center"/>
                    <w:textAlignment w:val="center"/>
                    <w:rPr>
                      <w:rFonts w:hint="default" w:ascii="宋体" w:hAnsi="宋体" w:eastAsia="宋体" w:cs="宋体"/>
                      <w:i w:val="0"/>
                      <w:iCs w:val="0"/>
                      <w:color w:val="auto"/>
                      <w:sz w:val="16"/>
                      <w:szCs w:val="16"/>
                      <w:highlight w:val="none"/>
                      <w:u w:val="none"/>
                      <w:lang w:val="en-US"/>
                    </w:rPr>
                  </w:pPr>
                  <w:r>
                    <w:rPr>
                      <w:rFonts w:hint="eastAsia" w:ascii="宋体" w:hAnsi="宋体" w:eastAsia="宋体" w:cs="宋体"/>
                      <w:i w:val="0"/>
                      <w:iCs w:val="0"/>
                      <w:color w:val="auto"/>
                      <w:kern w:val="0"/>
                      <w:sz w:val="16"/>
                      <w:szCs w:val="16"/>
                      <w:highlight w:val="none"/>
                      <w:u w:val="none"/>
                      <w:lang w:val="en-US" w:eastAsia="zh-CN" w:bidi="ar"/>
                    </w:rPr>
                    <w:t>399.6</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82E5A">
                  <w:pPr>
                    <w:jc w:val="center"/>
                    <w:rPr>
                      <w:rFonts w:hint="default"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3.215</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6B87">
                  <w:pPr>
                    <w:keepNext w:val="0"/>
                    <w:keepLines w:val="0"/>
                    <w:widowControl/>
                    <w:suppressLineNumbers w:val="0"/>
                    <w:jc w:val="center"/>
                    <w:textAlignment w:val="center"/>
                    <w:rPr>
                      <w:rFonts w:hint="default" w:ascii="宋体" w:hAnsi="宋体" w:eastAsia="宋体" w:cs="宋体"/>
                      <w:i w:val="0"/>
                      <w:iCs w:val="0"/>
                      <w:color w:val="auto"/>
                      <w:sz w:val="16"/>
                      <w:szCs w:val="16"/>
                      <w:highlight w:val="none"/>
                      <w:u w:val="none"/>
                      <w:lang w:val="en-US" w:eastAsia="zh-CN"/>
                    </w:rPr>
                  </w:pPr>
                  <w:r>
                    <w:rPr>
                      <w:rFonts w:hint="default" w:ascii="宋体" w:hAnsi="宋体" w:eastAsia="宋体" w:cs="宋体"/>
                      <w:i w:val="0"/>
                      <w:iCs w:val="0"/>
                      <w:color w:val="auto"/>
                      <w:sz w:val="16"/>
                      <w:szCs w:val="16"/>
                      <w:highlight w:val="none"/>
                      <w:u w:val="none"/>
                      <w:lang w:val="en-US" w:eastAsia="zh-CN"/>
                    </w:rPr>
                    <w:t>1,284,714</w:t>
                  </w:r>
                  <w:r>
                    <w:rPr>
                      <w:rFonts w:hint="eastAsia" w:ascii="宋体" w:hAnsi="宋体" w:eastAsia="宋体" w:cs="宋体"/>
                      <w:i w:val="0"/>
                      <w:iCs w:val="0"/>
                      <w:color w:val="auto"/>
                      <w:sz w:val="16"/>
                      <w:szCs w:val="16"/>
                      <w:highlight w:val="none"/>
                      <w:u w:val="none"/>
                      <w:lang w:val="en-US" w:eastAsia="zh-CN"/>
                    </w:rPr>
                    <w:t>.00</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2E8F8">
                  <w:pPr>
                    <w:keepNext w:val="0"/>
                    <w:keepLines w:val="0"/>
                    <w:widowControl/>
                    <w:suppressLineNumbers w:val="0"/>
                    <w:jc w:val="center"/>
                    <w:textAlignment w:val="center"/>
                    <w:rPr>
                      <w:rFonts w:hint="default"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包干价，方通</w:t>
                  </w:r>
                </w:p>
              </w:tc>
            </w:tr>
            <w:tr w14:paraId="66C54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9D204F">
                  <w:pPr>
                    <w:keepNext w:val="0"/>
                    <w:keepLines w:val="0"/>
                    <w:widowControl/>
                    <w:suppressLineNumbers w:val="0"/>
                    <w:jc w:val="center"/>
                    <w:textAlignment w:val="center"/>
                    <w:rPr>
                      <w:rFonts w:hint="default"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4</w:t>
                  </w:r>
                </w:p>
              </w:tc>
              <w:tc>
                <w:tcPr>
                  <w:tcW w:w="609" w:type="dxa"/>
                  <w:tcBorders>
                    <w:top w:val="single" w:color="auto" w:sz="4" w:space="0"/>
                    <w:left w:val="single" w:color="auto" w:sz="4" w:space="0"/>
                    <w:bottom w:val="single" w:color="auto" w:sz="4" w:space="0"/>
                    <w:right w:val="single" w:color="auto" w:sz="4" w:space="0"/>
                  </w:tcBorders>
                  <w:shd w:val="clear" w:color="auto" w:fill="auto"/>
                  <w:vAlign w:val="center"/>
                </w:tcPr>
                <w:p w14:paraId="3C0124FF">
                  <w:pPr>
                    <w:jc w:val="center"/>
                    <w:rPr>
                      <w:rFonts w:hint="default"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其他</w:t>
                  </w:r>
                </w:p>
              </w:tc>
              <w:tc>
                <w:tcPr>
                  <w:tcW w:w="623" w:type="dxa"/>
                  <w:tcBorders>
                    <w:top w:val="single" w:color="auto" w:sz="4" w:space="0"/>
                    <w:left w:val="single" w:color="auto" w:sz="4" w:space="0"/>
                    <w:bottom w:val="single" w:color="auto" w:sz="4" w:space="0"/>
                    <w:right w:val="single" w:color="auto" w:sz="4" w:space="0"/>
                  </w:tcBorders>
                  <w:shd w:val="clear" w:color="auto" w:fill="auto"/>
                  <w:vAlign w:val="center"/>
                </w:tcPr>
                <w:p w14:paraId="7E4FDE96">
                  <w:pPr>
                    <w:keepNext w:val="0"/>
                    <w:keepLines w:val="0"/>
                    <w:widowControl/>
                    <w:suppressLineNumbers w:val="0"/>
                    <w:jc w:val="center"/>
                    <w:textAlignment w:val="center"/>
                    <w:rPr>
                      <w:rFonts w:hint="default"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场地平整</w:t>
                  </w:r>
                </w:p>
              </w:tc>
              <w:tc>
                <w:tcPr>
                  <w:tcW w:w="995" w:type="dxa"/>
                  <w:tcBorders>
                    <w:left w:val="single" w:color="auto" w:sz="4" w:space="0"/>
                    <w:right w:val="single" w:color="000000" w:sz="4" w:space="0"/>
                  </w:tcBorders>
                  <w:shd w:val="clear" w:color="auto" w:fill="auto"/>
                  <w:noWrap/>
                  <w:vAlign w:val="center"/>
                </w:tcPr>
                <w:p w14:paraId="14345489">
                  <w:pPr>
                    <w:keepNext w:val="0"/>
                    <w:keepLines w:val="0"/>
                    <w:widowControl/>
                    <w:suppressLineNumbers w:val="0"/>
                    <w:jc w:val="center"/>
                    <w:textAlignment w:val="center"/>
                    <w:rPr>
                      <w:rFonts w:hint="default"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i w:val="0"/>
                      <w:iCs w:val="0"/>
                      <w:color w:val="auto"/>
                      <w:kern w:val="0"/>
                      <w:sz w:val="16"/>
                      <w:szCs w:val="16"/>
                      <w:highlight w:val="none"/>
                      <w:u w:val="none"/>
                      <w:lang w:val="en-US" w:eastAsia="zh-CN" w:bidi="ar"/>
                    </w:rPr>
                    <w:t>399.6</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3E31F">
                  <w:pPr>
                    <w:jc w:val="center"/>
                    <w:rPr>
                      <w:rFonts w:hint="default"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0.047</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7E8A8">
                  <w:pPr>
                    <w:keepNext w:val="0"/>
                    <w:keepLines w:val="0"/>
                    <w:widowControl/>
                    <w:suppressLineNumbers w:val="0"/>
                    <w:jc w:val="center"/>
                    <w:textAlignment w:val="center"/>
                    <w:rPr>
                      <w:rFonts w:hint="default"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18,781.20</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E66F9">
                  <w:pPr>
                    <w:keepNext w:val="0"/>
                    <w:keepLines w:val="0"/>
                    <w:widowControl/>
                    <w:suppressLineNumbers w:val="0"/>
                    <w:jc w:val="center"/>
                    <w:textAlignment w:val="center"/>
                    <w:rPr>
                      <w:rFonts w:hint="eastAsia" w:ascii="宋体" w:hAnsi="宋体" w:eastAsia="宋体" w:cs="宋体"/>
                      <w:i w:val="0"/>
                      <w:iCs w:val="0"/>
                      <w:color w:val="auto"/>
                      <w:sz w:val="16"/>
                      <w:szCs w:val="16"/>
                      <w:highlight w:val="none"/>
                      <w:u w:val="none"/>
                      <w:lang w:val="en-US" w:eastAsia="zh-CN"/>
                    </w:rPr>
                  </w:pPr>
                  <w:r>
                    <w:rPr>
                      <w:rFonts w:hint="eastAsia" w:ascii="宋体" w:hAnsi="宋体" w:eastAsia="宋体" w:cs="宋体"/>
                      <w:i w:val="0"/>
                      <w:iCs w:val="0"/>
                      <w:color w:val="auto"/>
                      <w:sz w:val="16"/>
                      <w:szCs w:val="16"/>
                      <w:highlight w:val="none"/>
                      <w:u w:val="none"/>
                      <w:lang w:val="en-US" w:eastAsia="zh-CN"/>
                    </w:rPr>
                    <w:t>平整面积约780㎡，含楼顶杂物、隔热层清理、棚架拆除等</w:t>
                  </w:r>
                </w:p>
              </w:tc>
            </w:tr>
            <w:tr w14:paraId="47C82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8" w:hRule="atLeast"/>
                <w:jc w:val="center"/>
              </w:trPr>
              <w:tc>
                <w:tcPr>
                  <w:tcW w:w="112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5F20313">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合计</w:t>
                  </w:r>
                </w:p>
                <w:p w14:paraId="1AD66C88">
                  <w:pPr>
                    <w:jc w:val="center"/>
                    <w:rPr>
                      <w:rFonts w:hint="eastAsia" w:ascii="宋体" w:hAnsi="宋体" w:eastAsia="宋体" w:cs="宋体"/>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（含税）：</w:t>
                  </w:r>
                </w:p>
              </w:tc>
              <w:tc>
                <w:tcPr>
                  <w:tcW w:w="4633"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8BC3732">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小写：1,303,495.20元</w:t>
                  </w:r>
                </w:p>
              </w:tc>
            </w:tr>
            <w:tr w14:paraId="39016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jc w:val="center"/>
              </w:trPr>
              <w:tc>
                <w:tcPr>
                  <w:tcW w:w="5762"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14:paraId="12A00853">
                  <w:pPr>
                    <w:keepNext w:val="0"/>
                    <w:keepLines w:val="0"/>
                    <w:widowControl/>
                    <w:suppressLineNumbers w:val="0"/>
                    <w:jc w:val="center"/>
                    <w:textAlignment w:val="center"/>
                    <w:rPr>
                      <w:rFonts w:hint="eastAsia" w:ascii="宋体" w:hAnsi="宋体" w:eastAsia="宋体" w:cs="宋体"/>
                      <w:b/>
                      <w:bCs/>
                      <w:i w:val="0"/>
                      <w:iCs w:val="0"/>
                      <w:color w:val="auto"/>
                      <w:kern w:val="0"/>
                      <w:sz w:val="16"/>
                      <w:szCs w:val="16"/>
                      <w:highlight w:val="none"/>
                      <w:u w:val="none"/>
                      <w:lang w:val="en-US" w:eastAsia="zh-CN" w:bidi="ar"/>
                    </w:rPr>
                  </w:pPr>
                  <w:r>
                    <w:rPr>
                      <w:rFonts w:hint="eastAsia" w:ascii="宋体" w:hAnsi="宋体" w:eastAsia="宋体" w:cs="宋体"/>
                      <w:b/>
                      <w:bCs/>
                      <w:i w:val="0"/>
                      <w:iCs w:val="0"/>
                      <w:color w:val="auto"/>
                      <w:kern w:val="0"/>
                      <w:sz w:val="16"/>
                      <w:szCs w:val="16"/>
                      <w:highlight w:val="none"/>
                      <w:u w:val="none"/>
                      <w:lang w:val="en-US" w:eastAsia="zh-CN" w:bidi="ar"/>
                    </w:rPr>
                    <w:t>注：合同价以限价表中的单价根据投标下浮率进行下浮后保留三位小数（去尾法），总价以单价计算汇总金额结果为准，总价保留两位小数（四舍五入）</w:t>
                  </w:r>
                </w:p>
              </w:tc>
            </w:tr>
          </w:tbl>
          <w:p w14:paraId="574F11D2">
            <w:pPr>
              <w:pStyle w:val="11"/>
              <w:ind w:firstLine="420" w:firstLineChars="200"/>
              <w:rPr>
                <w:rFonts w:hint="eastAsia" w:ascii="宋体" w:hAnsi="宋体" w:eastAsia="宋体" w:cs="宋体"/>
                <w:color w:val="auto"/>
                <w:szCs w:val="21"/>
                <w:highlight w:val="yellow"/>
                <w:lang w:val="en-US" w:eastAsia="zh-CN"/>
              </w:rPr>
            </w:pPr>
          </w:p>
          <w:p w14:paraId="3570675D">
            <w:pPr>
              <w:pStyle w:val="11"/>
              <w:numPr>
                <w:ilvl w:val="0"/>
                <w:numId w:val="1"/>
              </w:numPr>
              <w:ind w:firstLine="420" w:firstLineChars="20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本项目采用下浮率方式报价，报价范围：3%-100%，投标下浮率报价不得大于或等于100%，不得为负数，且是固定唯一值。例：若投标人打9.7折，即投标下浮率为：3%。 </w:t>
            </w:r>
          </w:p>
        </w:tc>
      </w:tr>
      <w:tr w14:paraId="1763A4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06ACE109">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4</w:t>
            </w:r>
          </w:p>
        </w:tc>
        <w:tc>
          <w:tcPr>
            <w:tcW w:w="1501" w:type="dxa"/>
            <w:vAlign w:val="center"/>
          </w:tcPr>
          <w:p w14:paraId="6C9110CC">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付款方式</w:t>
            </w:r>
          </w:p>
        </w:tc>
        <w:tc>
          <w:tcPr>
            <w:tcW w:w="6466" w:type="dxa"/>
            <w:vAlign w:val="center"/>
          </w:tcPr>
          <w:p w14:paraId="27C07ACA">
            <w:pPr>
              <w:spacing w:line="360" w:lineRule="auto"/>
              <w:ind w:firstLine="422" w:firstLineChars="200"/>
              <w:rPr>
                <w:rFonts w:hint="eastAsia" w:ascii="宋体" w:hAnsi="宋体" w:eastAsia="宋体" w:cs="宋体"/>
                <w:b/>
                <w:bCs w:val="0"/>
                <w:color w:val="auto"/>
                <w:kern w:val="2"/>
                <w:sz w:val="21"/>
                <w:szCs w:val="21"/>
                <w:highlight w:val="none"/>
                <w:lang w:val="en-US" w:eastAsia="zh-CN"/>
              </w:rPr>
            </w:pPr>
            <w:r>
              <w:rPr>
                <w:rFonts w:hint="eastAsia" w:ascii="宋体" w:hAnsi="宋体" w:eastAsia="宋体" w:cs="宋体"/>
                <w:b/>
                <w:bCs w:val="0"/>
                <w:color w:val="auto"/>
                <w:kern w:val="2"/>
                <w:sz w:val="21"/>
                <w:szCs w:val="21"/>
                <w:highlight w:val="none"/>
                <w:lang w:val="en-US" w:eastAsia="zh-CN"/>
              </w:rPr>
              <w:t>工程款支付：</w:t>
            </w:r>
          </w:p>
          <w:p w14:paraId="08E2DD57">
            <w:pPr>
              <w:spacing w:line="360" w:lineRule="auto"/>
              <w:ind w:firstLine="420" w:firstLineChars="200"/>
              <w:rPr>
                <w:rFonts w:hint="eastAsia" w:ascii="宋体" w:hAnsi="宋体" w:eastAsia="宋体" w:cs="宋体"/>
                <w:b/>
                <w:bCs w:val="0"/>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1、预付款支付：本项目无预付款。</w:t>
            </w:r>
          </w:p>
          <w:p w14:paraId="6E1272E3">
            <w:pPr>
              <w:spacing w:line="360" w:lineRule="auto"/>
              <w:ind w:firstLine="420" w:firstLineChars="200"/>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(1)在规定期限内提供相关资料并配合负责发包人取得备案许可证，办理完成各种与本工程相关的报建、报装手续及施工所需开工报审、许可、证件等文件，包括但不限于办理施工许可证、报建手续、物业办电信用报告或供水供电报装证明、项目并网申请已受理、开工令相关文件等工作，同时完成视频监控系统（甲方负责人指定位置）安装投运并移交安全管理部（并网后再移交运营部）。待满足开工条件且取得甲方签证的开工报审页后，乙方可向甲方申请支付合同总金额的30%。</w:t>
            </w:r>
          </w:p>
          <w:p w14:paraId="5374866F">
            <w:pPr>
              <w:spacing w:line="360" w:lineRule="auto"/>
              <w:ind w:firstLine="420" w:firstLineChars="200"/>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(2)完成施工图纸设计并盖章，同时主设备（光伏组件、并网逆变器、光伏并网柜、交流电缆、独立接地极）到进场工地并经甲方验收合格，同时接地系统施工完成并取得验收合格证明后，乙方可向甲方申请支付合同总金额的30%。如出现农民工闹事，在未结清农民工款项之前，甲方有权暂缓支付该款项。</w:t>
            </w:r>
          </w:p>
          <w:p w14:paraId="5E7A103D">
            <w:pPr>
              <w:spacing w:line="360" w:lineRule="auto"/>
              <w:ind w:firstLine="420" w:firstLineChars="200"/>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(3)工程现场安装调试完毕并经相关部门验收合格，同时完成并网投运后,乙方可向甲方申请支付合同总金额的20%。如出现农民工闹事，在未结清农民工款项之前，甲方有权暂缓支付该款项。</w:t>
            </w:r>
          </w:p>
          <w:p w14:paraId="6B4859BA">
            <w:pPr>
              <w:spacing w:line="360" w:lineRule="auto"/>
              <w:ind w:firstLine="420" w:firstLineChars="200"/>
              <w:rPr>
                <w:rFonts w:hint="eastAsia" w:ascii="宋体" w:hAnsi="宋体" w:eastAsia="宋体" w:cs="宋体"/>
                <w:color w:val="auto"/>
                <w:sz w:val="21"/>
                <w:szCs w:val="22"/>
                <w:highlight w:val="none"/>
                <w:lang w:val="en-US" w:eastAsia="zh-CN" w:bidi="ar-SA"/>
              </w:rPr>
            </w:pPr>
            <w:r>
              <w:rPr>
                <w:rFonts w:hint="eastAsia" w:ascii="宋体" w:hAnsi="宋体" w:eastAsia="宋体" w:cs="宋体"/>
                <w:bCs/>
                <w:color w:val="auto"/>
                <w:kern w:val="2"/>
                <w:sz w:val="21"/>
                <w:szCs w:val="21"/>
                <w:highlight w:val="none"/>
                <w:lang w:val="en-US" w:eastAsia="zh-CN"/>
              </w:rPr>
              <w:t>(4)工程通过甲方竣工验收并移交甲方竣工资料，同时办理完成结算后，乙方可向甲方申请支付至合同总结算金额的97%，留本工程合同总结算金额的3%作为质量保修金留置在甲方处。自本工程保修期届满后，甲方扣除乙方应付的维修、维护及质量损失赔偿金等金额后乙方可向甲方申请无息退还。如出现农民工闹事，在未结清农民工款项之前，甲方有权暂缓支付该款项。</w:t>
            </w:r>
          </w:p>
        </w:tc>
      </w:tr>
      <w:tr w14:paraId="0F98FC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0B7D6EED">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5</w:t>
            </w:r>
          </w:p>
        </w:tc>
        <w:tc>
          <w:tcPr>
            <w:tcW w:w="1501" w:type="dxa"/>
            <w:vAlign w:val="center"/>
          </w:tcPr>
          <w:p w14:paraId="5F57871F">
            <w:pPr>
              <w:keepNext w:val="0"/>
              <w:keepLines w:val="0"/>
              <w:pageBreakBefore w:val="0"/>
              <w:widowControl/>
              <w:kinsoku/>
              <w:wordWrap/>
              <w:overflowPunct/>
              <w:topLinePunct w:val="0"/>
              <w:autoSpaceDE/>
              <w:autoSpaceDN/>
              <w:bidi w:val="0"/>
              <w:adjustRightInd w:val="0"/>
              <w:snapToGrid w:val="0"/>
              <w:spacing w:before="157" w:beforeLines="50" w:after="157" w:afterLines="50" w:line="240" w:lineRule="auto"/>
              <w:jc w:val="center"/>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eastAsia="zh-CN"/>
              </w:rPr>
              <w:t>结算说明</w:t>
            </w:r>
          </w:p>
        </w:tc>
        <w:tc>
          <w:tcPr>
            <w:tcW w:w="6466" w:type="dxa"/>
            <w:vAlign w:val="center"/>
          </w:tcPr>
          <w:p w14:paraId="326D78BE">
            <w:pPr>
              <w:tabs>
                <w:tab w:val="center" w:pos="3125"/>
              </w:tabs>
              <w:ind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合同价格形式</w:t>
            </w:r>
          </w:p>
          <w:p w14:paraId="38F4690E">
            <w:pPr>
              <w:ind w:firstLine="420" w:firstLineChars="20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结算以暂定总价、固定每瓦单价总承包的方式。</w:t>
            </w:r>
          </w:p>
          <w:p w14:paraId="09DF3E2E">
            <w:pPr>
              <w:ind w:firstLine="0" w:firstLineChars="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（1） 本项目拟安装666块600Wp 单晶硅高效组件，总安装容量399.6kWp</w:t>
            </w:r>
            <w:r>
              <w:rPr>
                <w:rFonts w:hint="eastAsia" w:ascii="宋体" w:hAnsi="宋体" w:eastAsia="宋体" w:cs="宋体"/>
                <w:b w:val="0"/>
                <w:bCs/>
                <w:color w:val="auto"/>
                <w:kern w:val="2"/>
                <w:sz w:val="21"/>
                <w:szCs w:val="21"/>
                <w:highlight w:val="none"/>
                <w:lang w:val="en-US" w:eastAsia="zh-CN" w:bidi="ar-SA"/>
              </w:rPr>
              <w:t>。本合同承包范围内的内容总价包干，除容量变动外双方不得以任何理由调整总价。</w:t>
            </w:r>
          </w:p>
          <w:p w14:paraId="0EB96FB5">
            <w:pPr>
              <w:ind w:firstLine="0" w:firstLineChars="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2）在组件及支架安装数量不变的情况下，如果因单块组件容量增大导致实际装机容量增大，如580Wp改为585Wp，仍按单块组件580Wp计算总装机容量来结算总价，如组件单块容量不变，安装组件数量增多，可按照实际装机容量结算。</w:t>
            </w:r>
          </w:p>
        </w:tc>
      </w:tr>
      <w:tr w14:paraId="22B1CD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4C681312">
            <w:pPr>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1501" w:type="dxa"/>
            <w:vAlign w:val="center"/>
          </w:tcPr>
          <w:p w14:paraId="51A0B6B4">
            <w:pPr>
              <w:keepNext w:val="0"/>
              <w:keepLines w:val="0"/>
              <w:pageBreakBefore w:val="0"/>
              <w:widowControl/>
              <w:kinsoku/>
              <w:wordWrap/>
              <w:overflowPunct/>
              <w:topLinePunct w:val="0"/>
              <w:autoSpaceDE/>
              <w:autoSpaceDN/>
              <w:bidi w:val="0"/>
              <w:adjustRightInd w:val="0"/>
              <w:snapToGrid w:val="0"/>
              <w:spacing w:before="157" w:beforeLines="50" w:after="157" w:afterLines="50" w:line="240" w:lineRule="auto"/>
              <w:jc w:val="center"/>
              <w:textAlignment w:val="auto"/>
              <w:rPr>
                <w:rFonts w:hint="default"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质保期</w:t>
            </w:r>
          </w:p>
        </w:tc>
        <w:tc>
          <w:tcPr>
            <w:tcW w:w="6466" w:type="dxa"/>
            <w:vAlign w:val="center"/>
          </w:tcPr>
          <w:p w14:paraId="515F6E85">
            <w:pPr>
              <w:ind w:firstLine="420" w:firstLineChars="200"/>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质保期为项目验收合格后</w:t>
            </w:r>
            <w:r>
              <w:rPr>
                <w:rFonts w:hint="eastAsia" w:ascii="宋体" w:hAnsi="宋体" w:eastAsia="宋体" w:cs="宋体"/>
                <w:b w:val="0"/>
                <w:bCs/>
                <w:color w:val="auto"/>
                <w:kern w:val="2"/>
                <w:sz w:val="21"/>
                <w:szCs w:val="21"/>
                <w:highlight w:val="none"/>
                <w:u w:val="single"/>
                <w:lang w:val="en-US" w:eastAsia="zh-CN" w:bidi="ar-SA"/>
              </w:rPr>
              <w:t xml:space="preserve">  2  </w:t>
            </w:r>
            <w:r>
              <w:rPr>
                <w:rFonts w:hint="eastAsia" w:ascii="宋体" w:hAnsi="宋体" w:eastAsia="宋体" w:cs="宋体"/>
                <w:b w:val="0"/>
                <w:bCs/>
                <w:color w:val="auto"/>
                <w:kern w:val="2"/>
                <w:sz w:val="21"/>
                <w:szCs w:val="21"/>
                <w:highlight w:val="none"/>
                <w:lang w:val="en-US" w:eastAsia="zh-CN" w:bidi="ar-SA"/>
              </w:rPr>
              <w:t>年，如个体设备有更高要求的，遵循更高要求。</w:t>
            </w:r>
          </w:p>
        </w:tc>
      </w:tr>
      <w:tr w14:paraId="4A6773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8" w:hRule="atLeast"/>
        </w:trPr>
        <w:tc>
          <w:tcPr>
            <w:tcW w:w="718" w:type="dxa"/>
            <w:vAlign w:val="center"/>
          </w:tcPr>
          <w:p w14:paraId="642EFFC5">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7</w:t>
            </w:r>
          </w:p>
        </w:tc>
        <w:tc>
          <w:tcPr>
            <w:tcW w:w="1501" w:type="dxa"/>
            <w:vAlign w:val="center"/>
          </w:tcPr>
          <w:p w14:paraId="3778D46C">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投标有效期</w:t>
            </w:r>
          </w:p>
        </w:tc>
        <w:tc>
          <w:tcPr>
            <w:tcW w:w="6466" w:type="dxa"/>
            <w:vAlign w:val="center"/>
          </w:tcPr>
          <w:p w14:paraId="44F535D6">
            <w:pPr>
              <w:tabs>
                <w:tab w:val="center" w:pos="3125"/>
              </w:tabs>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自开标之日起90天。</w:t>
            </w:r>
          </w:p>
        </w:tc>
      </w:tr>
      <w:tr w14:paraId="5DD535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718" w:type="dxa"/>
            <w:vAlign w:val="center"/>
          </w:tcPr>
          <w:p w14:paraId="10AB9FB0">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8</w:t>
            </w:r>
          </w:p>
        </w:tc>
        <w:tc>
          <w:tcPr>
            <w:tcW w:w="1501" w:type="dxa"/>
            <w:vAlign w:val="center"/>
          </w:tcPr>
          <w:p w14:paraId="07A69FEA">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合同条款</w:t>
            </w:r>
          </w:p>
        </w:tc>
        <w:tc>
          <w:tcPr>
            <w:tcW w:w="6466" w:type="dxa"/>
            <w:vAlign w:val="center"/>
          </w:tcPr>
          <w:p w14:paraId="249B1EFF">
            <w:pPr>
              <w:ind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Cs w:val="21"/>
                <w:highlight w:val="none"/>
              </w:rPr>
              <w:t>投标人实质响应合同各条款。</w:t>
            </w:r>
          </w:p>
        </w:tc>
      </w:tr>
      <w:tr w14:paraId="3D6539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35" w:hRule="atLeast"/>
        </w:trPr>
        <w:tc>
          <w:tcPr>
            <w:tcW w:w="718" w:type="dxa"/>
            <w:vAlign w:val="center"/>
          </w:tcPr>
          <w:p w14:paraId="49F1B8E9">
            <w:pPr>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w:t>
            </w:r>
          </w:p>
        </w:tc>
        <w:tc>
          <w:tcPr>
            <w:tcW w:w="1501" w:type="dxa"/>
            <w:vAlign w:val="center"/>
          </w:tcPr>
          <w:p w14:paraId="3AF5D69D">
            <w:pPr>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其他要求</w:t>
            </w:r>
          </w:p>
        </w:tc>
        <w:tc>
          <w:tcPr>
            <w:tcW w:w="6466" w:type="dxa"/>
            <w:vAlign w:val="center"/>
          </w:tcPr>
          <w:p w14:paraId="56DB18E5">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1、投标人须执行国家、省或行业现行的相关质量验收标准及规范，须达到合格标准，并通过当地相关供电部门的并网验收。</w:t>
            </w:r>
          </w:p>
          <w:p w14:paraId="66DC845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2、符合国家、省、市安全生产、文明施工管理相关规定，承诺达到合格标准。</w:t>
            </w:r>
          </w:p>
          <w:p w14:paraId="66F3C88E">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color w:val="auto"/>
                <w:kern w:val="2"/>
                <w:sz w:val="21"/>
                <w:szCs w:val="21"/>
                <w:highlight w:val="none"/>
              </w:rPr>
            </w:pPr>
            <w:r>
              <w:rPr>
                <w:rFonts w:hint="eastAsia" w:ascii="宋体" w:hAnsi="宋体" w:eastAsia="宋体" w:cs="宋体"/>
                <w:b w:val="0"/>
                <w:bCs/>
                <w:color w:val="auto"/>
                <w:kern w:val="2"/>
                <w:sz w:val="21"/>
                <w:szCs w:val="21"/>
                <w:highlight w:val="none"/>
                <w:lang w:val="en-US" w:eastAsia="zh-CN" w:bidi="ar-SA"/>
              </w:rPr>
              <w:t>3、</w:t>
            </w:r>
            <w:r>
              <w:rPr>
                <w:rFonts w:hint="eastAsia" w:ascii="宋体" w:hAnsi="宋体" w:eastAsia="宋体" w:cs="宋体"/>
                <w:b w:val="0"/>
                <w:bCs/>
                <w:color w:val="auto"/>
                <w:kern w:val="2"/>
                <w:sz w:val="21"/>
                <w:szCs w:val="21"/>
                <w:highlight w:val="none"/>
              </w:rPr>
              <w:t>遵守采购人下属工程技术部编制的《工程管理制度汇编》中的承包商管理条款。</w:t>
            </w:r>
          </w:p>
          <w:p w14:paraId="6FF4B3DA">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color w:val="auto"/>
                <w:kern w:val="2"/>
                <w:sz w:val="21"/>
                <w:szCs w:val="21"/>
                <w:highlight w:val="none"/>
              </w:rPr>
            </w:pPr>
            <w:r>
              <w:rPr>
                <w:rFonts w:hint="eastAsia" w:ascii="宋体" w:hAnsi="宋体" w:cs="宋体"/>
                <w:b w:val="0"/>
                <w:bCs/>
                <w:color w:val="auto"/>
                <w:kern w:val="2"/>
                <w:sz w:val="21"/>
                <w:szCs w:val="21"/>
                <w:highlight w:val="none"/>
                <w:lang w:val="en-US" w:eastAsia="zh-CN"/>
              </w:rPr>
              <w:t>4、</w:t>
            </w:r>
            <w:r>
              <w:rPr>
                <w:rFonts w:hint="eastAsia" w:ascii="宋体" w:hAnsi="宋体" w:eastAsia="宋体" w:cs="宋体"/>
                <w:b w:val="0"/>
                <w:bCs/>
                <w:color w:val="auto"/>
                <w:kern w:val="2"/>
                <w:sz w:val="21"/>
                <w:szCs w:val="21"/>
                <w:highlight w:val="none"/>
              </w:rPr>
              <w:t>本项目的设计过程和成果必须符合国家、广东省、东莞市颁布的有关设计方面的现行标准、规范、规程、定额、办法，满足</w:t>
            </w:r>
            <w:r>
              <w:rPr>
                <w:rFonts w:hint="eastAsia" w:ascii="宋体" w:hAnsi="宋体" w:cs="宋体"/>
                <w:b w:val="0"/>
                <w:bCs/>
                <w:color w:val="auto"/>
                <w:kern w:val="2"/>
                <w:sz w:val="21"/>
                <w:szCs w:val="21"/>
                <w:highlight w:val="none"/>
                <w:lang w:val="en-US" w:eastAsia="zh-CN"/>
              </w:rPr>
              <w:t>采购</w:t>
            </w:r>
            <w:r>
              <w:rPr>
                <w:rFonts w:hint="eastAsia" w:ascii="宋体" w:hAnsi="宋体" w:eastAsia="宋体" w:cs="宋体"/>
                <w:b w:val="0"/>
                <w:bCs/>
                <w:color w:val="auto"/>
                <w:kern w:val="2"/>
                <w:sz w:val="21"/>
                <w:szCs w:val="21"/>
                <w:highlight w:val="none"/>
              </w:rPr>
              <w:t>人的相关功能需求，并通过</w:t>
            </w:r>
            <w:r>
              <w:rPr>
                <w:rFonts w:hint="eastAsia" w:ascii="宋体" w:hAnsi="宋体" w:cs="宋体"/>
                <w:b w:val="0"/>
                <w:bCs/>
                <w:color w:val="auto"/>
                <w:kern w:val="2"/>
                <w:sz w:val="21"/>
                <w:szCs w:val="21"/>
                <w:highlight w:val="none"/>
                <w:lang w:val="en-US" w:eastAsia="zh-CN"/>
              </w:rPr>
              <w:t>采购</w:t>
            </w:r>
            <w:r>
              <w:rPr>
                <w:rFonts w:hint="eastAsia" w:ascii="宋体" w:hAnsi="宋体" w:eastAsia="宋体" w:cs="宋体"/>
                <w:b w:val="0"/>
                <w:bCs/>
                <w:color w:val="auto"/>
                <w:kern w:val="2"/>
                <w:sz w:val="21"/>
                <w:szCs w:val="21"/>
                <w:highlight w:val="none"/>
              </w:rPr>
              <w:t>人及有关部门或专业审图机构的审查。在设计过程中，如果国家或有关部门颁发了新的技术标准或规范，应采用新的标准或规范进行设计。</w:t>
            </w:r>
          </w:p>
          <w:p w14:paraId="41A73214">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default" w:ascii="宋体" w:hAnsi="宋体" w:cs="宋体"/>
                <w:bCs/>
                <w:color w:val="auto"/>
                <w:kern w:val="2"/>
                <w:szCs w:val="21"/>
                <w:highlight w:val="none"/>
                <w:lang w:val="en-US" w:eastAsia="zh-CN"/>
              </w:rPr>
            </w:pPr>
            <w:r>
              <w:rPr>
                <w:rFonts w:hint="eastAsia" w:ascii="宋体" w:hAnsi="宋体" w:cs="宋体"/>
                <w:bCs/>
                <w:color w:val="auto"/>
                <w:kern w:val="2"/>
                <w:szCs w:val="21"/>
                <w:highlight w:val="none"/>
                <w:lang w:val="en-US" w:eastAsia="zh-CN"/>
              </w:rPr>
              <w:t>5</w:t>
            </w:r>
            <w:r>
              <w:rPr>
                <w:rFonts w:hint="default" w:ascii="宋体" w:hAnsi="宋体" w:cs="宋体"/>
                <w:bCs/>
                <w:color w:val="auto"/>
                <w:kern w:val="2"/>
                <w:szCs w:val="21"/>
                <w:highlight w:val="none"/>
                <w:lang w:val="en-US" w:eastAsia="zh-CN"/>
              </w:rPr>
              <w:t>、</w:t>
            </w:r>
            <w:r>
              <w:rPr>
                <w:rFonts w:hint="eastAsia" w:ascii="宋体" w:hAnsi="宋体" w:cs="宋体"/>
                <w:bCs/>
                <w:color w:val="auto"/>
                <w:kern w:val="2"/>
                <w:szCs w:val="21"/>
                <w:highlight w:val="none"/>
                <w:lang w:val="en-US" w:eastAsia="zh-CN"/>
              </w:rPr>
              <w:t>若光伏项目用能方与采购人的</w:t>
            </w:r>
            <w:r>
              <w:rPr>
                <w:rFonts w:hint="default" w:ascii="宋体" w:hAnsi="宋体" w:cs="宋体"/>
                <w:bCs/>
                <w:color w:val="auto"/>
                <w:kern w:val="2"/>
                <w:szCs w:val="21"/>
                <w:highlight w:val="none"/>
                <w:lang w:val="en-US" w:eastAsia="zh-CN"/>
              </w:rPr>
              <w:t>《</w:t>
            </w:r>
            <w:r>
              <w:rPr>
                <w:rFonts w:hint="eastAsia" w:ascii="宋体" w:hAnsi="宋体" w:cs="宋体"/>
                <w:bCs/>
                <w:color w:val="auto"/>
                <w:kern w:val="2"/>
                <w:szCs w:val="21"/>
                <w:highlight w:val="none"/>
                <w:lang w:val="en-US" w:eastAsia="zh-CN"/>
              </w:rPr>
              <w:t>合同</w:t>
            </w:r>
            <w:r>
              <w:rPr>
                <w:rFonts w:hint="default" w:ascii="宋体" w:hAnsi="宋体" w:cs="宋体"/>
                <w:bCs/>
                <w:color w:val="auto"/>
                <w:kern w:val="2"/>
                <w:szCs w:val="21"/>
                <w:highlight w:val="none"/>
                <w:lang w:val="en-US" w:eastAsia="zh-CN"/>
              </w:rPr>
              <w:t>能源管理合同》</w:t>
            </w:r>
            <w:r>
              <w:rPr>
                <w:rFonts w:hint="eastAsia" w:ascii="宋体" w:hAnsi="宋体" w:cs="宋体"/>
                <w:bCs/>
                <w:color w:val="auto"/>
                <w:kern w:val="2"/>
                <w:szCs w:val="21"/>
                <w:highlight w:val="none"/>
                <w:lang w:val="en-US" w:eastAsia="zh-CN"/>
              </w:rPr>
              <w:t>解除</w:t>
            </w:r>
            <w:r>
              <w:rPr>
                <w:rFonts w:hint="default" w:ascii="宋体" w:hAnsi="宋体" w:cs="宋体"/>
                <w:bCs/>
                <w:color w:val="auto"/>
                <w:kern w:val="2"/>
                <w:szCs w:val="21"/>
                <w:highlight w:val="none"/>
                <w:lang w:val="en-US" w:eastAsia="zh-CN"/>
              </w:rPr>
              <w:t>，</w:t>
            </w:r>
            <w:r>
              <w:rPr>
                <w:rFonts w:hint="eastAsia" w:ascii="宋体" w:hAnsi="宋体" w:cs="宋体"/>
                <w:bCs/>
                <w:color w:val="auto"/>
                <w:kern w:val="2"/>
                <w:szCs w:val="21"/>
                <w:highlight w:val="none"/>
                <w:lang w:val="en-US" w:eastAsia="zh-CN"/>
              </w:rPr>
              <w:t>导致采购人无法实施投资建设光伏项目</w:t>
            </w:r>
            <w:r>
              <w:rPr>
                <w:rFonts w:hint="default" w:ascii="宋体" w:hAnsi="宋体" w:cs="宋体"/>
                <w:bCs/>
                <w:color w:val="auto"/>
                <w:kern w:val="2"/>
                <w:szCs w:val="21"/>
                <w:highlight w:val="none"/>
                <w:lang w:val="en-US" w:eastAsia="zh-CN"/>
              </w:rPr>
              <w:t>，则</w:t>
            </w:r>
            <w:r>
              <w:rPr>
                <w:rFonts w:hint="eastAsia" w:ascii="宋体" w:hAnsi="宋体" w:cs="宋体"/>
                <w:bCs/>
                <w:color w:val="auto"/>
                <w:kern w:val="2"/>
                <w:szCs w:val="21"/>
                <w:highlight w:val="none"/>
                <w:lang w:val="en-US" w:eastAsia="zh-CN"/>
              </w:rPr>
              <w:t>本</w:t>
            </w:r>
            <w:r>
              <w:rPr>
                <w:rFonts w:hint="default" w:ascii="宋体" w:hAnsi="宋体" w:cs="宋体"/>
                <w:bCs/>
                <w:color w:val="auto"/>
                <w:kern w:val="2"/>
                <w:szCs w:val="21"/>
                <w:highlight w:val="none"/>
                <w:lang w:val="en-US" w:eastAsia="zh-CN"/>
              </w:rPr>
              <w:t>《光伏项目总承包合同》同步</w:t>
            </w:r>
            <w:r>
              <w:rPr>
                <w:rFonts w:hint="eastAsia" w:ascii="宋体" w:hAnsi="宋体" w:cs="宋体"/>
                <w:bCs/>
                <w:color w:val="auto"/>
                <w:kern w:val="2"/>
                <w:szCs w:val="21"/>
                <w:highlight w:val="none"/>
                <w:lang w:val="en-US" w:eastAsia="zh-CN"/>
              </w:rPr>
              <w:t>解除</w:t>
            </w:r>
            <w:r>
              <w:rPr>
                <w:rFonts w:hint="default" w:ascii="宋体" w:hAnsi="宋体" w:cs="宋体"/>
                <w:bCs/>
                <w:color w:val="auto"/>
                <w:kern w:val="2"/>
                <w:szCs w:val="21"/>
                <w:highlight w:val="none"/>
                <w:lang w:val="en-US" w:eastAsia="zh-CN"/>
              </w:rPr>
              <w:t>。为参与该项目招采活动而产生的所有费用（包括</w:t>
            </w:r>
            <w:r>
              <w:rPr>
                <w:rFonts w:hint="eastAsia" w:ascii="宋体" w:hAnsi="宋体" w:cs="宋体"/>
                <w:bCs/>
                <w:color w:val="auto"/>
                <w:kern w:val="2"/>
                <w:szCs w:val="21"/>
                <w:highlight w:val="none"/>
                <w:lang w:val="en-US" w:eastAsia="zh-CN"/>
              </w:rPr>
              <w:t>但不限于</w:t>
            </w:r>
            <w:r>
              <w:rPr>
                <w:rFonts w:hint="default" w:ascii="宋体" w:hAnsi="宋体" w:cs="宋体"/>
                <w:bCs/>
                <w:color w:val="auto"/>
                <w:kern w:val="2"/>
                <w:szCs w:val="21"/>
                <w:highlight w:val="none"/>
                <w:lang w:val="en-US" w:eastAsia="zh-CN"/>
              </w:rPr>
              <w:t>交通费、咨询费、标书制作费、打印费、招标代理服务费等）由投标单位自行承担。</w:t>
            </w:r>
          </w:p>
          <w:p w14:paraId="28D9A90D">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default" w:ascii="宋体" w:hAnsi="宋体" w:cs="宋体"/>
                <w:bCs/>
                <w:color w:val="auto"/>
                <w:kern w:val="2"/>
                <w:szCs w:val="21"/>
                <w:highlight w:val="none"/>
                <w:lang w:val="en-US" w:eastAsia="zh-CN"/>
              </w:rPr>
            </w:pPr>
            <w:r>
              <w:rPr>
                <w:rFonts w:hint="eastAsia" w:ascii="宋体" w:hAnsi="宋体" w:cs="宋体"/>
                <w:bCs/>
                <w:color w:val="auto"/>
                <w:kern w:val="2"/>
                <w:szCs w:val="21"/>
                <w:highlight w:val="none"/>
                <w:lang w:val="en-US" w:eastAsia="zh-CN"/>
              </w:rPr>
              <w:t>6</w:t>
            </w:r>
            <w:r>
              <w:rPr>
                <w:rFonts w:hint="default" w:ascii="宋体" w:hAnsi="宋体" w:cs="宋体"/>
                <w:bCs/>
                <w:color w:val="auto"/>
                <w:kern w:val="2"/>
                <w:szCs w:val="21"/>
                <w:highlight w:val="none"/>
                <w:lang w:val="en-US" w:eastAsia="zh-CN"/>
              </w:rPr>
              <w:t>、中标单位应在中标后30天内完成物业办电信用报告或供水供电报装证明手续并进场。因中标单位无法完成供电报装等原因导致项目进度滞后，采购人有权解除《光伏项目总承包合同》，中标单位需自行承担相应的损失。</w:t>
            </w:r>
          </w:p>
        </w:tc>
      </w:tr>
    </w:tbl>
    <w:p w14:paraId="31FB2F4F">
      <w:pPr>
        <w:shd w:val="clear"/>
        <w:rPr>
          <w:rFonts w:ascii="宋体" w:hAnsi="宋体"/>
          <w:color w:val="auto"/>
          <w:highlight w:val="none"/>
        </w:rPr>
      </w:pPr>
      <w:r>
        <w:rPr>
          <w:rFonts w:hint="eastAsia" w:ascii="宋体" w:hAnsi="宋体"/>
          <w:color w:val="auto"/>
          <w:highlight w:val="none"/>
        </w:rPr>
        <w:br w:type="page"/>
      </w:r>
    </w:p>
    <w:p w14:paraId="0EFFB569">
      <w:pPr>
        <w:pStyle w:val="7"/>
        <w:shd w:val="clear"/>
        <w:spacing w:before="0" w:after="0" w:line="360" w:lineRule="auto"/>
        <w:jc w:val="center"/>
        <w:rPr>
          <w:color w:val="auto"/>
          <w:highlight w:val="none"/>
        </w:rPr>
      </w:pPr>
      <w:bookmarkStart w:id="15" w:name="_Toc22372"/>
      <w:r>
        <w:rPr>
          <w:rFonts w:hint="eastAsia" w:ascii="宋体" w:hAnsi="宋体"/>
          <w:color w:val="auto"/>
          <w:highlight w:val="none"/>
        </w:rPr>
        <w:t>第二章 技术需求书</w:t>
      </w:r>
      <w:bookmarkEnd w:id="14"/>
      <w:bookmarkEnd w:id="15"/>
    </w:p>
    <w:bookmarkEnd w:id="9"/>
    <w:bookmarkEnd w:id="10"/>
    <w:bookmarkEnd w:id="11"/>
    <w:bookmarkEnd w:id="12"/>
    <w:bookmarkEnd w:id="13"/>
    <w:p w14:paraId="22878773">
      <w:pPr>
        <w:numPr>
          <w:ilvl w:val="0"/>
          <w:numId w:val="0"/>
        </w:numPr>
        <w:rPr>
          <w:rFonts w:hint="eastAsia" w:ascii="仿宋_GB2312" w:hAnsi="仿宋_GB2312" w:eastAsia="仿宋_GB2312" w:cs="仿宋_GB2312"/>
          <w:color w:val="auto"/>
          <w:sz w:val="28"/>
          <w:szCs w:val="36"/>
          <w:lang w:val="en-US" w:eastAsia="zh-CN"/>
        </w:rPr>
      </w:pPr>
      <w:r>
        <w:rPr>
          <w:rFonts w:hint="eastAsia" w:ascii="仿宋_GB2312" w:hAnsi="仿宋_GB2312" w:eastAsia="仿宋_GB2312" w:cs="仿宋_GB2312"/>
          <w:color w:val="auto"/>
          <w:kern w:val="2"/>
          <w:sz w:val="28"/>
          <w:szCs w:val="36"/>
          <w:lang w:val="en-US" w:eastAsia="zh-CN" w:bidi="ar-SA"/>
        </w:rPr>
        <w:t>一、</w:t>
      </w:r>
      <w:r>
        <w:rPr>
          <w:rFonts w:hint="eastAsia" w:ascii="仿宋_GB2312" w:hAnsi="仿宋_GB2312" w:eastAsia="仿宋_GB2312" w:cs="仿宋_GB2312"/>
          <w:color w:val="auto"/>
          <w:sz w:val="28"/>
          <w:szCs w:val="36"/>
          <w:lang w:val="en-US" w:eastAsia="zh-CN"/>
        </w:rPr>
        <w:t>项目概况</w:t>
      </w:r>
    </w:p>
    <w:p w14:paraId="0C8D9CB8">
      <w:pPr>
        <w:numPr>
          <w:ilvl w:val="0"/>
          <w:numId w:val="0"/>
        </w:numPr>
        <w:rPr>
          <w:rFonts w:hint="eastAsia" w:ascii="仿宋_GB2312" w:hAnsi="仿宋_GB2312" w:eastAsia="仿宋_GB2312" w:cs="仿宋_GB2312"/>
          <w:color w:val="auto"/>
          <w:sz w:val="28"/>
          <w:szCs w:val="36"/>
          <w:lang w:val="en-US" w:eastAsia="zh-CN"/>
        </w:rPr>
      </w:pPr>
      <w:r>
        <w:rPr>
          <w:rFonts w:hint="eastAsia" w:ascii="仿宋_GB2312" w:hAnsi="仿宋_GB2312" w:eastAsia="仿宋_GB2312" w:cs="仿宋_GB2312"/>
          <w:color w:val="auto"/>
          <w:sz w:val="28"/>
          <w:szCs w:val="36"/>
          <w:lang w:val="en-US" w:eastAsia="zh-CN"/>
        </w:rPr>
        <w:t>1.1现场图片</w:t>
      </w:r>
    </w:p>
    <w:p w14:paraId="29FB72A4">
      <w:pPr>
        <w:numPr>
          <w:ilvl w:val="0"/>
          <w:numId w:val="0"/>
        </w:numPr>
        <w:rPr>
          <w:rFonts w:hint="eastAsia" w:eastAsiaTheme="minorEastAsia"/>
          <w:color w:val="auto"/>
          <w:lang w:eastAsia="zh-CN"/>
        </w:rPr>
      </w:pPr>
      <w:r>
        <w:drawing>
          <wp:inline distT="0" distB="0" distL="114300" distR="114300">
            <wp:extent cx="5264785" cy="2959735"/>
            <wp:effectExtent l="0" t="0" r="1206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4"/>
                    <a:stretch>
                      <a:fillRect/>
                    </a:stretch>
                  </pic:blipFill>
                  <pic:spPr>
                    <a:xfrm>
                      <a:off x="0" y="0"/>
                      <a:ext cx="5264785" cy="2959735"/>
                    </a:xfrm>
                    <a:prstGeom prst="rect">
                      <a:avLst/>
                    </a:prstGeom>
                    <a:noFill/>
                    <a:ln>
                      <a:noFill/>
                    </a:ln>
                  </pic:spPr>
                </pic:pic>
              </a:graphicData>
            </a:graphic>
          </wp:inline>
        </w:drawing>
      </w:r>
    </w:p>
    <w:p w14:paraId="2236E11E">
      <w:pPr>
        <w:numPr>
          <w:ilvl w:val="0"/>
          <w:numId w:val="0"/>
        </w:numPr>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图 1-1 现场航拍图</w:t>
      </w:r>
    </w:p>
    <w:p w14:paraId="3AC01C3E">
      <w:pPr>
        <w:numPr>
          <w:ilvl w:val="0"/>
          <w:numId w:val="0"/>
        </w:numPr>
        <w:jc w:val="left"/>
        <w:rPr>
          <w:color w:val="auto"/>
        </w:rPr>
      </w:pPr>
      <w:r>
        <w:drawing>
          <wp:inline distT="0" distB="0" distL="114300" distR="114300">
            <wp:extent cx="5264785" cy="2959735"/>
            <wp:effectExtent l="0" t="0" r="12065" b="1206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5"/>
                    <a:stretch>
                      <a:fillRect/>
                    </a:stretch>
                  </pic:blipFill>
                  <pic:spPr>
                    <a:xfrm>
                      <a:off x="0" y="0"/>
                      <a:ext cx="5264785" cy="2959735"/>
                    </a:xfrm>
                    <a:prstGeom prst="rect">
                      <a:avLst/>
                    </a:prstGeom>
                    <a:noFill/>
                    <a:ln>
                      <a:noFill/>
                    </a:ln>
                  </pic:spPr>
                </pic:pic>
              </a:graphicData>
            </a:graphic>
          </wp:inline>
        </w:drawing>
      </w:r>
    </w:p>
    <w:p w14:paraId="5E121844">
      <w:pPr>
        <w:numPr>
          <w:ilvl w:val="0"/>
          <w:numId w:val="0"/>
        </w:numPr>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图 1-2 现场航拍图</w:t>
      </w:r>
    </w:p>
    <w:p w14:paraId="6058D10D">
      <w:pPr>
        <w:pStyle w:val="36"/>
        <w:ind w:left="0" w:leftChars="0" w:firstLine="0" w:firstLineChars="0"/>
        <w:rPr>
          <w:color w:val="auto"/>
        </w:rPr>
      </w:pPr>
      <w:r>
        <w:drawing>
          <wp:inline distT="0" distB="0" distL="114300" distR="114300">
            <wp:extent cx="5269865" cy="3078480"/>
            <wp:effectExtent l="0" t="0" r="6985" b="762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6"/>
                    <a:stretch>
                      <a:fillRect/>
                    </a:stretch>
                  </pic:blipFill>
                  <pic:spPr>
                    <a:xfrm>
                      <a:off x="0" y="0"/>
                      <a:ext cx="5269865" cy="3078480"/>
                    </a:xfrm>
                    <a:prstGeom prst="rect">
                      <a:avLst/>
                    </a:prstGeom>
                    <a:noFill/>
                    <a:ln>
                      <a:noFill/>
                    </a:ln>
                  </pic:spPr>
                </pic:pic>
              </a:graphicData>
            </a:graphic>
          </wp:inline>
        </w:drawing>
      </w:r>
    </w:p>
    <w:p w14:paraId="0572B7FB">
      <w:pPr>
        <w:numPr>
          <w:ilvl w:val="0"/>
          <w:numId w:val="0"/>
        </w:numPr>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图 1-3 光伏布置图</w:t>
      </w:r>
    </w:p>
    <w:p w14:paraId="24A7618B">
      <w:pPr>
        <w:pStyle w:val="36"/>
        <w:ind w:left="0" w:leftChars="0" w:firstLine="0" w:firstLineChars="0"/>
        <w:rPr>
          <w:rFonts w:hint="default"/>
          <w:color w:val="auto"/>
          <w:lang w:val="en-US" w:eastAsia="zh-CN"/>
        </w:rPr>
      </w:pPr>
    </w:p>
    <w:p w14:paraId="75C60F66">
      <w:pPr>
        <w:widowControl w:val="0"/>
        <w:numPr>
          <w:ilvl w:val="0"/>
          <w:numId w:val="0"/>
        </w:numPr>
        <w:shd w:val="clear"/>
        <w:wordWrap w:val="0"/>
        <w:adjustRightInd/>
        <w:snapToGrid/>
        <w:spacing w:after="0" w:line="288" w:lineRule="auto"/>
        <w:jc w:val="center"/>
        <w:rPr>
          <w:rFonts w:hint="eastAsia" w:ascii="宋体" w:hAnsi="宋体" w:eastAsia="宋体" w:cs="宋体"/>
          <w:b/>
          <w:bCs/>
          <w:color w:val="auto"/>
          <w:kern w:val="2"/>
          <w:sz w:val="21"/>
          <w:szCs w:val="21"/>
          <w:highlight w:val="none"/>
          <w:lang w:val="en-US" w:eastAsia="zh-CN"/>
        </w:rPr>
      </w:pPr>
    </w:p>
    <w:p w14:paraId="4272708C">
      <w:pPr>
        <w:widowControl w:val="0"/>
        <w:numPr>
          <w:ilvl w:val="0"/>
          <w:numId w:val="0"/>
        </w:numPr>
        <w:shd w:val="clear"/>
        <w:wordWrap w:val="0"/>
        <w:adjustRightInd/>
        <w:snapToGrid/>
        <w:spacing w:after="0" w:line="288" w:lineRule="auto"/>
        <w:jc w:val="center"/>
        <w:rPr>
          <w:rFonts w:hint="eastAsia" w:ascii="宋体" w:hAnsi="宋体" w:eastAsia="宋体" w:cs="宋体"/>
          <w:b/>
          <w:bCs/>
          <w:color w:val="auto"/>
          <w:kern w:val="2"/>
          <w:sz w:val="21"/>
          <w:szCs w:val="21"/>
          <w:highlight w:val="none"/>
          <w:lang w:val="en-US" w:eastAsia="zh-CN"/>
        </w:rPr>
      </w:pPr>
      <w:r>
        <w:rPr>
          <w:rFonts w:hint="eastAsia" w:ascii="宋体" w:hAnsi="宋体" w:eastAsia="宋体" w:cs="宋体"/>
          <w:b/>
          <w:bCs/>
          <w:color w:val="auto"/>
          <w:kern w:val="2"/>
          <w:sz w:val="21"/>
          <w:szCs w:val="21"/>
          <w:highlight w:val="none"/>
          <w:lang w:val="en-US" w:eastAsia="zh-CN"/>
        </w:rPr>
        <w:t>光伏</w:t>
      </w:r>
      <w:r>
        <w:rPr>
          <w:rFonts w:hint="eastAsia" w:ascii="宋体" w:hAnsi="宋体" w:cs="宋体"/>
          <w:b/>
          <w:bCs/>
          <w:color w:val="auto"/>
          <w:kern w:val="2"/>
          <w:sz w:val="21"/>
          <w:szCs w:val="21"/>
          <w:highlight w:val="none"/>
          <w:lang w:val="en-US" w:eastAsia="zh-CN"/>
        </w:rPr>
        <w:t>组件</w:t>
      </w:r>
      <w:r>
        <w:rPr>
          <w:rFonts w:hint="eastAsia" w:ascii="宋体" w:hAnsi="宋体" w:eastAsia="宋体" w:cs="宋体"/>
          <w:b/>
          <w:bCs/>
          <w:color w:val="auto"/>
          <w:kern w:val="2"/>
          <w:sz w:val="21"/>
          <w:szCs w:val="21"/>
          <w:highlight w:val="none"/>
          <w:lang w:val="en-US" w:eastAsia="zh-CN"/>
        </w:rPr>
        <w:t>铺设规划表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271"/>
        <w:gridCol w:w="1307"/>
        <w:gridCol w:w="1187"/>
        <w:gridCol w:w="205"/>
        <w:gridCol w:w="1350"/>
        <w:gridCol w:w="1835"/>
        <w:gridCol w:w="869"/>
        <w:gridCol w:w="2"/>
      </w:tblGrid>
      <w:tr w14:paraId="1BBB7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9"/>
            <w:shd w:val="clear" w:color="auto" w:fill="auto"/>
            <w:vAlign w:val="center"/>
          </w:tcPr>
          <w:p w14:paraId="263F97C9">
            <w:pPr>
              <w:pStyle w:val="36"/>
              <w:shd w:val="clear"/>
              <w:ind w:left="0" w:leftChars="0" w:firstLine="0" w:firstLineChars="0"/>
              <w:jc w:val="center"/>
              <w:rPr>
                <w:rFonts w:hint="default" w:ascii="宋体" w:hAnsi="宋体" w:eastAsia="宋体" w:cs="宋体"/>
                <w:b/>
                <w:bCs/>
                <w:color w:val="auto"/>
                <w:kern w:val="2"/>
                <w:sz w:val="21"/>
                <w:szCs w:val="21"/>
                <w:highlight w:val="none"/>
                <w:vertAlign w:val="baseline"/>
                <w:lang w:val="en-US" w:eastAsia="zh-CN"/>
              </w:rPr>
            </w:pPr>
            <w:r>
              <w:rPr>
                <w:rFonts w:hint="eastAsia" w:ascii="宋体" w:hAnsi="宋体" w:cs="宋体"/>
                <w:b/>
                <w:bCs/>
                <w:color w:val="auto"/>
                <w:kern w:val="2"/>
                <w:sz w:val="21"/>
                <w:szCs w:val="21"/>
                <w:highlight w:val="none"/>
                <w:vertAlign w:val="baseline"/>
                <w:lang w:val="en-US" w:eastAsia="zh-CN"/>
              </w:rPr>
              <w:t>东莞市台勤塑料片材有限公司</w:t>
            </w:r>
          </w:p>
        </w:tc>
      </w:tr>
      <w:tr w14:paraId="427B2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261" w:type="dxa"/>
            <w:gridSpan w:val="4"/>
            <w:shd w:val="clear" w:color="auto" w:fill="auto"/>
            <w:vAlign w:val="center"/>
          </w:tcPr>
          <w:p w14:paraId="23630B43">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cs="宋体"/>
                <w:b/>
                <w:bCs/>
                <w:color w:val="auto"/>
                <w:sz w:val="21"/>
                <w:szCs w:val="21"/>
                <w:highlight w:val="none"/>
                <w:vertAlign w:val="baseline"/>
                <w:lang w:val="en-US" w:eastAsia="zh-CN"/>
              </w:rPr>
            </w:pPr>
            <w:r>
              <w:rPr>
                <w:rFonts w:hint="eastAsia" w:ascii="宋体" w:hAnsi="宋体" w:cs="宋体"/>
                <w:b/>
                <w:bCs/>
                <w:color w:val="auto"/>
                <w:sz w:val="21"/>
                <w:szCs w:val="21"/>
                <w:highlight w:val="none"/>
                <w:shd w:val="clear"/>
                <w:vertAlign w:val="baseline"/>
                <w:lang w:val="en-US" w:eastAsia="zh-CN"/>
              </w:rPr>
              <w:t>光伏装机容量（kWp）</w:t>
            </w:r>
          </w:p>
        </w:tc>
        <w:tc>
          <w:tcPr>
            <w:tcW w:w="4261" w:type="dxa"/>
            <w:gridSpan w:val="5"/>
            <w:shd w:val="clear" w:color="auto" w:fill="auto"/>
            <w:vAlign w:val="center"/>
          </w:tcPr>
          <w:p w14:paraId="48FC6E7E">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cs="宋体"/>
                <w:b/>
                <w:bCs/>
                <w:color w:val="auto"/>
                <w:sz w:val="21"/>
                <w:szCs w:val="21"/>
                <w:highlight w:val="none"/>
                <w:vertAlign w:val="baseline"/>
                <w:lang w:val="en-US" w:eastAsia="zh-CN"/>
              </w:rPr>
            </w:pPr>
            <w:r>
              <w:rPr>
                <w:rFonts w:hint="eastAsia" w:ascii="宋体" w:hAnsi="宋体" w:cs="宋体"/>
                <w:b/>
                <w:bCs/>
                <w:color w:val="auto"/>
                <w:sz w:val="21"/>
                <w:szCs w:val="21"/>
                <w:highlight w:val="none"/>
                <w:vertAlign w:val="baseline"/>
                <w:lang w:val="en-US" w:eastAsia="zh-CN"/>
              </w:rPr>
              <w:t>399.6</w:t>
            </w:r>
          </w:p>
        </w:tc>
      </w:tr>
      <w:tr w14:paraId="49374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567" w:hRule="atLeast"/>
        </w:trPr>
        <w:tc>
          <w:tcPr>
            <w:tcW w:w="496" w:type="dxa"/>
            <w:shd w:val="clear" w:color="auto" w:fill="auto"/>
            <w:vAlign w:val="center"/>
          </w:tcPr>
          <w:p w14:paraId="17EBCEA0">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序号</w:t>
            </w:r>
          </w:p>
        </w:tc>
        <w:tc>
          <w:tcPr>
            <w:tcW w:w="1271" w:type="dxa"/>
            <w:shd w:val="clear" w:color="auto" w:fill="auto"/>
            <w:vAlign w:val="center"/>
          </w:tcPr>
          <w:p w14:paraId="0CF9FA92">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建筑名称</w:t>
            </w:r>
          </w:p>
        </w:tc>
        <w:tc>
          <w:tcPr>
            <w:tcW w:w="1307" w:type="dxa"/>
            <w:shd w:val="clear" w:color="auto" w:fill="auto"/>
            <w:vAlign w:val="center"/>
          </w:tcPr>
          <w:p w14:paraId="577B3952">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bCs/>
                <w:color w:val="auto"/>
                <w:sz w:val="21"/>
                <w:szCs w:val="21"/>
                <w:highlight w:val="none"/>
                <w:vertAlign w:val="baseline"/>
                <w:lang w:val="en-US" w:eastAsia="zh-CN"/>
              </w:rPr>
            </w:pPr>
            <w:r>
              <w:rPr>
                <w:rFonts w:hint="eastAsia" w:ascii="宋体" w:hAnsi="宋体" w:cs="宋体"/>
                <w:b/>
                <w:bCs/>
                <w:color w:val="auto"/>
                <w:sz w:val="21"/>
                <w:szCs w:val="21"/>
                <w:highlight w:val="none"/>
                <w:vertAlign w:val="baseline"/>
                <w:lang w:val="en-US" w:eastAsia="zh-CN"/>
              </w:rPr>
              <w:t>安装</w:t>
            </w:r>
            <w:r>
              <w:rPr>
                <w:rFonts w:hint="eastAsia" w:ascii="宋体" w:hAnsi="宋体" w:eastAsia="宋体" w:cs="宋体"/>
                <w:b/>
                <w:bCs/>
                <w:color w:val="auto"/>
                <w:sz w:val="21"/>
                <w:szCs w:val="21"/>
                <w:highlight w:val="none"/>
                <w:vertAlign w:val="baseline"/>
                <w:lang w:val="en-US" w:eastAsia="zh-CN"/>
              </w:rPr>
              <w:t>面积</w:t>
            </w:r>
            <w:r>
              <w:rPr>
                <w:rFonts w:hint="eastAsia" w:ascii="宋体" w:hAnsi="宋体" w:cs="宋体"/>
                <w:b/>
                <w:bCs/>
                <w:color w:val="auto"/>
                <w:sz w:val="21"/>
                <w:szCs w:val="21"/>
                <w:highlight w:val="none"/>
                <w:vertAlign w:val="baseline"/>
                <w:lang w:val="en-US" w:eastAsia="zh-CN"/>
              </w:rPr>
              <w:t>（㎡）</w:t>
            </w:r>
          </w:p>
        </w:tc>
        <w:tc>
          <w:tcPr>
            <w:tcW w:w="1392" w:type="dxa"/>
            <w:gridSpan w:val="2"/>
            <w:shd w:val="clear" w:color="auto" w:fill="auto"/>
            <w:vAlign w:val="center"/>
          </w:tcPr>
          <w:p w14:paraId="402C61A6">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bCs/>
                <w:color w:val="auto"/>
                <w:sz w:val="21"/>
                <w:szCs w:val="21"/>
                <w:highlight w:val="none"/>
                <w:vertAlign w:val="baseline"/>
                <w:lang w:val="en-US" w:eastAsia="zh-CN"/>
              </w:rPr>
            </w:pPr>
            <w:r>
              <w:rPr>
                <w:rFonts w:hint="eastAsia" w:ascii="宋体" w:hAnsi="宋体" w:cs="宋体"/>
                <w:b/>
                <w:bCs/>
                <w:color w:val="auto"/>
                <w:sz w:val="21"/>
                <w:szCs w:val="21"/>
                <w:highlight w:val="none"/>
                <w:vertAlign w:val="baseline"/>
                <w:lang w:val="en-US" w:eastAsia="zh-CN"/>
              </w:rPr>
              <w:t>60</w:t>
            </w:r>
            <w:r>
              <w:rPr>
                <w:rFonts w:hint="eastAsia" w:ascii="宋体" w:hAnsi="宋体" w:eastAsia="宋体" w:cs="宋体"/>
                <w:b/>
                <w:bCs/>
                <w:color w:val="auto"/>
                <w:sz w:val="21"/>
                <w:szCs w:val="21"/>
                <w:highlight w:val="none"/>
                <w:vertAlign w:val="baseline"/>
                <w:lang w:val="en-US" w:eastAsia="zh-CN"/>
              </w:rPr>
              <w:t>0W组件数量（块）</w:t>
            </w:r>
          </w:p>
        </w:tc>
        <w:tc>
          <w:tcPr>
            <w:tcW w:w="1350" w:type="dxa"/>
            <w:shd w:val="clear" w:color="auto" w:fill="auto"/>
            <w:vAlign w:val="center"/>
          </w:tcPr>
          <w:p w14:paraId="74D05C7F">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装机功率（kWp）</w:t>
            </w:r>
          </w:p>
        </w:tc>
        <w:tc>
          <w:tcPr>
            <w:tcW w:w="1835" w:type="dxa"/>
            <w:shd w:val="clear" w:color="auto" w:fill="auto"/>
            <w:vAlign w:val="center"/>
          </w:tcPr>
          <w:p w14:paraId="077C37EF">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安装方式</w:t>
            </w:r>
          </w:p>
        </w:tc>
        <w:tc>
          <w:tcPr>
            <w:tcW w:w="869" w:type="dxa"/>
            <w:shd w:val="clear" w:color="auto" w:fill="auto"/>
            <w:vAlign w:val="center"/>
          </w:tcPr>
          <w:p w14:paraId="74A73D87">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bCs/>
                <w:color w:val="auto"/>
                <w:sz w:val="21"/>
                <w:szCs w:val="21"/>
                <w:highlight w:val="none"/>
                <w:vertAlign w:val="baseline"/>
                <w:lang w:val="en-US" w:eastAsia="zh-CN"/>
              </w:rPr>
            </w:pPr>
            <w:r>
              <w:rPr>
                <w:rFonts w:hint="eastAsia" w:ascii="宋体" w:hAnsi="宋体" w:cs="宋体"/>
                <w:b/>
                <w:bCs/>
                <w:color w:val="auto"/>
                <w:sz w:val="21"/>
                <w:szCs w:val="21"/>
                <w:highlight w:val="none"/>
                <w:vertAlign w:val="baseline"/>
                <w:lang w:val="en-US" w:eastAsia="zh-CN"/>
              </w:rPr>
              <w:t>备注</w:t>
            </w:r>
          </w:p>
        </w:tc>
      </w:tr>
      <w:tr w14:paraId="700D9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567" w:hRule="atLeast"/>
        </w:trPr>
        <w:tc>
          <w:tcPr>
            <w:tcW w:w="496" w:type="dxa"/>
            <w:shd w:val="clear" w:color="auto" w:fill="auto"/>
            <w:vAlign w:val="center"/>
          </w:tcPr>
          <w:p w14:paraId="4967FFAC">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1271" w:type="dxa"/>
            <w:shd w:val="clear" w:color="auto" w:fill="auto"/>
            <w:vAlign w:val="center"/>
          </w:tcPr>
          <w:p w14:paraId="236FF131">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1号厂房</w:t>
            </w:r>
          </w:p>
        </w:tc>
        <w:tc>
          <w:tcPr>
            <w:tcW w:w="1307" w:type="dxa"/>
            <w:shd w:val="clear" w:color="auto" w:fill="auto"/>
            <w:vAlign w:val="center"/>
          </w:tcPr>
          <w:p w14:paraId="682C045A">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851</w:t>
            </w:r>
          </w:p>
        </w:tc>
        <w:tc>
          <w:tcPr>
            <w:tcW w:w="1392" w:type="dxa"/>
            <w:gridSpan w:val="2"/>
            <w:shd w:val="clear" w:color="auto" w:fill="auto"/>
            <w:vAlign w:val="center"/>
          </w:tcPr>
          <w:p w14:paraId="40FB14D6">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304</w:t>
            </w:r>
          </w:p>
        </w:tc>
        <w:tc>
          <w:tcPr>
            <w:tcW w:w="1350" w:type="dxa"/>
            <w:shd w:val="clear" w:color="auto" w:fill="auto"/>
            <w:vAlign w:val="center"/>
          </w:tcPr>
          <w:p w14:paraId="2C319A29">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182.4</w:t>
            </w:r>
          </w:p>
        </w:tc>
        <w:tc>
          <w:tcPr>
            <w:tcW w:w="1835" w:type="dxa"/>
            <w:shd w:val="clear" w:color="auto" w:fill="auto"/>
            <w:vAlign w:val="center"/>
          </w:tcPr>
          <w:p w14:paraId="4266435D">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棚架式</w:t>
            </w:r>
            <w:r>
              <w:rPr>
                <w:rFonts w:hint="eastAsia" w:ascii="宋体" w:hAnsi="宋体" w:cs="宋体"/>
                <w:color w:val="auto"/>
                <w:sz w:val="21"/>
                <w:szCs w:val="21"/>
                <w:highlight w:val="none"/>
                <w:vertAlign w:val="baseline"/>
                <w:lang w:val="en-US" w:eastAsia="zh-CN"/>
              </w:rPr>
              <w:t>（方通）</w:t>
            </w:r>
          </w:p>
        </w:tc>
        <w:tc>
          <w:tcPr>
            <w:tcW w:w="869" w:type="dxa"/>
            <w:shd w:val="clear" w:color="auto" w:fill="auto"/>
            <w:vAlign w:val="center"/>
          </w:tcPr>
          <w:p w14:paraId="1C9B566E">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z w:val="21"/>
                <w:szCs w:val="21"/>
                <w:highlight w:val="none"/>
                <w:vertAlign w:val="baseline"/>
                <w:lang w:val="en-US" w:eastAsia="zh-CN"/>
              </w:rPr>
            </w:pPr>
          </w:p>
        </w:tc>
      </w:tr>
      <w:tr w14:paraId="6BE97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567" w:hRule="atLeast"/>
        </w:trPr>
        <w:tc>
          <w:tcPr>
            <w:tcW w:w="496" w:type="dxa"/>
            <w:shd w:val="clear" w:color="auto" w:fill="auto"/>
            <w:vAlign w:val="center"/>
          </w:tcPr>
          <w:p w14:paraId="630604D2">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2</w:t>
            </w:r>
          </w:p>
        </w:tc>
        <w:tc>
          <w:tcPr>
            <w:tcW w:w="1271" w:type="dxa"/>
            <w:shd w:val="clear" w:color="auto" w:fill="auto"/>
            <w:vAlign w:val="center"/>
          </w:tcPr>
          <w:p w14:paraId="27F03485">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2号厂房</w:t>
            </w:r>
          </w:p>
        </w:tc>
        <w:tc>
          <w:tcPr>
            <w:tcW w:w="1307" w:type="dxa"/>
            <w:shd w:val="clear" w:color="auto" w:fill="auto"/>
            <w:vAlign w:val="center"/>
          </w:tcPr>
          <w:p w14:paraId="71C68862">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482</w:t>
            </w:r>
          </w:p>
        </w:tc>
        <w:tc>
          <w:tcPr>
            <w:tcW w:w="1392" w:type="dxa"/>
            <w:gridSpan w:val="2"/>
            <w:shd w:val="clear" w:color="auto" w:fill="auto"/>
            <w:vAlign w:val="center"/>
          </w:tcPr>
          <w:p w14:paraId="0795A833">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172</w:t>
            </w:r>
          </w:p>
        </w:tc>
        <w:tc>
          <w:tcPr>
            <w:tcW w:w="1350" w:type="dxa"/>
            <w:shd w:val="clear" w:color="auto" w:fill="auto"/>
            <w:vAlign w:val="center"/>
          </w:tcPr>
          <w:p w14:paraId="0D7DD018">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103.2</w:t>
            </w:r>
          </w:p>
        </w:tc>
        <w:tc>
          <w:tcPr>
            <w:tcW w:w="1835" w:type="dxa"/>
            <w:shd w:val="clear" w:color="auto" w:fill="auto"/>
            <w:vAlign w:val="center"/>
          </w:tcPr>
          <w:p w14:paraId="4CD88D7F">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棚架式</w:t>
            </w:r>
            <w:r>
              <w:rPr>
                <w:rFonts w:hint="eastAsia" w:ascii="宋体" w:hAnsi="宋体" w:cs="宋体"/>
                <w:color w:val="auto"/>
                <w:sz w:val="21"/>
                <w:szCs w:val="21"/>
                <w:highlight w:val="none"/>
                <w:vertAlign w:val="baseline"/>
                <w:lang w:val="en-US" w:eastAsia="zh-CN"/>
              </w:rPr>
              <w:t>（方通）</w:t>
            </w:r>
          </w:p>
        </w:tc>
        <w:tc>
          <w:tcPr>
            <w:tcW w:w="869" w:type="dxa"/>
            <w:shd w:val="clear" w:color="auto" w:fill="auto"/>
            <w:vAlign w:val="center"/>
          </w:tcPr>
          <w:p w14:paraId="04FA68F0">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p>
        </w:tc>
      </w:tr>
      <w:tr w14:paraId="78FF3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567" w:hRule="atLeast"/>
        </w:trPr>
        <w:tc>
          <w:tcPr>
            <w:tcW w:w="496" w:type="dxa"/>
            <w:shd w:val="clear" w:color="auto" w:fill="auto"/>
            <w:vAlign w:val="center"/>
          </w:tcPr>
          <w:p w14:paraId="2EDEA7AE">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3</w:t>
            </w:r>
          </w:p>
        </w:tc>
        <w:tc>
          <w:tcPr>
            <w:tcW w:w="1271" w:type="dxa"/>
            <w:shd w:val="clear" w:color="auto" w:fill="auto"/>
            <w:vAlign w:val="center"/>
          </w:tcPr>
          <w:p w14:paraId="3F1F0BDE">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3号厂房</w:t>
            </w:r>
          </w:p>
        </w:tc>
        <w:tc>
          <w:tcPr>
            <w:tcW w:w="1307" w:type="dxa"/>
            <w:shd w:val="clear" w:color="auto" w:fill="auto"/>
            <w:vAlign w:val="center"/>
          </w:tcPr>
          <w:p w14:paraId="446879B4">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532</w:t>
            </w:r>
          </w:p>
        </w:tc>
        <w:tc>
          <w:tcPr>
            <w:tcW w:w="1392" w:type="dxa"/>
            <w:gridSpan w:val="2"/>
            <w:shd w:val="clear" w:color="auto" w:fill="auto"/>
            <w:vAlign w:val="center"/>
          </w:tcPr>
          <w:p w14:paraId="3A8942E3">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190</w:t>
            </w:r>
          </w:p>
        </w:tc>
        <w:tc>
          <w:tcPr>
            <w:tcW w:w="1350" w:type="dxa"/>
            <w:shd w:val="clear" w:color="auto" w:fill="auto"/>
            <w:vAlign w:val="center"/>
          </w:tcPr>
          <w:p w14:paraId="24AA23EE">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114</w:t>
            </w:r>
          </w:p>
        </w:tc>
        <w:tc>
          <w:tcPr>
            <w:tcW w:w="1835" w:type="dxa"/>
            <w:shd w:val="clear" w:color="auto" w:fill="auto"/>
            <w:vAlign w:val="center"/>
          </w:tcPr>
          <w:p w14:paraId="3A59AAE6">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棚架式</w:t>
            </w:r>
            <w:r>
              <w:rPr>
                <w:rFonts w:hint="eastAsia" w:ascii="宋体" w:hAnsi="宋体" w:cs="宋体"/>
                <w:color w:val="auto"/>
                <w:sz w:val="21"/>
                <w:szCs w:val="21"/>
                <w:highlight w:val="none"/>
                <w:vertAlign w:val="baseline"/>
                <w:lang w:val="en-US" w:eastAsia="zh-CN"/>
              </w:rPr>
              <w:t>（方通）</w:t>
            </w:r>
          </w:p>
        </w:tc>
        <w:tc>
          <w:tcPr>
            <w:tcW w:w="869" w:type="dxa"/>
            <w:shd w:val="clear" w:color="auto" w:fill="auto"/>
            <w:vAlign w:val="center"/>
          </w:tcPr>
          <w:p w14:paraId="5FE72DF5">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p>
        </w:tc>
      </w:tr>
      <w:tr w14:paraId="1AC8A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trHeight w:val="584" w:hRule="atLeast"/>
        </w:trPr>
        <w:tc>
          <w:tcPr>
            <w:tcW w:w="1767" w:type="dxa"/>
            <w:gridSpan w:val="2"/>
            <w:shd w:val="clear" w:color="auto" w:fill="auto"/>
            <w:vAlign w:val="center"/>
          </w:tcPr>
          <w:p w14:paraId="79898F84">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合计</w:t>
            </w:r>
          </w:p>
        </w:tc>
        <w:tc>
          <w:tcPr>
            <w:tcW w:w="1307" w:type="dxa"/>
            <w:shd w:val="clear" w:color="auto" w:fill="auto"/>
            <w:vAlign w:val="center"/>
          </w:tcPr>
          <w:p w14:paraId="15F852DF">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1864.8</w:t>
            </w:r>
          </w:p>
        </w:tc>
        <w:tc>
          <w:tcPr>
            <w:tcW w:w="1392" w:type="dxa"/>
            <w:gridSpan w:val="2"/>
            <w:shd w:val="clear" w:color="auto" w:fill="auto"/>
            <w:vAlign w:val="center"/>
          </w:tcPr>
          <w:p w14:paraId="17CF6A46">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666</w:t>
            </w:r>
          </w:p>
        </w:tc>
        <w:tc>
          <w:tcPr>
            <w:tcW w:w="1350" w:type="dxa"/>
            <w:shd w:val="clear" w:color="auto" w:fill="auto"/>
            <w:vAlign w:val="center"/>
          </w:tcPr>
          <w:p w14:paraId="26FAFA76">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399.6</w:t>
            </w:r>
          </w:p>
        </w:tc>
        <w:tc>
          <w:tcPr>
            <w:tcW w:w="1835" w:type="dxa"/>
            <w:shd w:val="clear" w:color="auto" w:fill="auto"/>
            <w:vAlign w:val="center"/>
          </w:tcPr>
          <w:p w14:paraId="6951EA16">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z w:val="21"/>
                <w:szCs w:val="21"/>
                <w:highlight w:val="none"/>
                <w:vertAlign w:val="baseline"/>
                <w:lang w:val="en-US" w:eastAsia="zh-CN"/>
              </w:rPr>
            </w:pPr>
          </w:p>
        </w:tc>
        <w:tc>
          <w:tcPr>
            <w:tcW w:w="869" w:type="dxa"/>
            <w:shd w:val="clear" w:color="auto" w:fill="auto"/>
            <w:vAlign w:val="center"/>
          </w:tcPr>
          <w:p w14:paraId="7F0355B7">
            <w:pPr>
              <w:keepNext w:val="0"/>
              <w:keepLines w:val="0"/>
              <w:pageBreakBefore w:val="0"/>
              <w:widowControl/>
              <w:numPr>
                <w:ilvl w:val="0"/>
                <w:numId w:val="0"/>
              </w:numPr>
              <w:shd w:val="clea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sz w:val="21"/>
                <w:szCs w:val="21"/>
                <w:highlight w:val="none"/>
                <w:vertAlign w:val="baseline"/>
                <w:lang w:val="en-US" w:eastAsia="zh-CN"/>
              </w:rPr>
            </w:pPr>
          </w:p>
        </w:tc>
      </w:tr>
    </w:tbl>
    <w:p w14:paraId="52D6F7D9"/>
    <w:p w14:paraId="32C02A06">
      <w:pPr>
        <w:pStyle w:val="87"/>
        <w:rPr>
          <w:rFonts w:hint="default"/>
          <w:color w:val="auto"/>
          <w:lang w:val="en-US" w:eastAsia="zh-CN"/>
        </w:rPr>
      </w:pPr>
    </w:p>
    <w:p w14:paraId="0AAE8E39">
      <w:pPr>
        <w:numPr>
          <w:ilvl w:val="0"/>
          <w:numId w:val="0"/>
        </w:numPr>
        <w:rPr>
          <w:rFonts w:hint="eastAsia" w:ascii="仿宋_GB2312" w:hAnsi="仿宋_GB2312" w:eastAsia="仿宋_GB2312" w:cs="仿宋_GB2312"/>
          <w:color w:val="auto"/>
          <w:sz w:val="28"/>
          <w:szCs w:val="36"/>
          <w:lang w:val="en-US" w:eastAsia="zh-CN"/>
        </w:rPr>
      </w:pPr>
      <w:r>
        <w:rPr>
          <w:rFonts w:hint="eastAsia" w:ascii="仿宋_GB2312" w:hAnsi="仿宋_GB2312" w:eastAsia="仿宋_GB2312" w:cs="仿宋_GB2312"/>
          <w:color w:val="auto"/>
          <w:sz w:val="28"/>
          <w:szCs w:val="36"/>
          <w:lang w:val="en-US" w:eastAsia="zh-CN"/>
        </w:rPr>
        <w:t>1.2 项目基本概况</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6"/>
        <w:gridCol w:w="6716"/>
      </w:tblGrid>
      <w:tr w14:paraId="0C71C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6" w:type="dxa"/>
          </w:tcPr>
          <w:p w14:paraId="72FC51BC">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项目名称</w:t>
            </w:r>
          </w:p>
        </w:tc>
        <w:tc>
          <w:tcPr>
            <w:tcW w:w="6716" w:type="dxa"/>
          </w:tcPr>
          <w:p w14:paraId="449F9918">
            <w:pPr>
              <w:numPr>
                <w:ilvl w:val="0"/>
                <w:numId w:val="0"/>
              </w:numPr>
              <w:rPr>
                <w:rFonts w:hint="default" w:ascii="仿宋_GB2312" w:hAnsi="仿宋_GB2312" w:eastAsia="仿宋_GB2312" w:cs="仿宋_GB2312"/>
                <w:color w:val="auto"/>
                <w:sz w:val="28"/>
                <w:szCs w:val="36"/>
                <w:vertAlign w:val="baseline"/>
                <w:lang w:val="en-US" w:eastAsia="zh-CN"/>
              </w:rPr>
            </w:pPr>
            <w:r>
              <w:rPr>
                <w:rFonts w:hint="default" w:ascii="仿宋_GB2312" w:hAnsi="仿宋_GB2312" w:eastAsia="仿宋_GB2312" w:cs="仿宋_GB2312"/>
                <w:color w:val="auto"/>
                <w:sz w:val="28"/>
                <w:szCs w:val="36"/>
                <w:vertAlign w:val="baseline"/>
                <w:lang w:val="en-US" w:eastAsia="zh-CN"/>
              </w:rPr>
              <w:t>东莞市新锋新能源有限公司台勤塑料厂区分布式光伏发电项目</w:t>
            </w:r>
          </w:p>
        </w:tc>
      </w:tr>
      <w:tr w14:paraId="45C73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4F4678E2">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项目地址</w:t>
            </w:r>
          </w:p>
        </w:tc>
        <w:tc>
          <w:tcPr>
            <w:tcW w:w="6716" w:type="dxa"/>
          </w:tcPr>
          <w:p w14:paraId="13B489FA">
            <w:pPr>
              <w:numPr>
                <w:ilvl w:val="0"/>
                <w:numId w:val="0"/>
              </w:numPr>
              <w:rPr>
                <w:rFonts w:hint="default" w:ascii="仿宋_GB2312" w:hAnsi="仿宋_GB2312" w:eastAsia="仿宋_GB2312" w:cs="仿宋_GB2312"/>
                <w:color w:val="auto"/>
                <w:sz w:val="28"/>
                <w:szCs w:val="36"/>
                <w:vertAlign w:val="baseline"/>
                <w:lang w:val="en-US" w:eastAsia="zh-CN"/>
              </w:rPr>
            </w:pPr>
            <w:r>
              <w:rPr>
                <w:rFonts w:hint="default" w:ascii="仿宋_GB2312" w:hAnsi="仿宋_GB2312" w:eastAsia="仿宋_GB2312" w:cs="仿宋_GB2312"/>
                <w:color w:val="auto"/>
                <w:sz w:val="28"/>
                <w:szCs w:val="36"/>
                <w:vertAlign w:val="baseline"/>
                <w:lang w:val="en-US" w:eastAsia="zh-CN"/>
              </w:rPr>
              <w:t>东莞市厚街镇三屯厚道路上屯上滘路22号</w:t>
            </w:r>
          </w:p>
        </w:tc>
      </w:tr>
      <w:tr w14:paraId="0AEF8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062D1722">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屋顶面积</w:t>
            </w:r>
          </w:p>
        </w:tc>
        <w:tc>
          <w:tcPr>
            <w:tcW w:w="6716" w:type="dxa"/>
          </w:tcPr>
          <w:p w14:paraId="25E24401">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约4000㎡</w:t>
            </w:r>
          </w:p>
        </w:tc>
      </w:tr>
      <w:tr w14:paraId="4E36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5D7DD878">
            <w:pPr>
              <w:numPr>
                <w:ilvl w:val="0"/>
                <w:numId w:val="0"/>
              </w:numPr>
              <w:rPr>
                <w:rFonts w:hint="eastAsia"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楼面类型</w:t>
            </w:r>
          </w:p>
        </w:tc>
        <w:tc>
          <w:tcPr>
            <w:tcW w:w="6716" w:type="dxa"/>
          </w:tcPr>
          <w:p w14:paraId="5EFF7029">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混凝土屋顶</w:t>
            </w:r>
          </w:p>
        </w:tc>
      </w:tr>
      <w:tr w14:paraId="22EDB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4BC6C99C">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变压器容量</w:t>
            </w:r>
          </w:p>
        </w:tc>
        <w:tc>
          <w:tcPr>
            <w:tcW w:w="6716" w:type="dxa"/>
          </w:tcPr>
          <w:p w14:paraId="51E2BA1B">
            <w:pPr>
              <w:numPr>
                <w:ilvl w:val="0"/>
                <w:numId w:val="0"/>
              </w:numPr>
              <w:rPr>
                <w:rFonts w:hint="default" w:ascii="仿宋_GB2312" w:hAnsi="仿宋_GB2312" w:eastAsia="仿宋_GB2312" w:cs="仿宋_GB2312"/>
                <w:color w:val="auto"/>
                <w:sz w:val="28"/>
                <w:szCs w:val="36"/>
                <w:vertAlign w:val="baseline"/>
                <w:lang w:val="en-US" w:eastAsia="zh-CN"/>
              </w:rPr>
            </w:pPr>
            <w:r>
              <w:rPr>
                <w:rFonts w:hint="default" w:ascii="仿宋_GB2312" w:hAnsi="仿宋_GB2312" w:eastAsia="仿宋_GB2312" w:cs="仿宋_GB2312"/>
                <w:color w:val="auto"/>
                <w:sz w:val="28"/>
                <w:szCs w:val="36"/>
                <w:vertAlign w:val="baseline"/>
                <w:lang w:val="en-US" w:eastAsia="zh-CN"/>
              </w:rPr>
              <w:t>1×400kVA=400kVA</w:t>
            </w:r>
          </w:p>
        </w:tc>
      </w:tr>
      <w:tr w14:paraId="657B1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0B8F4757">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装机容量</w:t>
            </w:r>
          </w:p>
        </w:tc>
        <w:tc>
          <w:tcPr>
            <w:tcW w:w="6716" w:type="dxa"/>
          </w:tcPr>
          <w:p w14:paraId="54A4BD84">
            <w:pPr>
              <w:numPr>
                <w:ilvl w:val="0"/>
                <w:numId w:val="0"/>
              </w:numPr>
              <w:rPr>
                <w:rFonts w:hint="default" w:ascii="仿宋_GB2312" w:hAnsi="仿宋_GB2312" w:eastAsia="仿宋_GB2312" w:cs="仿宋_GB2312"/>
                <w:color w:val="auto"/>
                <w:sz w:val="28"/>
                <w:szCs w:val="36"/>
                <w:vertAlign w:val="baseline"/>
                <w:lang w:val="en-US" w:eastAsia="zh-CN"/>
              </w:rPr>
            </w:pPr>
            <w:r>
              <w:rPr>
                <w:rFonts w:hint="default" w:ascii="仿宋_GB2312" w:hAnsi="仿宋_GB2312" w:eastAsia="仿宋_GB2312" w:cs="仿宋_GB2312"/>
                <w:color w:val="auto"/>
                <w:sz w:val="28"/>
                <w:szCs w:val="36"/>
                <w:vertAlign w:val="baseline"/>
                <w:lang w:val="en-US" w:eastAsia="zh-CN"/>
              </w:rPr>
              <w:t>399.6kWp</w:t>
            </w:r>
          </w:p>
        </w:tc>
      </w:tr>
      <w:tr w14:paraId="3A967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0118335A">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光伏组件</w:t>
            </w:r>
          </w:p>
        </w:tc>
        <w:tc>
          <w:tcPr>
            <w:tcW w:w="6716" w:type="dxa"/>
          </w:tcPr>
          <w:p w14:paraId="13310603">
            <w:pPr>
              <w:numPr>
                <w:ilvl w:val="0"/>
                <w:numId w:val="0"/>
              </w:numPr>
              <w:rPr>
                <w:rFonts w:hint="eastAsia"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666块（600Wp N型单晶硅高效组件）</w:t>
            </w:r>
          </w:p>
        </w:tc>
      </w:tr>
      <w:tr w14:paraId="57159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3B265F8D">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安装方式</w:t>
            </w:r>
          </w:p>
        </w:tc>
        <w:tc>
          <w:tcPr>
            <w:tcW w:w="6716" w:type="dxa"/>
          </w:tcPr>
          <w:p w14:paraId="2F53F697">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棚架式，自发自用，余电上网</w:t>
            </w:r>
          </w:p>
        </w:tc>
      </w:tr>
      <w:tr w14:paraId="35889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14:paraId="2D73968B">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增加项</w:t>
            </w:r>
          </w:p>
        </w:tc>
        <w:tc>
          <w:tcPr>
            <w:tcW w:w="6716" w:type="dxa"/>
          </w:tcPr>
          <w:p w14:paraId="1B43B61B">
            <w:pPr>
              <w:numPr>
                <w:ilvl w:val="0"/>
                <w:numId w:val="0"/>
              </w:numPr>
              <w:rPr>
                <w:rFonts w:hint="default" w:ascii="仿宋_GB2312" w:hAnsi="仿宋_GB2312" w:eastAsia="仿宋_GB2312" w:cs="仿宋_GB2312"/>
                <w:color w:val="auto"/>
                <w:sz w:val="28"/>
                <w:szCs w:val="36"/>
                <w:vertAlign w:val="baseline"/>
                <w:lang w:val="en-US" w:eastAsia="zh-CN"/>
              </w:rPr>
            </w:pPr>
            <w:r>
              <w:rPr>
                <w:rFonts w:hint="eastAsia" w:ascii="仿宋_GB2312" w:hAnsi="仿宋_GB2312" w:eastAsia="仿宋_GB2312" w:cs="仿宋_GB2312"/>
                <w:color w:val="auto"/>
                <w:sz w:val="28"/>
                <w:szCs w:val="36"/>
                <w:vertAlign w:val="baseline"/>
                <w:lang w:val="en-US" w:eastAsia="zh-CN"/>
              </w:rPr>
              <w:t>场地平整：平整面积约780㎡，含楼顶杂物、隔热层清理、棚架拆除等。</w:t>
            </w:r>
          </w:p>
        </w:tc>
      </w:tr>
    </w:tbl>
    <w:p w14:paraId="7CB3A494">
      <w:pPr>
        <w:numPr>
          <w:ilvl w:val="0"/>
          <w:numId w:val="0"/>
        </w:numPr>
        <w:rPr>
          <w:rFonts w:hint="default" w:ascii="仿宋_GB2312" w:hAnsi="仿宋_GB2312" w:eastAsia="仿宋_GB2312" w:cs="仿宋_GB2312"/>
          <w:color w:val="auto"/>
          <w:sz w:val="28"/>
          <w:szCs w:val="36"/>
          <w:lang w:val="en-US" w:eastAsia="zh-CN"/>
        </w:rPr>
      </w:pPr>
    </w:p>
    <w:p w14:paraId="3D0C102E">
      <w:pPr>
        <w:rPr>
          <w:rFonts w:hint="default" w:ascii="仿宋_GB2312" w:hAnsi="仿宋_GB2312" w:eastAsia="仿宋_GB2312" w:cs="仿宋_GB2312"/>
          <w:color w:val="auto"/>
          <w:sz w:val="28"/>
          <w:szCs w:val="36"/>
          <w:lang w:val="en-US" w:eastAsia="zh-CN"/>
        </w:rPr>
      </w:pPr>
    </w:p>
    <w:p w14:paraId="66F8C3B6">
      <w:pPr>
        <w:rPr>
          <w:rFonts w:hint="default"/>
          <w:color w:val="auto"/>
          <w:lang w:val="en-US" w:eastAsia="zh-CN"/>
        </w:rPr>
        <w:sectPr>
          <w:pgSz w:w="11906" w:h="16838"/>
          <w:pgMar w:top="1440" w:right="1800" w:bottom="1440" w:left="1800" w:header="851" w:footer="992" w:gutter="0"/>
          <w:cols w:space="425" w:num="1"/>
          <w:docGrid w:type="lines" w:linePitch="312" w:charSpace="0"/>
        </w:sectPr>
      </w:pPr>
    </w:p>
    <w:p w14:paraId="7EA57040">
      <w:pPr>
        <w:rPr>
          <w:rFonts w:hint="default"/>
          <w:color w:val="auto"/>
          <w:lang w:val="en-US" w:eastAsia="zh-CN"/>
        </w:rPr>
      </w:pPr>
    </w:p>
    <w:p w14:paraId="10AC42AF">
      <w:pPr>
        <w:keepNext/>
        <w:keepLines/>
        <w:widowControl w:val="0"/>
        <w:adjustRightInd/>
        <w:snapToGrid/>
        <w:spacing w:after="0" w:line="360" w:lineRule="auto"/>
        <w:jc w:val="both"/>
        <w:outlineLvl w:val="3"/>
        <w:rPr>
          <w:rFonts w:ascii="Calibri Light" w:hAnsi="Calibri Light" w:eastAsia="宋体" w:cs="Times New Roman"/>
          <w:b/>
          <w:bCs/>
          <w:color w:val="auto"/>
          <w:kern w:val="2"/>
          <w:sz w:val="24"/>
          <w:szCs w:val="28"/>
          <w:highlight w:val="none"/>
        </w:rPr>
      </w:pPr>
      <w:bookmarkStart w:id="16" w:name="_Toc15753"/>
      <w:r>
        <w:rPr>
          <w:rFonts w:hint="eastAsia" w:ascii="Calibri Light" w:hAnsi="Calibri Light" w:eastAsia="宋体" w:cs="Times New Roman"/>
          <w:b/>
          <w:bCs/>
          <w:color w:val="auto"/>
          <w:kern w:val="2"/>
          <w:sz w:val="24"/>
          <w:szCs w:val="28"/>
          <w:highlight w:val="none"/>
          <w:lang w:val="en-US" w:eastAsia="zh-CN"/>
        </w:rPr>
        <w:t>二</w:t>
      </w:r>
      <w:r>
        <w:rPr>
          <w:rFonts w:hint="eastAsia" w:ascii="Calibri Light" w:hAnsi="Calibri Light" w:eastAsia="宋体" w:cs="Times New Roman"/>
          <w:b/>
          <w:bCs/>
          <w:color w:val="auto"/>
          <w:kern w:val="2"/>
          <w:sz w:val="24"/>
          <w:szCs w:val="28"/>
          <w:highlight w:val="none"/>
        </w:rPr>
        <w:t>、光伏发电设施技术要求</w:t>
      </w:r>
      <w:bookmarkEnd w:id="16"/>
    </w:p>
    <w:p w14:paraId="4130A5DF">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rPr>
        <w:t>1.光伏支架（棚架）、基础技术要求</w:t>
      </w:r>
    </w:p>
    <w:p w14:paraId="7AD2FB26">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（1）图纸要求</w:t>
      </w:r>
    </w:p>
    <w:p w14:paraId="566B3025">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本项目必须在正式施工前出具完整的施工图纸</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包含但不限于电气、结构、相关辅助设施等平面布置图与安装大样图等</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p>
    <w:p w14:paraId="7A2A125F">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（2）如需进行深化设计时的设计要求</w:t>
      </w:r>
    </w:p>
    <w:p w14:paraId="5C732C48">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①本项目光伏系统的支架应按照国家规范所规定的50年一遇风压进行支架结构及基础设计</w:t>
      </w:r>
      <w:r>
        <w:rPr>
          <w:rFonts w:hint="eastAsia" w:ascii="宋体" w:hAnsi="宋体" w:eastAsia="宋体" w:cs="宋体"/>
          <w:color w:val="auto"/>
          <w:kern w:val="2"/>
          <w:sz w:val="21"/>
          <w:szCs w:val="21"/>
          <w:highlight w:val="none"/>
          <w:lang w:eastAsia="zh-CN"/>
        </w:rPr>
        <w:t>，光伏支架（棚架）可以抵御</w:t>
      </w:r>
      <w:r>
        <w:rPr>
          <w:rFonts w:hint="eastAsia" w:ascii="宋体" w:hAnsi="宋体" w:eastAsia="宋体" w:cs="宋体"/>
          <w:color w:val="auto"/>
          <w:kern w:val="2"/>
          <w:sz w:val="21"/>
          <w:szCs w:val="21"/>
          <w:highlight w:val="none"/>
          <w:lang w:val="en-US" w:eastAsia="zh-CN"/>
        </w:rPr>
        <w:t>13</w:t>
      </w:r>
      <w:r>
        <w:rPr>
          <w:rFonts w:hint="eastAsia" w:ascii="宋体" w:hAnsi="宋体" w:eastAsia="宋体" w:cs="宋体"/>
          <w:color w:val="auto"/>
          <w:kern w:val="2"/>
          <w:sz w:val="21"/>
          <w:szCs w:val="21"/>
          <w:highlight w:val="none"/>
          <w:lang w:eastAsia="zh-CN"/>
        </w:rPr>
        <w:t>级台风</w:t>
      </w:r>
      <w:r>
        <w:rPr>
          <w:rFonts w:hint="eastAsia" w:ascii="宋体" w:hAnsi="宋体" w:eastAsia="宋体" w:cs="宋体"/>
          <w:color w:val="auto"/>
          <w:kern w:val="2"/>
          <w:sz w:val="21"/>
          <w:szCs w:val="21"/>
          <w:highlight w:val="none"/>
        </w:rPr>
        <w:t>。</w:t>
      </w:r>
    </w:p>
    <w:p w14:paraId="6D467567">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②彩钢瓦屋面光伏系统安装后的总荷载原则上必须≤15kG/m2，混凝土屋面光伏系统安装后的总荷载原则上必须≤150kG/m2，且必须找</w:t>
      </w:r>
      <w:r>
        <w:rPr>
          <w:rFonts w:hint="eastAsia" w:ascii="宋体" w:hAnsi="宋体" w:eastAsia="宋体" w:cs="宋体"/>
          <w:color w:val="auto"/>
          <w:kern w:val="2"/>
          <w:sz w:val="21"/>
          <w:szCs w:val="21"/>
          <w:highlight w:val="none"/>
          <w:lang w:val="en-US" w:eastAsia="zh-CN"/>
        </w:rPr>
        <w:t>鉴定</w:t>
      </w:r>
      <w:r>
        <w:rPr>
          <w:rFonts w:hint="eastAsia" w:ascii="宋体" w:hAnsi="宋体" w:eastAsia="宋体" w:cs="宋体"/>
          <w:color w:val="auto"/>
          <w:kern w:val="2"/>
          <w:sz w:val="21"/>
          <w:szCs w:val="21"/>
          <w:highlight w:val="none"/>
        </w:rPr>
        <w:t>设计院核算彩钢瓦屋面是否满足屋面结构荷载要求，出具屋面承重报告。</w:t>
      </w:r>
    </w:p>
    <w:p w14:paraId="0F065AE5">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③彩钢瓦屋面的支架应采用轻质铝合金材料作为支架及基础，用6005-T5及以上材质，厚度在2mm及以上</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要求做到阳极氧化处理以达到充分的防腐效果</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彩钢瓦屋面铝合金夹具厚度应在4mm及以上；</w:t>
      </w:r>
      <w:r>
        <w:rPr>
          <w:rFonts w:hint="eastAsia" w:ascii="宋体" w:hAnsi="宋体" w:eastAsia="宋体" w:cs="宋体"/>
          <w:color w:val="auto"/>
          <w:kern w:val="2"/>
          <w:sz w:val="21"/>
          <w:szCs w:val="21"/>
          <w:highlight w:val="none"/>
          <w:lang w:val="en-US" w:eastAsia="zh-CN"/>
        </w:rPr>
        <w:t>光伏组件</w:t>
      </w:r>
      <w:r>
        <w:rPr>
          <w:rFonts w:hint="eastAsia" w:ascii="宋体" w:hAnsi="宋体" w:eastAsia="宋体" w:cs="宋体"/>
          <w:color w:val="auto"/>
          <w:kern w:val="2"/>
          <w:sz w:val="21"/>
          <w:szCs w:val="21"/>
          <w:highlight w:val="none"/>
        </w:rPr>
        <w:t>铝合金中压块的厚度应在3mm及以上，铝合金边压块的厚度应在4mm及以上。采取的支架和夹具必须只能夹在屋面瓦楞上，不得在</w:t>
      </w:r>
      <w:r>
        <w:rPr>
          <w:rFonts w:hint="eastAsia" w:ascii="宋体" w:hAnsi="宋体" w:eastAsia="宋体" w:cs="宋体"/>
          <w:color w:val="auto"/>
          <w:kern w:val="2"/>
          <w:sz w:val="21"/>
          <w:szCs w:val="21"/>
          <w:highlight w:val="none"/>
          <w:lang w:val="en-US" w:eastAsia="zh-CN"/>
        </w:rPr>
        <w:t>彩钢瓦</w:t>
      </w:r>
      <w:r>
        <w:rPr>
          <w:rFonts w:hint="eastAsia" w:ascii="宋体" w:hAnsi="宋体" w:eastAsia="宋体" w:cs="宋体"/>
          <w:color w:val="auto"/>
          <w:kern w:val="2"/>
          <w:sz w:val="21"/>
          <w:szCs w:val="21"/>
          <w:highlight w:val="none"/>
        </w:rPr>
        <w:t>屋面开孔、开洞、</w:t>
      </w:r>
      <w:r>
        <w:rPr>
          <w:rFonts w:hint="eastAsia" w:ascii="宋体" w:hAnsi="宋体" w:eastAsia="宋体" w:cs="宋体"/>
          <w:color w:val="auto"/>
          <w:kern w:val="2"/>
          <w:sz w:val="21"/>
          <w:szCs w:val="21"/>
          <w:highlight w:val="none"/>
          <w:lang w:val="en-US" w:eastAsia="zh-CN"/>
        </w:rPr>
        <w:t>钻</w:t>
      </w:r>
      <w:r>
        <w:rPr>
          <w:rFonts w:hint="eastAsia" w:ascii="宋体" w:hAnsi="宋体" w:eastAsia="宋体" w:cs="宋体"/>
          <w:color w:val="auto"/>
          <w:kern w:val="2"/>
          <w:sz w:val="21"/>
          <w:szCs w:val="21"/>
          <w:highlight w:val="none"/>
        </w:rPr>
        <w:t>钉，以充分保证原彩钢瓦屋面的防水效果</w:t>
      </w:r>
      <w:r>
        <w:rPr>
          <w:rFonts w:hint="eastAsia" w:ascii="宋体" w:hAnsi="宋体" w:eastAsia="宋体" w:cs="宋体"/>
          <w:color w:val="auto"/>
          <w:kern w:val="2"/>
          <w:sz w:val="21"/>
          <w:szCs w:val="21"/>
          <w:highlight w:val="none"/>
          <w:lang w:eastAsia="zh-CN"/>
        </w:rPr>
        <w:t>，若由此造成屋面漏水的，承包单位必须无条件维修好并承担所需全部费用</w:t>
      </w:r>
      <w:r>
        <w:rPr>
          <w:rFonts w:hint="eastAsia" w:ascii="宋体" w:hAnsi="宋体" w:eastAsia="宋体" w:cs="宋体"/>
          <w:color w:val="auto"/>
          <w:kern w:val="2"/>
          <w:sz w:val="21"/>
          <w:szCs w:val="21"/>
          <w:highlight w:val="none"/>
        </w:rPr>
        <w:t>。</w:t>
      </w:r>
    </w:p>
    <w:p w14:paraId="75878A93">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④混凝土屋顶支架形式采用固定式钢支架，用Q235B及以上钢材，钢材防腐采用热浸锌和镀镁铝锌两种方式。若采用热浸锌防腐，锌层平均厚度不低于65um；若采用镀镁铝锌防腐，双面镀层重量不少于275g/m2。主梁和立柱的厚度不小于2.5mm，用于次梁的板厚不小于2.0mm，用于主次构件连接的钢板和构件厚度不得小于3mm。为防止混凝土开裂，按规范要求配置钢筋，混凝土强度等级用C25以上。</w:t>
      </w:r>
    </w:p>
    <w:p w14:paraId="3AC82C99">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⑤棚架结构采用固定式钢支架，用Q235B及以上</w:t>
      </w:r>
      <w:r>
        <w:rPr>
          <w:rFonts w:hint="eastAsia" w:ascii="宋体" w:hAnsi="宋体" w:eastAsia="宋体" w:cs="宋体"/>
          <w:color w:val="auto"/>
          <w:kern w:val="2"/>
          <w:sz w:val="21"/>
          <w:szCs w:val="21"/>
          <w:highlight w:val="none"/>
          <w:lang w:val="en-US" w:eastAsia="zh-CN"/>
        </w:rPr>
        <w:t>H型钢或工字钢(承重结构所用材料必须经有检验资质的第三方单位检验符合设计要求)</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涂层厚度室内不少于125</w:t>
      </w:r>
      <w:r>
        <w:rPr>
          <w:rFonts w:hint="eastAsia" w:ascii="宋体" w:hAnsi="宋体" w:eastAsia="宋体" w:cs="宋体"/>
          <w:color w:val="auto"/>
          <w:kern w:val="2"/>
          <w:sz w:val="21"/>
          <w:szCs w:val="21"/>
          <w:highlight w:val="none"/>
        </w:rPr>
        <w:t>um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室外不少于150</w:t>
      </w:r>
      <w:r>
        <w:rPr>
          <w:rFonts w:hint="eastAsia" w:ascii="宋体" w:hAnsi="宋体" w:eastAsia="宋体" w:cs="宋体"/>
          <w:color w:val="auto"/>
          <w:kern w:val="2"/>
          <w:sz w:val="21"/>
          <w:szCs w:val="21"/>
          <w:highlight w:val="none"/>
        </w:rPr>
        <w:t>um。‌横梁与檩条的连接方式</w:t>
      </w:r>
      <w:r>
        <w:rPr>
          <w:rFonts w:hint="eastAsia" w:ascii="宋体" w:hAnsi="宋体" w:eastAsia="宋体" w:cs="宋体"/>
          <w:color w:val="auto"/>
          <w:kern w:val="2"/>
          <w:sz w:val="21"/>
          <w:szCs w:val="21"/>
          <w:highlight w:val="none"/>
          <w:lang w:val="en-US" w:eastAsia="zh-CN"/>
        </w:rPr>
        <w:t>采用</w:t>
      </w:r>
      <w:r>
        <w:rPr>
          <w:rFonts w:hint="eastAsia" w:ascii="宋体" w:hAnsi="宋体" w:eastAsia="宋体" w:cs="宋体"/>
          <w:color w:val="auto"/>
          <w:kern w:val="2"/>
          <w:sz w:val="21"/>
          <w:szCs w:val="21"/>
          <w:highlight w:val="none"/>
        </w:rPr>
        <w:t>螺栓连接</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棚架的檐口高度不得低于2.5m，</w:t>
      </w:r>
      <w:r>
        <w:rPr>
          <w:rFonts w:hint="eastAsia" w:ascii="宋体" w:hAnsi="宋体" w:eastAsia="宋体" w:cs="宋体"/>
          <w:b/>
          <w:bCs/>
          <w:color w:val="auto"/>
          <w:kern w:val="2"/>
          <w:sz w:val="21"/>
          <w:szCs w:val="21"/>
          <w:highlight w:val="none"/>
        </w:rPr>
        <w:t>最高点不得高于2.8m</w:t>
      </w:r>
      <w:r>
        <w:rPr>
          <w:rFonts w:hint="eastAsia" w:ascii="宋体" w:hAnsi="宋体" w:eastAsia="宋体" w:cs="宋体"/>
          <w:color w:val="auto"/>
          <w:kern w:val="2"/>
          <w:sz w:val="21"/>
          <w:szCs w:val="21"/>
          <w:highlight w:val="none"/>
        </w:rPr>
        <w:t>，安装倾角经模拟后判断后确定，整体棚架设计必须通过</w:t>
      </w:r>
      <w:r>
        <w:rPr>
          <w:rFonts w:hint="eastAsia" w:ascii="宋体" w:hAnsi="宋体" w:eastAsia="宋体" w:cs="宋体"/>
          <w:color w:val="auto"/>
          <w:kern w:val="2"/>
          <w:sz w:val="21"/>
          <w:szCs w:val="21"/>
          <w:highlight w:val="none"/>
          <w:lang w:val="en-US" w:eastAsia="zh-CN"/>
        </w:rPr>
        <w:t>城管部门和</w:t>
      </w:r>
      <w:r>
        <w:rPr>
          <w:rFonts w:hint="eastAsia" w:ascii="宋体" w:hAnsi="宋体" w:eastAsia="宋体" w:cs="宋体"/>
          <w:color w:val="auto"/>
          <w:kern w:val="2"/>
          <w:sz w:val="21"/>
          <w:szCs w:val="21"/>
          <w:highlight w:val="none"/>
        </w:rPr>
        <w:t>供电部门验收。</w:t>
      </w:r>
    </w:p>
    <w:p w14:paraId="4E51C8A1">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⑥混凝土屋面不得采用膨胀螺栓固定支架的方式，而应采用混凝土支墩基础</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形状要求：圆柱形</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的方案来达到抗风荷载的要求；若因光伏项目造成屋面漏水的，由投标单位负责处理完好。</w:t>
      </w:r>
    </w:p>
    <w:p w14:paraId="7F2F3F2D">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⑦光伏支架设计应满足10年内可拆卸再利用和25年内安全使用的要求。</w:t>
      </w:r>
    </w:p>
    <w:p w14:paraId="5F2A08EC">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⑧设计时，整个支架结构的强度、挠度、稳定性应符合国家结构设计相关规范的安全性要求；同时，支架结构的的节点连接也应满足国家结构设计规范的结构安全性的要求。</w:t>
      </w:r>
    </w:p>
    <w:p w14:paraId="12542540">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（3）安装要求</w:t>
      </w:r>
    </w:p>
    <w:p w14:paraId="3DD98392">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光伏组件安装时必须在天窗周边、天沟周边、女儿墙边、出屋面风管等设备周边、采光带周边、高低跨交界面边等位置设置检修维护通道和空间，检修通道宽度、尺寸必须满足检修人员及工具正常通行和作业，并利于紧急情况下快速撤离。</w:t>
      </w:r>
    </w:p>
    <w:p w14:paraId="47304C8B">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②屋顶光伏安装区域的维护通道、参观通道、洞口、屋顶坠落高度基准面2</w:t>
      </w:r>
      <w:r>
        <w:rPr>
          <w:rFonts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rPr>
        <w:t>及以上的临空一侧需要安装防坠落保护设施，在临空一侧设置高度≥1</w:t>
      </w:r>
      <w:r>
        <w:rPr>
          <w:rFonts w:ascii="宋体" w:hAnsi="宋体" w:eastAsia="宋体" w:cs="宋体"/>
          <w:color w:val="auto"/>
          <w:kern w:val="2"/>
          <w:sz w:val="21"/>
          <w:szCs w:val="21"/>
          <w:highlight w:val="none"/>
        </w:rPr>
        <w:t>.2m</w:t>
      </w:r>
      <w:r>
        <w:rPr>
          <w:rFonts w:hint="eastAsia" w:ascii="宋体" w:hAnsi="宋体" w:eastAsia="宋体" w:cs="宋体"/>
          <w:color w:val="auto"/>
          <w:kern w:val="2"/>
          <w:sz w:val="21"/>
          <w:szCs w:val="21"/>
          <w:highlight w:val="none"/>
        </w:rPr>
        <w:t>的防护栏杆，并采用密目式安全立网或工具式栏板封闭，设置底部防护密目网，防护网采用不锈钢材质，高度不少于0.2m，防止工具材料掉落，防护网上端至防护栏顶部设置三条横杆，横杆之间的间距0.</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m，护栏立柱之间的间距小于1.5m，防护栏按间隔可靠防雷接地，确保登上屋顶人员的人身安全和防止高空坠物，防护栏杆应满足25年内安全使用的要求。相关防护设施的参数需要满足《建筑施工高处作业安全技术规范》J</w:t>
      </w:r>
      <w:r>
        <w:rPr>
          <w:rFonts w:ascii="宋体" w:hAnsi="宋体" w:eastAsia="宋体" w:cs="宋体"/>
          <w:color w:val="auto"/>
          <w:kern w:val="2"/>
          <w:sz w:val="21"/>
          <w:szCs w:val="21"/>
          <w:highlight w:val="none"/>
        </w:rPr>
        <w:t>GJ80-2016</w:t>
      </w:r>
      <w:r>
        <w:rPr>
          <w:rFonts w:hint="eastAsia" w:ascii="宋体" w:hAnsi="宋体" w:eastAsia="宋体" w:cs="宋体"/>
          <w:color w:val="auto"/>
          <w:kern w:val="2"/>
          <w:sz w:val="21"/>
          <w:szCs w:val="21"/>
          <w:highlight w:val="none"/>
        </w:rPr>
        <w:t>及国家相关规范和我司安全管理的相关要求。</w:t>
      </w:r>
    </w:p>
    <w:p w14:paraId="4658CFFA">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组件安装时，</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单位必须对</w:t>
      </w:r>
      <w:r>
        <w:rPr>
          <w:rFonts w:hint="eastAsia" w:ascii="宋体" w:hAnsi="宋体" w:eastAsia="宋体" w:cs="宋体"/>
          <w:color w:val="auto"/>
          <w:kern w:val="2"/>
          <w:sz w:val="21"/>
          <w:szCs w:val="21"/>
          <w:highlight w:val="none"/>
          <w:lang w:val="en-US" w:eastAsia="zh-CN"/>
        </w:rPr>
        <w:t>业主</w:t>
      </w:r>
      <w:r>
        <w:rPr>
          <w:rFonts w:hint="eastAsia" w:ascii="宋体" w:hAnsi="宋体" w:eastAsia="宋体" w:cs="宋体"/>
          <w:color w:val="auto"/>
          <w:kern w:val="2"/>
          <w:sz w:val="21"/>
          <w:szCs w:val="21"/>
          <w:highlight w:val="none"/>
        </w:rPr>
        <w:t>屋面做好相应的保护措施，避免</w:t>
      </w:r>
      <w:r>
        <w:rPr>
          <w:rFonts w:hint="eastAsia" w:ascii="宋体" w:hAnsi="宋体" w:eastAsia="宋体" w:cs="宋体"/>
          <w:color w:val="auto"/>
          <w:kern w:val="2"/>
          <w:sz w:val="21"/>
          <w:szCs w:val="21"/>
          <w:highlight w:val="none"/>
          <w:lang w:val="en-US" w:eastAsia="zh-CN"/>
        </w:rPr>
        <w:t>安装</w:t>
      </w:r>
      <w:r>
        <w:rPr>
          <w:rFonts w:hint="eastAsia" w:ascii="宋体" w:hAnsi="宋体" w:eastAsia="宋体" w:cs="宋体"/>
          <w:color w:val="auto"/>
          <w:kern w:val="2"/>
          <w:sz w:val="21"/>
          <w:szCs w:val="21"/>
          <w:highlight w:val="none"/>
        </w:rPr>
        <w:t>过程中对</w:t>
      </w:r>
      <w:r>
        <w:rPr>
          <w:rFonts w:hint="eastAsia" w:ascii="宋体" w:hAnsi="宋体" w:eastAsia="宋体" w:cs="宋体"/>
          <w:color w:val="auto"/>
          <w:kern w:val="2"/>
          <w:sz w:val="21"/>
          <w:szCs w:val="21"/>
          <w:highlight w:val="none"/>
          <w:lang w:val="en-US" w:eastAsia="zh-CN"/>
        </w:rPr>
        <w:t>业主</w:t>
      </w:r>
      <w:r>
        <w:rPr>
          <w:rFonts w:hint="eastAsia" w:ascii="宋体" w:hAnsi="宋体" w:eastAsia="宋体" w:cs="宋体"/>
          <w:color w:val="auto"/>
          <w:kern w:val="2"/>
          <w:sz w:val="21"/>
          <w:szCs w:val="21"/>
          <w:highlight w:val="none"/>
        </w:rPr>
        <w:t>屋面造成损坏(尤其是屋面的</w:t>
      </w:r>
      <w:r>
        <w:rPr>
          <w:rFonts w:hint="eastAsia" w:ascii="宋体" w:hAnsi="宋体" w:eastAsia="宋体" w:cs="宋体"/>
          <w:color w:val="auto"/>
          <w:kern w:val="2"/>
          <w:sz w:val="21"/>
          <w:szCs w:val="21"/>
          <w:highlight w:val="none"/>
          <w:lang w:val="en-US" w:eastAsia="zh-CN"/>
        </w:rPr>
        <w:t>防水</w:t>
      </w:r>
      <w:r>
        <w:rPr>
          <w:rFonts w:hint="eastAsia" w:ascii="宋体" w:hAnsi="宋体" w:eastAsia="宋体" w:cs="宋体"/>
          <w:color w:val="auto"/>
          <w:kern w:val="2"/>
          <w:sz w:val="21"/>
          <w:szCs w:val="21"/>
          <w:highlight w:val="none"/>
        </w:rPr>
        <w:t>层</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油漆</w:t>
      </w:r>
      <w:r>
        <w:rPr>
          <w:rFonts w:hint="eastAsia" w:ascii="宋体" w:hAnsi="宋体" w:eastAsia="宋体" w:cs="宋体"/>
          <w:color w:val="auto"/>
          <w:kern w:val="2"/>
          <w:sz w:val="21"/>
          <w:szCs w:val="21"/>
          <w:highlight w:val="none"/>
        </w:rPr>
        <w:t>层)。</w:t>
      </w:r>
      <w:r>
        <w:rPr>
          <w:rFonts w:hint="eastAsia" w:ascii="宋体" w:hAnsi="宋体" w:eastAsia="宋体" w:cs="宋体"/>
          <w:color w:val="auto"/>
          <w:kern w:val="2"/>
          <w:sz w:val="21"/>
          <w:szCs w:val="21"/>
          <w:highlight w:val="none"/>
          <w:lang w:val="en-US" w:eastAsia="zh-CN"/>
        </w:rPr>
        <w:t>如</w:t>
      </w:r>
      <w:r>
        <w:rPr>
          <w:rFonts w:hint="eastAsia" w:ascii="宋体" w:hAnsi="宋体" w:eastAsia="宋体" w:cs="宋体"/>
          <w:color w:val="auto"/>
          <w:kern w:val="2"/>
          <w:sz w:val="21"/>
          <w:szCs w:val="21"/>
          <w:highlight w:val="none"/>
        </w:rPr>
        <w:t>不慎造成损坏，</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单位必须无条件维修好并承担所需全部费用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若由</w:t>
      </w:r>
      <w:r>
        <w:rPr>
          <w:rFonts w:hint="eastAsia" w:ascii="宋体" w:hAnsi="宋体" w:eastAsia="宋体" w:cs="宋体"/>
          <w:color w:val="auto"/>
          <w:kern w:val="2"/>
          <w:sz w:val="21"/>
          <w:szCs w:val="21"/>
          <w:highlight w:val="none"/>
        </w:rPr>
        <w:t>此造成屋面漏</w:t>
      </w:r>
      <w:r>
        <w:rPr>
          <w:rFonts w:hint="eastAsia" w:ascii="宋体" w:hAnsi="宋体" w:eastAsia="宋体" w:cs="宋体"/>
          <w:color w:val="auto"/>
          <w:kern w:val="2"/>
          <w:sz w:val="21"/>
          <w:szCs w:val="21"/>
          <w:highlight w:val="none"/>
          <w:lang w:val="en-US" w:eastAsia="zh-CN"/>
        </w:rPr>
        <w:t>水</w:t>
      </w:r>
      <w:r>
        <w:rPr>
          <w:rFonts w:hint="eastAsia" w:ascii="宋体" w:hAnsi="宋体" w:eastAsia="宋体" w:cs="宋体"/>
          <w:color w:val="auto"/>
          <w:kern w:val="2"/>
          <w:sz w:val="21"/>
          <w:szCs w:val="21"/>
          <w:highlight w:val="none"/>
        </w:rPr>
        <w:t>的，</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单位应按照</w:t>
      </w:r>
      <w:r>
        <w:rPr>
          <w:rFonts w:hint="eastAsia" w:ascii="Calibri" w:hAnsi="宋体" w:eastAsia="宋体" w:cs="宋体"/>
          <w:color w:val="auto"/>
          <w:kern w:val="2"/>
          <w:sz w:val="21"/>
          <w:szCs w:val="21"/>
          <w:highlight w:val="none"/>
        </w:rPr>
        <w:t>采购人</w:t>
      </w:r>
      <w:r>
        <w:rPr>
          <w:rFonts w:hint="eastAsia" w:ascii="宋体" w:hAnsi="宋体" w:eastAsia="宋体" w:cs="宋体"/>
          <w:color w:val="auto"/>
          <w:kern w:val="2"/>
          <w:sz w:val="21"/>
          <w:szCs w:val="21"/>
          <w:highlight w:val="none"/>
        </w:rPr>
        <w:t>遭受的连带损失统一进行赔偿。</w:t>
      </w:r>
    </w:p>
    <w:p w14:paraId="35F6C07E">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④安装螺栓选用不锈钢304及以上材质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表面需钝化</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安装前须点胶或采用防松动螺母。</w:t>
      </w:r>
    </w:p>
    <w:p w14:paraId="0DCD3843">
      <w:pPr>
        <w:widowControl w:val="0"/>
        <w:wordWrap w:val="0"/>
        <w:adjustRightInd/>
        <w:snapToGrid/>
        <w:spacing w:after="0" w:line="288" w:lineRule="auto"/>
        <w:ind w:firstLine="420" w:firstLineChars="200"/>
        <w:jc w:val="both"/>
        <w:rPr>
          <w:color w:val="auto"/>
          <w:highlight w:val="none"/>
        </w:rPr>
      </w:pPr>
      <w:r>
        <w:rPr>
          <w:rFonts w:hint="eastAsia" w:ascii="宋体" w:hAnsi="宋体" w:eastAsia="宋体" w:cs="宋体"/>
          <w:color w:val="auto"/>
          <w:kern w:val="2"/>
          <w:sz w:val="21"/>
          <w:szCs w:val="21"/>
          <w:highlight w:val="none"/>
        </w:rPr>
        <w:t>⑤棚架两侧天沟采用不锈钢304及以上材质，天沟外侧高度比组件基准面高20cm，并有效支撑固定。</w:t>
      </w:r>
    </w:p>
    <w:p w14:paraId="06589A4C">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⑥</w:t>
      </w:r>
      <w:r>
        <w:rPr>
          <w:rFonts w:hint="eastAsia" w:ascii="宋体" w:hAnsi="宋体" w:eastAsia="宋体" w:cs="宋体"/>
          <w:color w:val="auto"/>
          <w:kern w:val="2"/>
          <w:sz w:val="21"/>
          <w:szCs w:val="21"/>
          <w:highlight w:val="none"/>
        </w:rPr>
        <w:t>本项目的部分屋面的利用率，各投标单位在投标前认真查看图纸核算。</w:t>
      </w:r>
    </w:p>
    <w:p w14:paraId="5D76E787">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rPr>
        <w:t>2.光伏系统的电气接入(并网)技术要求</w:t>
      </w:r>
    </w:p>
    <w:p w14:paraId="2206DE8B">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单位需完成</w:t>
      </w:r>
      <w:r>
        <w:rPr>
          <w:rFonts w:hint="eastAsia" w:ascii="宋体" w:hAnsi="宋体" w:eastAsia="宋体" w:cs="宋体"/>
          <w:color w:val="auto"/>
          <w:kern w:val="2"/>
          <w:sz w:val="21"/>
          <w:szCs w:val="21"/>
          <w:highlight w:val="none"/>
          <w:lang w:val="en-US" w:eastAsia="zh-CN"/>
        </w:rPr>
        <w:t>项目</w:t>
      </w:r>
      <w:r>
        <w:rPr>
          <w:rFonts w:hint="eastAsia" w:ascii="宋体" w:hAnsi="宋体" w:eastAsia="宋体" w:cs="宋体"/>
          <w:color w:val="auto"/>
          <w:kern w:val="2"/>
          <w:sz w:val="21"/>
          <w:szCs w:val="21"/>
          <w:highlight w:val="none"/>
        </w:rPr>
        <w:t>接入系统部分</w:t>
      </w:r>
      <w:r>
        <w:rPr>
          <w:rFonts w:hint="eastAsia" w:ascii="宋体" w:hAnsi="宋体" w:eastAsia="宋体" w:cs="宋体"/>
          <w:color w:val="auto"/>
          <w:kern w:val="2"/>
          <w:sz w:val="21"/>
          <w:szCs w:val="21"/>
          <w:highlight w:val="none"/>
          <w:lang w:val="en-US" w:eastAsia="zh-CN"/>
        </w:rPr>
        <w:t>供电</w:t>
      </w:r>
      <w:r>
        <w:rPr>
          <w:rFonts w:hint="eastAsia" w:ascii="宋体" w:hAnsi="宋体" w:eastAsia="宋体" w:cs="宋体"/>
          <w:color w:val="auto"/>
          <w:kern w:val="2"/>
          <w:sz w:val="21"/>
          <w:szCs w:val="21"/>
          <w:highlight w:val="none"/>
        </w:rPr>
        <w:t>部门的备案、</w:t>
      </w:r>
      <w:r>
        <w:rPr>
          <w:rFonts w:hint="eastAsia" w:ascii="宋体" w:hAnsi="宋体" w:eastAsia="宋体" w:cs="宋体"/>
          <w:color w:val="auto"/>
          <w:kern w:val="2"/>
          <w:sz w:val="21"/>
          <w:szCs w:val="21"/>
          <w:highlight w:val="none"/>
          <w:lang w:val="en-US" w:eastAsia="zh-CN"/>
        </w:rPr>
        <w:t>报装、</w:t>
      </w:r>
      <w:r>
        <w:rPr>
          <w:rFonts w:hint="eastAsia" w:ascii="宋体" w:hAnsi="宋体" w:eastAsia="宋体" w:cs="宋体"/>
          <w:color w:val="auto"/>
          <w:kern w:val="2"/>
          <w:sz w:val="21"/>
          <w:szCs w:val="21"/>
          <w:highlight w:val="none"/>
        </w:rPr>
        <w:t>相关报验流程</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验收手续</w:t>
      </w:r>
      <w:r>
        <w:rPr>
          <w:rFonts w:hint="eastAsia" w:ascii="宋体" w:hAnsi="宋体" w:eastAsia="宋体" w:cs="宋体"/>
          <w:color w:val="auto"/>
          <w:kern w:val="2"/>
          <w:sz w:val="21"/>
          <w:szCs w:val="21"/>
          <w:highlight w:val="none"/>
          <w:lang w:val="en-US" w:eastAsia="zh-CN"/>
        </w:rPr>
        <w:t>及装表并网</w:t>
      </w:r>
      <w:r>
        <w:rPr>
          <w:rFonts w:hint="eastAsia" w:ascii="宋体" w:hAnsi="宋体" w:eastAsia="宋体" w:cs="宋体"/>
          <w:color w:val="auto"/>
          <w:kern w:val="2"/>
          <w:sz w:val="21"/>
          <w:szCs w:val="21"/>
          <w:highlight w:val="none"/>
        </w:rPr>
        <w:t>手续</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同时在并网后前期做好相关供售电手续交接事宜</w:t>
      </w:r>
      <w:r>
        <w:rPr>
          <w:rFonts w:hint="eastAsia" w:ascii="宋体" w:hAnsi="宋体" w:eastAsia="宋体" w:cs="宋体"/>
          <w:color w:val="auto"/>
          <w:kern w:val="2"/>
          <w:sz w:val="21"/>
          <w:szCs w:val="21"/>
          <w:highlight w:val="none"/>
        </w:rPr>
        <w:t>。</w:t>
      </w:r>
    </w:p>
    <w:p w14:paraId="5BB894E3">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系统的电气接入电压等级、接线等应满足国标及南方电网有关的技术规程规范的要求</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须考虑</w:t>
      </w:r>
      <w:r>
        <w:rPr>
          <w:rFonts w:hint="eastAsia" w:ascii="宋体" w:hAnsi="宋体" w:eastAsia="宋体" w:cs="宋体"/>
          <w:color w:val="auto"/>
          <w:kern w:val="2"/>
          <w:sz w:val="21"/>
          <w:szCs w:val="21"/>
          <w:highlight w:val="none"/>
          <w:lang w:val="en-US" w:eastAsia="zh-CN"/>
        </w:rPr>
        <w:t>单个并网</w:t>
      </w:r>
      <w:r>
        <w:rPr>
          <w:rFonts w:hint="eastAsia" w:ascii="宋体" w:hAnsi="宋体" w:eastAsia="宋体" w:cs="宋体"/>
          <w:color w:val="auto"/>
          <w:kern w:val="2"/>
          <w:sz w:val="21"/>
          <w:szCs w:val="21"/>
          <w:highlight w:val="none"/>
        </w:rPr>
        <w:t>点</w:t>
      </w:r>
      <w:r>
        <w:rPr>
          <w:rFonts w:hint="eastAsia" w:ascii="宋体" w:hAnsi="宋体" w:eastAsia="宋体" w:cs="宋体"/>
          <w:color w:val="auto"/>
          <w:kern w:val="2"/>
          <w:sz w:val="21"/>
          <w:szCs w:val="21"/>
          <w:highlight w:val="none"/>
          <w:lang w:val="en-US" w:eastAsia="zh-CN"/>
        </w:rPr>
        <w:t>装机容量</w:t>
      </w:r>
      <w:r>
        <w:rPr>
          <w:rFonts w:hint="eastAsia" w:ascii="宋体" w:hAnsi="宋体" w:eastAsia="宋体" w:cs="宋体"/>
          <w:color w:val="auto"/>
          <w:kern w:val="2"/>
          <w:sz w:val="21"/>
          <w:szCs w:val="21"/>
          <w:highlight w:val="none"/>
        </w:rPr>
        <w:t>、接入条件、变压器容量、功率因数及负荷情况。应根据有关光伏系统接入规程规范做接入系统的技术经济研究，确定最优的、满足当地南方电网公司相关要求的电气接入系统方案，并需得到当地供电部门的批准。</w:t>
      </w:r>
    </w:p>
    <w:p w14:paraId="62C9D5B0">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（3）</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系统接入后应不</w:t>
      </w:r>
      <w:r>
        <w:rPr>
          <w:rFonts w:hint="eastAsia" w:ascii="宋体" w:hAnsi="宋体" w:eastAsia="宋体" w:cs="宋体"/>
          <w:color w:val="auto"/>
          <w:kern w:val="2"/>
          <w:sz w:val="21"/>
          <w:szCs w:val="21"/>
          <w:highlight w:val="none"/>
          <w:lang w:val="en-US" w:eastAsia="zh-CN"/>
        </w:rPr>
        <w:t>得</w:t>
      </w:r>
      <w:r>
        <w:rPr>
          <w:rFonts w:hint="eastAsia" w:ascii="宋体" w:hAnsi="宋体" w:eastAsia="宋体" w:cs="宋体"/>
          <w:color w:val="auto"/>
          <w:kern w:val="2"/>
          <w:sz w:val="21"/>
          <w:szCs w:val="21"/>
          <w:highlight w:val="none"/>
        </w:rPr>
        <w:t>降低</w:t>
      </w:r>
      <w:r>
        <w:rPr>
          <w:rFonts w:hint="eastAsia" w:ascii="宋体" w:hAnsi="宋体" w:eastAsia="宋体" w:cs="宋体"/>
          <w:color w:val="auto"/>
          <w:kern w:val="2"/>
          <w:sz w:val="21"/>
          <w:szCs w:val="21"/>
          <w:highlight w:val="none"/>
          <w:lang w:val="en-US" w:eastAsia="zh-CN"/>
        </w:rPr>
        <w:t>业主</w:t>
      </w:r>
      <w:r>
        <w:rPr>
          <w:rFonts w:hint="eastAsia" w:ascii="宋体" w:hAnsi="宋体" w:eastAsia="宋体" w:cs="宋体"/>
          <w:color w:val="auto"/>
          <w:kern w:val="2"/>
          <w:sz w:val="21"/>
          <w:szCs w:val="21"/>
          <w:highlight w:val="none"/>
        </w:rPr>
        <w:t>原有</w:t>
      </w:r>
      <w:r>
        <w:rPr>
          <w:rFonts w:hint="eastAsia" w:ascii="宋体" w:hAnsi="宋体" w:eastAsia="宋体" w:cs="宋体"/>
          <w:color w:val="auto"/>
          <w:kern w:val="2"/>
          <w:sz w:val="21"/>
          <w:szCs w:val="21"/>
          <w:highlight w:val="none"/>
          <w:lang w:val="en-US" w:eastAsia="zh-CN"/>
        </w:rPr>
        <w:t>供</w:t>
      </w:r>
      <w:r>
        <w:rPr>
          <w:rFonts w:hint="eastAsia" w:ascii="宋体" w:hAnsi="宋体" w:eastAsia="宋体" w:cs="宋体"/>
          <w:color w:val="auto"/>
          <w:kern w:val="2"/>
          <w:sz w:val="21"/>
          <w:szCs w:val="21"/>
          <w:highlight w:val="none"/>
        </w:rPr>
        <w:t>配电系统的供电稳定性、可靠性，应把对原</w:t>
      </w:r>
      <w:r>
        <w:rPr>
          <w:rFonts w:hint="eastAsia" w:ascii="宋体" w:hAnsi="宋体" w:eastAsia="宋体" w:cs="宋体"/>
          <w:color w:val="auto"/>
          <w:kern w:val="2"/>
          <w:sz w:val="21"/>
          <w:szCs w:val="21"/>
          <w:highlight w:val="none"/>
          <w:lang w:val="en-US" w:eastAsia="zh-CN"/>
        </w:rPr>
        <w:t>供</w:t>
      </w:r>
      <w:r>
        <w:rPr>
          <w:rFonts w:hint="eastAsia" w:ascii="宋体" w:hAnsi="宋体" w:eastAsia="宋体" w:cs="宋体"/>
          <w:color w:val="auto"/>
          <w:kern w:val="2"/>
          <w:sz w:val="21"/>
          <w:szCs w:val="21"/>
          <w:highlight w:val="none"/>
        </w:rPr>
        <w:t>配电系统的影响降低到最小限度</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w:t>
      </w:r>
      <w:r>
        <w:rPr>
          <w:rFonts w:hint="eastAsia" w:ascii="宋体" w:hAnsi="宋体" w:eastAsia="宋体" w:cs="宋体"/>
          <w:color w:val="auto"/>
          <w:kern w:val="2"/>
          <w:sz w:val="21"/>
          <w:szCs w:val="21"/>
          <w:highlight w:val="none"/>
        </w:rPr>
        <w:t>不</w:t>
      </w:r>
      <w:r>
        <w:rPr>
          <w:rFonts w:hint="eastAsia" w:ascii="宋体" w:hAnsi="宋体" w:eastAsia="宋体" w:cs="宋体"/>
          <w:color w:val="auto"/>
          <w:kern w:val="2"/>
          <w:sz w:val="21"/>
          <w:szCs w:val="21"/>
          <w:highlight w:val="none"/>
          <w:lang w:val="en-US" w:eastAsia="zh-CN"/>
        </w:rPr>
        <w:t>得影响供电部门停电检修，当业主</w:t>
      </w:r>
      <w:r>
        <w:rPr>
          <w:rFonts w:hint="eastAsia" w:ascii="宋体" w:hAnsi="宋体" w:eastAsia="宋体" w:cs="宋体"/>
          <w:color w:val="auto"/>
          <w:kern w:val="2"/>
          <w:sz w:val="21"/>
          <w:szCs w:val="21"/>
          <w:highlight w:val="none"/>
        </w:rPr>
        <w:t>原有</w:t>
      </w:r>
      <w:r>
        <w:rPr>
          <w:rFonts w:hint="eastAsia" w:ascii="宋体" w:hAnsi="宋体" w:eastAsia="宋体" w:cs="宋体"/>
          <w:color w:val="auto"/>
          <w:kern w:val="2"/>
          <w:sz w:val="21"/>
          <w:szCs w:val="21"/>
          <w:highlight w:val="none"/>
          <w:lang w:val="en-US" w:eastAsia="zh-CN"/>
        </w:rPr>
        <w:t>供</w:t>
      </w:r>
      <w:r>
        <w:rPr>
          <w:rFonts w:hint="eastAsia" w:ascii="宋体" w:hAnsi="宋体" w:eastAsia="宋体" w:cs="宋体"/>
          <w:color w:val="auto"/>
          <w:kern w:val="2"/>
          <w:sz w:val="21"/>
          <w:szCs w:val="21"/>
          <w:highlight w:val="none"/>
        </w:rPr>
        <w:t>配电系统的供电稳定性、可靠性</w:t>
      </w:r>
      <w:r>
        <w:rPr>
          <w:rFonts w:hint="eastAsia" w:ascii="宋体" w:hAnsi="宋体" w:eastAsia="宋体" w:cs="宋体"/>
          <w:color w:val="auto"/>
          <w:kern w:val="2"/>
          <w:sz w:val="21"/>
          <w:szCs w:val="21"/>
          <w:highlight w:val="none"/>
          <w:lang w:val="en-US" w:eastAsia="zh-CN"/>
        </w:rPr>
        <w:t>下降，承包</w:t>
      </w:r>
      <w:r>
        <w:rPr>
          <w:rFonts w:hint="eastAsia" w:ascii="宋体" w:hAnsi="宋体" w:eastAsia="宋体" w:cs="宋体"/>
          <w:color w:val="auto"/>
          <w:kern w:val="2"/>
          <w:sz w:val="21"/>
          <w:szCs w:val="21"/>
          <w:highlight w:val="none"/>
        </w:rPr>
        <w:t>单位</w:t>
      </w:r>
      <w:r>
        <w:rPr>
          <w:rFonts w:hint="eastAsia" w:ascii="宋体" w:hAnsi="宋体" w:eastAsia="宋体" w:cs="宋体"/>
          <w:color w:val="auto"/>
          <w:kern w:val="2"/>
          <w:sz w:val="21"/>
          <w:szCs w:val="21"/>
          <w:highlight w:val="none"/>
          <w:lang w:val="en-US" w:eastAsia="zh-CN"/>
        </w:rPr>
        <w:t>必须无条件加装</w:t>
      </w:r>
      <w:r>
        <w:rPr>
          <w:rFonts w:hint="eastAsia" w:ascii="宋体" w:hAnsi="宋体" w:eastAsia="宋体" w:cs="宋体"/>
          <w:b/>
          <w:bCs/>
          <w:color w:val="auto"/>
          <w:kern w:val="2"/>
          <w:sz w:val="21"/>
          <w:szCs w:val="21"/>
          <w:highlight w:val="none"/>
          <w:lang w:val="en-US" w:eastAsia="zh-CN"/>
        </w:rPr>
        <w:t>光伏无功补偿器</w:t>
      </w:r>
      <w:r>
        <w:rPr>
          <w:rFonts w:hint="eastAsia" w:ascii="宋体" w:hAnsi="宋体" w:eastAsia="宋体" w:cs="宋体"/>
          <w:color w:val="auto"/>
          <w:kern w:val="2"/>
          <w:sz w:val="21"/>
          <w:szCs w:val="21"/>
          <w:highlight w:val="none"/>
          <w:lang w:val="en-US" w:eastAsia="zh-CN"/>
        </w:rPr>
        <w:t>承担所需全部费用。</w:t>
      </w:r>
    </w:p>
    <w:p w14:paraId="71CBEC02">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系统接入后不</w:t>
      </w:r>
      <w:r>
        <w:rPr>
          <w:rFonts w:hint="eastAsia" w:ascii="宋体" w:hAnsi="宋体" w:eastAsia="宋体" w:cs="宋体"/>
          <w:color w:val="auto"/>
          <w:kern w:val="2"/>
          <w:sz w:val="21"/>
          <w:szCs w:val="21"/>
          <w:highlight w:val="none"/>
          <w:lang w:val="en-US" w:eastAsia="zh-CN"/>
        </w:rPr>
        <w:t>得影响业主、用能方</w:t>
      </w:r>
      <w:r>
        <w:rPr>
          <w:rFonts w:hint="eastAsia" w:ascii="宋体" w:hAnsi="宋体" w:eastAsia="宋体" w:cs="宋体"/>
          <w:color w:val="auto"/>
          <w:kern w:val="2"/>
          <w:sz w:val="21"/>
          <w:szCs w:val="21"/>
          <w:highlight w:val="none"/>
        </w:rPr>
        <w:t>原有</w:t>
      </w:r>
      <w:r>
        <w:rPr>
          <w:rFonts w:hint="eastAsia" w:ascii="宋体" w:hAnsi="宋体" w:eastAsia="宋体" w:cs="宋体"/>
          <w:color w:val="auto"/>
          <w:kern w:val="2"/>
          <w:sz w:val="21"/>
          <w:szCs w:val="21"/>
          <w:highlight w:val="none"/>
          <w:lang w:val="en-US" w:eastAsia="zh-CN"/>
        </w:rPr>
        <w:t>供</w:t>
      </w:r>
      <w:r>
        <w:rPr>
          <w:rFonts w:hint="eastAsia" w:ascii="宋体" w:hAnsi="宋体" w:eastAsia="宋体" w:cs="宋体"/>
          <w:color w:val="auto"/>
          <w:kern w:val="2"/>
          <w:sz w:val="21"/>
          <w:szCs w:val="21"/>
          <w:highlight w:val="none"/>
        </w:rPr>
        <w:t>配电系统</w:t>
      </w:r>
      <w:r>
        <w:rPr>
          <w:rFonts w:hint="eastAsia" w:ascii="宋体" w:hAnsi="宋体" w:eastAsia="宋体" w:cs="宋体"/>
          <w:color w:val="auto"/>
          <w:kern w:val="2"/>
          <w:sz w:val="21"/>
          <w:szCs w:val="21"/>
          <w:highlight w:val="none"/>
          <w:lang w:val="en-US" w:eastAsia="zh-CN"/>
        </w:rPr>
        <w:t>正常的用电计量工作，若业主、用能方原有供配电系统用电计量工作出现异常（如用户原有机械计量表倒转），承包</w:t>
      </w:r>
      <w:r>
        <w:rPr>
          <w:rFonts w:hint="eastAsia" w:ascii="宋体" w:hAnsi="宋体" w:eastAsia="宋体" w:cs="宋体"/>
          <w:color w:val="auto"/>
          <w:kern w:val="2"/>
          <w:sz w:val="21"/>
          <w:szCs w:val="21"/>
          <w:highlight w:val="none"/>
        </w:rPr>
        <w:t>单位</w:t>
      </w:r>
      <w:r>
        <w:rPr>
          <w:rFonts w:hint="eastAsia" w:ascii="宋体" w:hAnsi="宋体" w:eastAsia="宋体" w:cs="宋体"/>
          <w:color w:val="auto"/>
          <w:kern w:val="2"/>
          <w:sz w:val="21"/>
          <w:szCs w:val="21"/>
          <w:highlight w:val="none"/>
          <w:lang w:val="en-US" w:eastAsia="zh-CN"/>
        </w:rPr>
        <w:t>必须无条件采取必要措施解决异常（如</w:t>
      </w:r>
      <w:r>
        <w:rPr>
          <w:rFonts w:hint="eastAsia" w:ascii="宋体" w:hAnsi="宋体" w:eastAsia="宋体" w:cs="宋体"/>
          <w:b/>
          <w:bCs/>
          <w:i w:val="0"/>
          <w:iCs w:val="0"/>
          <w:color w:val="auto"/>
          <w:kern w:val="2"/>
          <w:sz w:val="21"/>
          <w:szCs w:val="21"/>
          <w:highlight w:val="none"/>
          <w:lang w:val="en-US" w:eastAsia="zh-CN"/>
        </w:rPr>
        <w:t>更换业主、用能方机械计量表为电子双向计量表</w:t>
      </w:r>
      <w:r>
        <w:rPr>
          <w:rFonts w:hint="eastAsia" w:ascii="宋体" w:hAnsi="宋体" w:eastAsia="宋体" w:cs="宋体"/>
          <w:color w:val="auto"/>
          <w:kern w:val="2"/>
          <w:sz w:val="21"/>
          <w:szCs w:val="21"/>
          <w:highlight w:val="none"/>
          <w:lang w:val="en-US" w:eastAsia="zh-CN"/>
        </w:rPr>
        <w:t>）并承担所需全部费用。</w:t>
      </w:r>
    </w:p>
    <w:p w14:paraId="5F211EC9">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系统必须在逆变器输出汇总点设置易于操作、可闭锁、且具有明显断开点的并网总断路器，以保证电力设备检修维护人员的人身安全。</w:t>
      </w:r>
    </w:p>
    <w:p w14:paraId="23097BA9">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系统和并网点设备的防雷和接地应符合南方电网公司规定要求，接地电阻合格，</w:t>
      </w:r>
      <w:r>
        <w:rPr>
          <w:rFonts w:hint="eastAsia" w:ascii="宋体" w:hAnsi="宋体" w:eastAsia="宋体" w:cs="宋体"/>
          <w:color w:val="auto"/>
          <w:kern w:val="2"/>
          <w:sz w:val="21"/>
          <w:szCs w:val="21"/>
          <w:highlight w:val="none"/>
          <w:lang w:val="en-US" w:eastAsia="zh-CN"/>
        </w:rPr>
        <w:t>并</w:t>
      </w:r>
      <w:r>
        <w:rPr>
          <w:rFonts w:hint="eastAsia" w:ascii="宋体" w:hAnsi="宋体" w:eastAsia="宋体" w:cs="宋体"/>
          <w:color w:val="auto"/>
          <w:kern w:val="2"/>
          <w:sz w:val="21"/>
          <w:szCs w:val="21"/>
          <w:highlight w:val="none"/>
        </w:rPr>
        <w:t>按规定周期进行测试。</w:t>
      </w:r>
    </w:p>
    <w:p w14:paraId="7B73414A">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7</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或电网异常、故障时为保护设备和人身安全，应具有相应继电保护功能，保护电网和光伏设备的安全运行，确保维护人员和公众人身安全。光伏电站的保护应符合南方电网规定的可靠性、选择性、灵活性和速动性的要求。</w:t>
      </w:r>
    </w:p>
    <w:p w14:paraId="07A88685">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系统的过流与短路保护、防孤岛能力、逆变器保护、恢复并网等应满足南方电网规定的要求。</w:t>
      </w:r>
    </w:p>
    <w:p w14:paraId="3F7435ED">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系统的电能质量满足规程要求，电压谐波和波形畸变、电压偏差、电压波动和闪变、电压不平衡度、直流分量在南方电网规定的范围内，保证功率因</w:t>
      </w:r>
      <w:r>
        <w:rPr>
          <w:rFonts w:hint="eastAsia" w:ascii="宋体" w:hAnsi="宋体" w:eastAsia="宋体" w:cs="宋体"/>
          <w:color w:val="auto"/>
          <w:kern w:val="2"/>
          <w:sz w:val="21"/>
          <w:szCs w:val="21"/>
          <w:highlight w:val="none"/>
          <w:lang w:val="en-US" w:eastAsia="zh-CN"/>
        </w:rPr>
        <w:t>数</w:t>
      </w:r>
      <w:r>
        <w:rPr>
          <w:rFonts w:hint="eastAsia" w:ascii="宋体" w:hAnsi="宋体" w:eastAsia="宋体" w:cs="宋体"/>
          <w:color w:val="auto"/>
          <w:kern w:val="2"/>
          <w:sz w:val="21"/>
          <w:szCs w:val="21"/>
          <w:highlight w:val="none"/>
        </w:rPr>
        <w:t>在0.98以上。</w:t>
      </w:r>
    </w:p>
    <w:p w14:paraId="6591FD46">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系统的安全自动装置应按国家规定配置齐全。</w:t>
      </w:r>
    </w:p>
    <w:p w14:paraId="78FAFA75">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按照《分布式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发电开发建设管理办法》（国能发新能规[2025]7号）要求，分布式</w:t>
      </w:r>
      <w:r>
        <w:rPr>
          <w:rFonts w:hint="eastAsia" w:ascii="宋体" w:hAnsi="宋体" w:eastAsia="宋体" w:cs="宋体"/>
          <w:color w:val="auto"/>
          <w:kern w:val="2"/>
          <w:sz w:val="21"/>
          <w:szCs w:val="21"/>
          <w:highlight w:val="none"/>
        </w:rPr>
        <w:t>光伏</w:t>
      </w:r>
      <w:r>
        <w:rPr>
          <w:rFonts w:hint="eastAsia" w:ascii="宋体" w:hAnsi="宋体" w:eastAsia="宋体" w:cs="宋体"/>
          <w:color w:val="auto"/>
          <w:kern w:val="2"/>
          <w:sz w:val="21"/>
          <w:szCs w:val="21"/>
          <w:highlight w:val="none"/>
          <w:lang w:val="en-US" w:eastAsia="zh-CN"/>
        </w:rPr>
        <w:t>发电</w:t>
      </w:r>
      <w:r>
        <w:rPr>
          <w:rFonts w:hint="eastAsia" w:ascii="宋体" w:hAnsi="宋体" w:eastAsia="宋体" w:cs="宋体"/>
          <w:color w:val="auto"/>
          <w:kern w:val="2"/>
          <w:sz w:val="21"/>
          <w:szCs w:val="21"/>
          <w:highlight w:val="none"/>
        </w:rPr>
        <w:t>系统</w:t>
      </w:r>
      <w:r>
        <w:rPr>
          <w:rFonts w:hint="eastAsia" w:ascii="宋体" w:hAnsi="宋体" w:eastAsia="宋体" w:cs="宋体"/>
          <w:color w:val="auto"/>
          <w:kern w:val="2"/>
          <w:sz w:val="21"/>
          <w:szCs w:val="21"/>
          <w:highlight w:val="none"/>
          <w:lang w:val="en-US" w:eastAsia="zh-CN"/>
        </w:rPr>
        <w:t>应具备“四可”（可观、可测、可调、可控）能力，承包单位需自行购买并安装符合并网资质的</w:t>
      </w:r>
      <w:r>
        <w:rPr>
          <w:rFonts w:hint="eastAsia" w:ascii="宋体" w:hAnsi="宋体" w:eastAsia="宋体" w:cs="宋体"/>
          <w:b/>
          <w:bCs/>
          <w:color w:val="auto"/>
          <w:kern w:val="2"/>
          <w:sz w:val="21"/>
          <w:szCs w:val="21"/>
          <w:highlight w:val="none"/>
          <w:lang w:val="en-US" w:eastAsia="zh-CN"/>
        </w:rPr>
        <w:t>光伏断路器</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b/>
          <w:bCs/>
          <w:color w:val="auto"/>
          <w:kern w:val="2"/>
          <w:sz w:val="21"/>
          <w:szCs w:val="21"/>
          <w:highlight w:val="none"/>
          <w:lang w:val="en-US" w:eastAsia="zh-CN"/>
        </w:rPr>
        <w:t>协议转换单元</w:t>
      </w:r>
      <w:r>
        <w:rPr>
          <w:rFonts w:hint="eastAsia" w:ascii="宋体" w:hAnsi="宋体" w:eastAsia="宋体" w:cs="宋体"/>
          <w:color w:val="auto"/>
          <w:kern w:val="2"/>
          <w:sz w:val="21"/>
          <w:szCs w:val="21"/>
          <w:highlight w:val="none"/>
          <w:lang w:val="en-US" w:eastAsia="zh-CN"/>
        </w:rPr>
        <w:t>等</w:t>
      </w:r>
      <w:r>
        <w:rPr>
          <w:rFonts w:hint="eastAsia" w:ascii="宋体" w:hAnsi="宋体" w:eastAsia="宋体" w:cs="宋体"/>
          <w:b/>
          <w:bCs/>
          <w:color w:val="auto"/>
          <w:kern w:val="2"/>
          <w:sz w:val="21"/>
          <w:szCs w:val="21"/>
          <w:highlight w:val="none"/>
          <w:lang w:val="en-US" w:eastAsia="zh-CN"/>
        </w:rPr>
        <w:t>“四可”设备</w:t>
      </w:r>
      <w:r>
        <w:rPr>
          <w:rFonts w:hint="eastAsia" w:ascii="宋体" w:hAnsi="宋体" w:eastAsia="宋体" w:cs="宋体"/>
          <w:color w:val="auto"/>
          <w:kern w:val="2"/>
          <w:sz w:val="21"/>
          <w:szCs w:val="21"/>
          <w:highlight w:val="none"/>
          <w:lang w:val="en-US" w:eastAsia="zh-CN"/>
        </w:rPr>
        <w:t>，并提供设备出厂合格证和第三方检测报告</w:t>
      </w:r>
      <w:r>
        <w:rPr>
          <w:rFonts w:hint="eastAsia" w:ascii="宋体" w:hAnsi="宋体" w:eastAsia="宋体" w:cs="宋体"/>
          <w:color w:val="auto"/>
          <w:kern w:val="2"/>
          <w:sz w:val="21"/>
          <w:szCs w:val="21"/>
          <w:highlight w:val="none"/>
        </w:rPr>
        <w:t>。</w:t>
      </w:r>
    </w:p>
    <w:p w14:paraId="25E10F96">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rPr>
        <w:t>3.光伏组件技术要求</w:t>
      </w:r>
    </w:p>
    <w:p w14:paraId="43FD9928">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（1）采用高效率单晶硅</w:t>
      </w:r>
      <w:r>
        <w:rPr>
          <w:rFonts w:hint="eastAsia" w:ascii="宋体" w:hAnsi="宋体" w:eastAsia="宋体" w:cs="宋体"/>
          <w:color w:val="auto"/>
          <w:kern w:val="2"/>
          <w:sz w:val="21"/>
          <w:szCs w:val="21"/>
          <w:highlight w:val="none"/>
          <w:lang w:val="en-US" w:eastAsia="zh-CN"/>
        </w:rPr>
        <w:t>60</w:t>
      </w:r>
      <w:r>
        <w:rPr>
          <w:rFonts w:hint="eastAsia" w:ascii="宋体" w:hAnsi="宋体" w:eastAsia="宋体" w:cs="宋体"/>
          <w:color w:val="auto"/>
          <w:kern w:val="2"/>
          <w:sz w:val="21"/>
          <w:szCs w:val="21"/>
          <w:highlight w:val="none"/>
        </w:rPr>
        <w:t>0Wp及以上的太阳能光伏组件，使用寿命不低于</w:t>
      </w:r>
      <w:r>
        <w:rPr>
          <w:rFonts w:hint="eastAsia" w:ascii="宋体" w:hAnsi="宋体" w:eastAsia="宋体" w:cs="宋体"/>
          <w:color w:val="auto"/>
          <w:kern w:val="2"/>
          <w:sz w:val="21"/>
          <w:szCs w:val="21"/>
          <w:highlight w:val="none"/>
          <w:lang w:val="en-US" w:eastAsia="zh-CN"/>
        </w:rPr>
        <w:t>30</w:t>
      </w:r>
      <w:r>
        <w:rPr>
          <w:rFonts w:hint="eastAsia" w:ascii="宋体" w:hAnsi="宋体" w:eastAsia="宋体" w:cs="宋体"/>
          <w:color w:val="auto"/>
          <w:kern w:val="2"/>
          <w:sz w:val="21"/>
          <w:szCs w:val="21"/>
          <w:highlight w:val="none"/>
        </w:rPr>
        <w:t>年，不少于</w:t>
      </w:r>
      <w:r>
        <w:rPr>
          <w:rFonts w:hint="eastAsia" w:ascii="宋体" w:hAnsi="宋体" w:eastAsia="宋体" w:cs="宋体"/>
          <w:color w:val="auto"/>
          <w:kern w:val="2"/>
          <w:sz w:val="21"/>
          <w:szCs w:val="21"/>
          <w:highlight w:val="none"/>
          <w:lang w:val="en-US" w:eastAsia="zh-CN"/>
        </w:rPr>
        <w:t>12年材料工艺质保和30</w:t>
      </w:r>
      <w:r>
        <w:rPr>
          <w:rFonts w:hint="eastAsia" w:ascii="宋体" w:hAnsi="宋体" w:eastAsia="宋体" w:cs="宋体"/>
          <w:color w:val="auto"/>
          <w:kern w:val="2"/>
          <w:sz w:val="21"/>
          <w:szCs w:val="21"/>
          <w:highlight w:val="none"/>
        </w:rPr>
        <w:t>年线性功率质保，投标文件中提供质保说明书，</w:t>
      </w:r>
      <w:r>
        <w:rPr>
          <w:rFonts w:hint="eastAsia" w:ascii="宋体" w:hAnsi="宋体" w:eastAsia="宋体" w:cs="宋体"/>
          <w:color w:val="auto"/>
          <w:kern w:val="2"/>
          <w:sz w:val="21"/>
          <w:szCs w:val="21"/>
          <w:highlight w:val="none"/>
          <w:lang w:val="en-US" w:eastAsia="zh-CN"/>
        </w:rPr>
        <w:t>具体</w:t>
      </w:r>
      <w:r>
        <w:rPr>
          <w:rFonts w:hint="eastAsia" w:ascii="宋体" w:hAnsi="宋体" w:eastAsia="宋体" w:cs="宋体"/>
          <w:color w:val="auto"/>
          <w:kern w:val="2"/>
          <w:sz w:val="21"/>
          <w:szCs w:val="21"/>
          <w:highlight w:val="none"/>
        </w:rPr>
        <w:t>技术参数要求</w:t>
      </w:r>
      <w:r>
        <w:rPr>
          <w:rFonts w:hint="eastAsia" w:ascii="宋体" w:hAnsi="宋体" w:eastAsia="宋体" w:cs="宋体"/>
          <w:color w:val="auto"/>
          <w:kern w:val="2"/>
          <w:sz w:val="21"/>
          <w:szCs w:val="21"/>
          <w:highlight w:val="none"/>
          <w:lang w:val="en-US" w:eastAsia="zh-CN"/>
        </w:rPr>
        <w:t>严格按</w:t>
      </w:r>
      <w:r>
        <w:rPr>
          <w:rFonts w:hint="eastAsia" w:ascii="宋体" w:hAnsi="宋体" w:eastAsia="宋体" w:cs="宋体"/>
          <w:color w:val="auto"/>
          <w:kern w:val="2"/>
          <w:sz w:val="21"/>
          <w:szCs w:val="21"/>
          <w:highlight w:val="none"/>
        </w:rPr>
        <w:t>下表</w:t>
      </w:r>
      <w:r>
        <w:rPr>
          <w:rFonts w:hint="eastAsia" w:ascii="宋体" w:hAnsi="宋体" w:eastAsia="宋体" w:cs="宋体"/>
          <w:color w:val="auto"/>
          <w:kern w:val="2"/>
          <w:sz w:val="21"/>
          <w:szCs w:val="21"/>
          <w:highlight w:val="none"/>
          <w:lang w:val="en-US" w:eastAsia="zh-CN"/>
        </w:rPr>
        <w:t>执行</w:t>
      </w:r>
      <w:r>
        <w:rPr>
          <w:rFonts w:hint="eastAsia" w:ascii="宋体" w:hAnsi="宋体" w:eastAsia="宋体" w:cs="宋体"/>
          <w:color w:val="auto"/>
          <w:kern w:val="2"/>
          <w:sz w:val="21"/>
          <w:szCs w:val="21"/>
          <w:highlight w:val="none"/>
        </w:rPr>
        <w:t>：</w:t>
      </w:r>
    </w:p>
    <w:p w14:paraId="5E5F7F7D">
      <w:pPr>
        <w:widowControl w:val="0"/>
        <w:wordWrap w:val="0"/>
        <w:adjustRightInd/>
        <w:snapToGrid/>
        <w:spacing w:after="0" w:line="288" w:lineRule="auto"/>
        <w:jc w:val="center"/>
        <w:rPr>
          <w:rFonts w:ascii="宋体" w:hAnsi="宋体" w:eastAsia="宋体" w:cs="宋体"/>
          <w:b/>
          <w:bCs/>
          <w:color w:val="auto"/>
          <w:kern w:val="2"/>
          <w:sz w:val="21"/>
          <w:szCs w:val="21"/>
          <w:highlight w:val="none"/>
        </w:rPr>
      </w:pPr>
      <w:r>
        <w:rPr>
          <w:rFonts w:hint="eastAsia" w:ascii="宋体" w:hAnsi="宋体" w:eastAsia="宋体" w:cs="宋体"/>
          <w:b/>
          <w:bCs/>
          <w:color w:val="auto"/>
          <w:spacing w:val="13"/>
          <w:kern w:val="2"/>
          <w:sz w:val="21"/>
          <w:szCs w:val="21"/>
          <w:highlight w:val="none"/>
          <w:lang w:val="en-US" w:eastAsia="zh-CN"/>
        </w:rPr>
        <w:t>光伏</w:t>
      </w:r>
      <w:r>
        <w:rPr>
          <w:rFonts w:hint="eastAsia" w:ascii="宋体" w:hAnsi="宋体" w:eastAsia="宋体" w:cs="宋体"/>
          <w:b/>
          <w:bCs/>
          <w:color w:val="auto"/>
          <w:spacing w:val="13"/>
          <w:kern w:val="2"/>
          <w:sz w:val="21"/>
          <w:szCs w:val="21"/>
          <w:highlight w:val="none"/>
        </w:rPr>
        <w:t>组</w:t>
      </w:r>
      <w:r>
        <w:rPr>
          <w:rFonts w:hint="eastAsia" w:ascii="宋体" w:hAnsi="宋体" w:eastAsia="宋体" w:cs="宋体"/>
          <w:b/>
          <w:bCs/>
          <w:color w:val="auto"/>
          <w:spacing w:val="8"/>
          <w:kern w:val="2"/>
          <w:sz w:val="21"/>
          <w:szCs w:val="21"/>
          <w:highlight w:val="none"/>
        </w:rPr>
        <w:t>件主要技术参数表</w:t>
      </w:r>
    </w:p>
    <w:tbl>
      <w:tblPr>
        <w:tblStyle w:val="80"/>
        <w:tblW w:w="503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696"/>
        <w:gridCol w:w="4673"/>
      </w:tblGrid>
      <w:tr w14:paraId="4B36C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2208" w:type="pct"/>
            <w:vAlign w:val="bottom"/>
          </w:tcPr>
          <w:p w14:paraId="51D39FC5">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6"/>
                <w:kern w:val="2"/>
                <w:sz w:val="21"/>
                <w:szCs w:val="21"/>
                <w:highlight w:val="none"/>
              </w:rPr>
              <w:t>型号规</w:t>
            </w:r>
            <w:r>
              <w:rPr>
                <w:rFonts w:hint="eastAsia" w:ascii="宋体" w:hAnsi="宋体" w:eastAsia="宋体" w:cs="宋体"/>
                <w:color w:val="auto"/>
                <w:spacing w:val="5"/>
                <w:kern w:val="2"/>
                <w:sz w:val="21"/>
                <w:szCs w:val="21"/>
                <w:highlight w:val="none"/>
              </w:rPr>
              <w:t>格</w:t>
            </w:r>
          </w:p>
        </w:tc>
        <w:tc>
          <w:tcPr>
            <w:tcW w:w="2791" w:type="pct"/>
            <w:vAlign w:val="bottom"/>
          </w:tcPr>
          <w:p w14:paraId="7EC4205B">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高效率单晶硅</w:t>
            </w:r>
            <w:r>
              <w:rPr>
                <w:rFonts w:hint="eastAsia" w:ascii="宋体" w:hAnsi="宋体" w:eastAsia="宋体" w:cs="宋体"/>
                <w:color w:val="auto"/>
                <w:spacing w:val="-2"/>
                <w:kern w:val="2"/>
                <w:sz w:val="21"/>
                <w:szCs w:val="21"/>
                <w:highlight w:val="none"/>
                <w:lang w:val="en-US" w:eastAsia="zh-CN"/>
              </w:rPr>
              <w:t>半片电池片 60</w:t>
            </w:r>
            <w:r>
              <w:rPr>
                <w:rFonts w:hint="eastAsia" w:ascii="宋体" w:hAnsi="宋体" w:eastAsia="宋体" w:cs="宋体"/>
                <w:color w:val="auto"/>
                <w:spacing w:val="-2"/>
                <w:kern w:val="2"/>
                <w:sz w:val="21"/>
                <w:szCs w:val="21"/>
                <w:highlight w:val="none"/>
              </w:rPr>
              <w:t>0Wp</w:t>
            </w:r>
            <w:r>
              <w:rPr>
                <w:rFonts w:hint="eastAsia" w:ascii="宋体" w:hAnsi="宋体" w:eastAsia="宋体" w:cs="宋体"/>
                <w:color w:val="auto"/>
                <w:kern w:val="2"/>
                <w:sz w:val="21"/>
                <w:szCs w:val="21"/>
                <w:highlight w:val="none"/>
              </w:rPr>
              <w:t>及</w:t>
            </w:r>
            <w:r>
              <w:rPr>
                <w:rFonts w:hint="eastAsia" w:ascii="宋体" w:hAnsi="宋体" w:eastAsia="宋体" w:cs="宋体"/>
                <w:color w:val="auto"/>
                <w:spacing w:val="-2"/>
                <w:kern w:val="2"/>
                <w:sz w:val="21"/>
                <w:szCs w:val="21"/>
                <w:highlight w:val="none"/>
                <w:lang w:val="en-US" w:eastAsia="zh-CN"/>
              </w:rPr>
              <w:t xml:space="preserve">以上 </w:t>
            </w:r>
          </w:p>
        </w:tc>
      </w:tr>
      <w:tr w14:paraId="5B6C5E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14D5F33C">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1"/>
                <w:kern w:val="2"/>
                <w:sz w:val="21"/>
                <w:szCs w:val="21"/>
                <w:highlight w:val="none"/>
              </w:rPr>
              <w:t>标称功率</w:t>
            </w:r>
            <w:r>
              <w:rPr>
                <w:rFonts w:hint="eastAsia" w:ascii="宋体" w:hAnsi="宋体" w:eastAsia="宋体" w:cs="宋体"/>
                <w:color w:val="auto"/>
                <w:kern w:val="2"/>
                <w:sz w:val="21"/>
                <w:szCs w:val="21"/>
                <w:highlight w:val="none"/>
              </w:rPr>
              <w:t>(W)</w:t>
            </w:r>
          </w:p>
        </w:tc>
        <w:tc>
          <w:tcPr>
            <w:tcW w:w="2791" w:type="pct"/>
            <w:vAlign w:val="bottom"/>
          </w:tcPr>
          <w:p w14:paraId="7F3848EC">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≥600</w:t>
            </w:r>
            <w:r>
              <w:rPr>
                <w:rFonts w:hint="eastAsia" w:ascii="宋体" w:hAnsi="宋体" w:eastAsia="宋体" w:cs="宋体"/>
                <w:color w:val="auto"/>
                <w:kern w:val="2"/>
                <w:sz w:val="21"/>
                <w:szCs w:val="21"/>
                <w:highlight w:val="none"/>
              </w:rPr>
              <w:t>W</w:t>
            </w:r>
            <w:r>
              <w:rPr>
                <w:rFonts w:hint="eastAsia" w:ascii="宋体" w:hAnsi="宋体" w:eastAsia="宋体" w:cs="宋体"/>
                <w:color w:val="auto"/>
                <w:spacing w:val="-2"/>
                <w:kern w:val="2"/>
                <w:sz w:val="21"/>
                <w:szCs w:val="21"/>
                <w:highlight w:val="none"/>
              </w:rPr>
              <w:t>p</w:t>
            </w:r>
          </w:p>
        </w:tc>
      </w:tr>
      <w:tr w14:paraId="128FB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22AF04F2">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8"/>
                <w:kern w:val="2"/>
                <w:sz w:val="21"/>
                <w:szCs w:val="21"/>
                <w:highlight w:val="none"/>
              </w:rPr>
              <w:t>组</w:t>
            </w:r>
            <w:r>
              <w:rPr>
                <w:rFonts w:hint="eastAsia" w:ascii="宋体" w:hAnsi="宋体" w:eastAsia="宋体" w:cs="宋体"/>
                <w:color w:val="auto"/>
                <w:spacing w:val="-5"/>
                <w:kern w:val="2"/>
                <w:sz w:val="21"/>
                <w:szCs w:val="21"/>
                <w:highlight w:val="none"/>
              </w:rPr>
              <w:t>件效率(</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53118FC3">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2"/>
                <w:kern w:val="2"/>
                <w:sz w:val="21"/>
                <w:szCs w:val="21"/>
                <w:highlight w:val="none"/>
                <w:lang w:val="en-US" w:eastAsia="zh-CN"/>
              </w:rPr>
              <w:t>22.4</w:t>
            </w:r>
          </w:p>
        </w:tc>
      </w:tr>
      <w:tr w14:paraId="41D065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0DA0BF89">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首年功率衰减率</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435E7A59">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≤1</w:t>
            </w:r>
          </w:p>
        </w:tc>
      </w:tr>
      <w:tr w14:paraId="69F8A7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7BBF0699">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次年后每年功率衰减率</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3067D6A1">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2"/>
                <w:kern w:val="2"/>
                <w:sz w:val="21"/>
                <w:szCs w:val="21"/>
                <w:highlight w:val="none"/>
                <w:lang w:val="en-US" w:eastAsia="zh-CN"/>
              </w:rPr>
              <w:t>0.4</w:t>
            </w:r>
          </w:p>
        </w:tc>
      </w:tr>
      <w:tr w14:paraId="7AF38B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3D01324D">
            <w:pPr>
              <w:widowControl w:val="0"/>
              <w:adjustRightInd/>
              <w:snapToGrid/>
              <w:spacing w:after="0" w:line="288" w:lineRule="auto"/>
              <w:jc w:val="center"/>
              <w:rPr>
                <w:rFonts w:hint="eastAsia" w:ascii="宋体" w:hAnsi="宋体" w:eastAsia="宋体" w:cs="宋体"/>
                <w:color w:val="auto"/>
                <w:spacing w:val="6"/>
                <w:kern w:val="2"/>
                <w:sz w:val="21"/>
                <w:szCs w:val="21"/>
                <w:highlight w:val="none"/>
                <w:lang w:val="en-US" w:eastAsia="zh-CN"/>
              </w:rPr>
            </w:pPr>
            <w:r>
              <w:rPr>
                <w:rFonts w:hint="eastAsia" w:ascii="宋体" w:hAnsi="宋体" w:eastAsia="宋体" w:cs="宋体"/>
                <w:color w:val="auto"/>
                <w:spacing w:val="6"/>
                <w:kern w:val="2"/>
                <w:sz w:val="21"/>
                <w:szCs w:val="21"/>
                <w:highlight w:val="none"/>
                <w:lang w:val="en-US" w:eastAsia="zh-CN"/>
              </w:rPr>
              <w:t>30年后</w:t>
            </w:r>
            <w:r>
              <w:rPr>
                <w:rFonts w:hint="eastAsia" w:ascii="宋体" w:hAnsi="宋体" w:eastAsia="宋体" w:cs="宋体"/>
                <w:color w:val="auto"/>
                <w:kern w:val="2"/>
                <w:sz w:val="21"/>
                <w:szCs w:val="21"/>
                <w:highlight w:val="none"/>
              </w:rPr>
              <w:t>功率衰减率</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1E6582E0">
            <w:pPr>
              <w:widowControl w:val="0"/>
              <w:adjustRightInd/>
              <w:snapToGrid/>
              <w:spacing w:after="0" w:line="288" w:lineRule="auto"/>
              <w:jc w:val="center"/>
              <w:rPr>
                <w:rFonts w:hint="default" w:ascii="宋体" w:hAnsi="宋体" w:eastAsia="宋体" w:cs="宋体"/>
                <w:color w:val="auto"/>
                <w:spacing w:val="-12"/>
                <w:kern w:val="2"/>
                <w:position w:val="1"/>
                <w:sz w:val="21"/>
                <w:szCs w:val="21"/>
                <w:highlight w:val="none"/>
                <w:lang w:val="en-US"/>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2"/>
                <w:kern w:val="2"/>
                <w:sz w:val="21"/>
                <w:szCs w:val="21"/>
                <w:highlight w:val="none"/>
                <w:lang w:val="en-US" w:eastAsia="zh-CN"/>
              </w:rPr>
              <w:t>12.6</w:t>
            </w:r>
          </w:p>
        </w:tc>
      </w:tr>
      <w:tr w14:paraId="360556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450731E7">
            <w:pPr>
              <w:widowControl w:val="0"/>
              <w:adjustRightInd/>
              <w:snapToGrid/>
              <w:spacing w:after="0" w:line="288" w:lineRule="auto"/>
              <w:jc w:val="center"/>
              <w:rPr>
                <w:rFonts w:hint="eastAsia" w:ascii="宋体" w:hAnsi="宋体" w:eastAsia="宋体" w:cs="宋体"/>
                <w:color w:val="auto"/>
                <w:spacing w:val="6"/>
                <w:kern w:val="2"/>
                <w:sz w:val="21"/>
                <w:szCs w:val="21"/>
                <w:highlight w:val="none"/>
              </w:rPr>
            </w:pPr>
            <w:r>
              <w:rPr>
                <w:rFonts w:hint="eastAsia" w:ascii="宋体" w:hAnsi="宋体" w:eastAsia="宋体" w:cs="宋体"/>
                <w:color w:val="auto"/>
                <w:spacing w:val="6"/>
                <w:kern w:val="2"/>
                <w:sz w:val="21"/>
                <w:szCs w:val="21"/>
                <w:highlight w:val="none"/>
                <w:lang w:val="en-US" w:eastAsia="zh-CN"/>
              </w:rPr>
              <w:t>输出</w:t>
            </w:r>
            <w:r>
              <w:rPr>
                <w:rFonts w:hint="eastAsia" w:ascii="宋体" w:hAnsi="宋体" w:eastAsia="宋体" w:cs="宋体"/>
                <w:color w:val="auto"/>
                <w:spacing w:val="6"/>
                <w:kern w:val="2"/>
                <w:sz w:val="21"/>
                <w:szCs w:val="21"/>
                <w:highlight w:val="none"/>
              </w:rPr>
              <w:t>功率公差(</w:t>
            </w:r>
            <w:r>
              <w:rPr>
                <w:rFonts w:hint="eastAsia" w:ascii="宋体" w:hAnsi="宋体" w:eastAsia="宋体" w:cs="宋体"/>
                <w:color w:val="auto"/>
                <w:spacing w:val="2"/>
                <w:kern w:val="2"/>
                <w:position w:val="-1"/>
                <w:sz w:val="21"/>
                <w:szCs w:val="21"/>
                <w:highlight w:val="none"/>
                <w:lang w:val="en-US" w:eastAsia="zh-CN"/>
              </w:rPr>
              <w:t>%</w:t>
            </w:r>
            <w:r>
              <w:rPr>
                <w:rFonts w:hint="eastAsia" w:ascii="宋体" w:hAnsi="宋体" w:eastAsia="宋体" w:cs="宋体"/>
                <w:color w:val="auto"/>
                <w:spacing w:val="5"/>
                <w:kern w:val="2"/>
                <w:sz w:val="21"/>
                <w:szCs w:val="21"/>
                <w:highlight w:val="none"/>
              </w:rPr>
              <w:t>)</w:t>
            </w:r>
          </w:p>
        </w:tc>
        <w:tc>
          <w:tcPr>
            <w:tcW w:w="2791" w:type="pct"/>
            <w:vAlign w:val="bottom"/>
          </w:tcPr>
          <w:p w14:paraId="18C039CB">
            <w:pPr>
              <w:widowControl w:val="0"/>
              <w:adjustRightInd/>
              <w:snapToGrid/>
              <w:spacing w:after="0" w:line="288" w:lineRule="auto"/>
              <w:jc w:val="center"/>
              <w:rPr>
                <w:rFonts w:hint="eastAsia" w:ascii="宋体" w:hAnsi="宋体" w:eastAsia="宋体" w:cs="宋体"/>
                <w:color w:val="auto"/>
                <w:spacing w:val="-12"/>
                <w:kern w:val="2"/>
                <w:position w:val="1"/>
                <w:sz w:val="21"/>
                <w:szCs w:val="21"/>
                <w:highlight w:val="none"/>
              </w:rPr>
            </w:pPr>
            <w:r>
              <w:rPr>
                <w:rFonts w:hint="eastAsia" w:ascii="宋体" w:hAnsi="宋体" w:eastAsia="宋体" w:cs="宋体"/>
                <w:color w:val="auto"/>
                <w:spacing w:val="2"/>
                <w:kern w:val="2"/>
                <w:position w:val="-1"/>
                <w:sz w:val="21"/>
                <w:szCs w:val="21"/>
                <w:highlight w:val="none"/>
              </w:rPr>
              <w:t>0</w:t>
            </w:r>
            <w:r>
              <w:rPr>
                <w:rFonts w:hint="eastAsia" w:ascii="宋体" w:hAnsi="宋体" w:eastAsia="宋体" w:cs="宋体"/>
                <w:color w:val="auto"/>
                <w:spacing w:val="2"/>
                <w:kern w:val="2"/>
                <w:position w:val="-1"/>
                <w:sz w:val="21"/>
                <w:szCs w:val="21"/>
                <w:highlight w:val="none"/>
                <w:lang w:val="en-US" w:eastAsia="zh-CN"/>
              </w:rPr>
              <w:t xml:space="preserve">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2"/>
                <w:kern w:val="2"/>
                <w:position w:val="-1"/>
                <w:sz w:val="21"/>
                <w:szCs w:val="21"/>
                <w:highlight w:val="none"/>
                <w:lang w:val="en-US" w:eastAsia="zh-CN"/>
              </w:rPr>
              <w:t>3</w:t>
            </w:r>
          </w:p>
        </w:tc>
      </w:tr>
      <w:tr w14:paraId="6CA99B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3D6B9E66">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rPr>
              <w:t>短路电流温度系数(%/℃</w:t>
            </w:r>
            <w:r>
              <w:rPr>
                <w:rFonts w:hint="eastAsia" w:ascii="宋体" w:hAnsi="宋体" w:eastAsia="宋体" w:cs="宋体"/>
                <w:color w:val="auto"/>
                <w:spacing w:val="6"/>
                <w:kern w:val="2"/>
                <w:sz w:val="21"/>
                <w:szCs w:val="21"/>
                <w:highlight w:val="none"/>
              </w:rPr>
              <w:t>)</w:t>
            </w:r>
          </w:p>
        </w:tc>
        <w:tc>
          <w:tcPr>
            <w:tcW w:w="2791" w:type="pct"/>
            <w:vAlign w:val="bottom"/>
          </w:tcPr>
          <w:p w14:paraId="7CCFEDCB">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3"/>
                <w:kern w:val="2"/>
                <w:position w:val="1"/>
                <w:sz w:val="21"/>
                <w:szCs w:val="21"/>
                <w:highlight w:val="none"/>
              </w:rPr>
              <w:t>+0.0</w:t>
            </w:r>
            <w:r>
              <w:rPr>
                <w:rFonts w:hint="eastAsia" w:ascii="宋体" w:hAnsi="宋体" w:eastAsia="宋体" w:cs="宋体"/>
                <w:color w:val="auto"/>
                <w:spacing w:val="2"/>
                <w:kern w:val="2"/>
                <w:position w:val="1"/>
                <w:sz w:val="21"/>
                <w:szCs w:val="21"/>
                <w:highlight w:val="none"/>
                <w:lang w:val="en-US" w:eastAsia="zh-CN"/>
              </w:rPr>
              <w:t>45</w:t>
            </w:r>
          </w:p>
        </w:tc>
      </w:tr>
      <w:tr w14:paraId="4E8CC2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69815762">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8"/>
                <w:kern w:val="2"/>
                <w:sz w:val="21"/>
                <w:szCs w:val="21"/>
                <w:highlight w:val="none"/>
              </w:rPr>
              <w:t>开</w:t>
            </w:r>
            <w:r>
              <w:rPr>
                <w:rFonts w:hint="eastAsia" w:ascii="宋体" w:hAnsi="宋体" w:eastAsia="宋体" w:cs="宋体"/>
                <w:color w:val="auto"/>
                <w:spacing w:val="7"/>
                <w:kern w:val="2"/>
                <w:sz w:val="21"/>
                <w:szCs w:val="21"/>
                <w:highlight w:val="none"/>
              </w:rPr>
              <w:t>路电压温度系数(%/℃)</w:t>
            </w:r>
          </w:p>
        </w:tc>
        <w:tc>
          <w:tcPr>
            <w:tcW w:w="2791" w:type="pct"/>
            <w:vAlign w:val="bottom"/>
          </w:tcPr>
          <w:p w14:paraId="639D5927">
            <w:pPr>
              <w:widowControl w:val="0"/>
              <w:adjustRightInd/>
              <w:snapToGrid/>
              <w:spacing w:after="0" w:line="288" w:lineRule="auto"/>
              <w:jc w:val="center"/>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3"/>
                <w:kern w:val="2"/>
                <w:sz w:val="21"/>
                <w:szCs w:val="21"/>
                <w:highlight w:val="none"/>
              </w:rPr>
              <w:t>0.2</w:t>
            </w:r>
            <w:r>
              <w:rPr>
                <w:rFonts w:hint="eastAsia" w:ascii="宋体" w:hAnsi="宋体" w:eastAsia="宋体" w:cs="宋体"/>
                <w:color w:val="auto"/>
                <w:spacing w:val="3"/>
                <w:kern w:val="2"/>
                <w:sz w:val="21"/>
                <w:szCs w:val="21"/>
                <w:highlight w:val="none"/>
                <w:lang w:val="en-US" w:eastAsia="zh-CN"/>
              </w:rPr>
              <w:t>5</w:t>
            </w:r>
          </w:p>
        </w:tc>
      </w:tr>
      <w:tr w14:paraId="57C5F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0C1E478D">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rPr>
              <w:t>最大功率温度系数(%/℃</w:t>
            </w:r>
            <w:r>
              <w:rPr>
                <w:rFonts w:hint="eastAsia" w:ascii="宋体" w:hAnsi="宋体" w:eastAsia="宋体" w:cs="宋体"/>
                <w:color w:val="auto"/>
                <w:spacing w:val="6"/>
                <w:kern w:val="2"/>
                <w:sz w:val="21"/>
                <w:szCs w:val="21"/>
                <w:highlight w:val="none"/>
              </w:rPr>
              <w:t>)</w:t>
            </w:r>
          </w:p>
        </w:tc>
        <w:tc>
          <w:tcPr>
            <w:tcW w:w="2791" w:type="pct"/>
            <w:vAlign w:val="bottom"/>
          </w:tcPr>
          <w:p w14:paraId="4E7C8DC7">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3"/>
                <w:kern w:val="2"/>
                <w:sz w:val="21"/>
                <w:szCs w:val="21"/>
                <w:highlight w:val="none"/>
              </w:rPr>
              <w:t>0.</w:t>
            </w:r>
            <w:r>
              <w:rPr>
                <w:rFonts w:hint="eastAsia" w:ascii="宋体" w:hAnsi="宋体" w:eastAsia="宋体" w:cs="宋体"/>
                <w:color w:val="auto"/>
                <w:spacing w:val="3"/>
                <w:kern w:val="2"/>
                <w:sz w:val="21"/>
                <w:szCs w:val="21"/>
                <w:highlight w:val="none"/>
                <w:lang w:val="en-US" w:eastAsia="zh-CN"/>
              </w:rPr>
              <w:t>29</w:t>
            </w:r>
          </w:p>
        </w:tc>
      </w:tr>
      <w:tr w14:paraId="12D30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70F2200C">
            <w:pPr>
              <w:widowControl w:val="0"/>
              <w:adjustRightInd/>
              <w:snapToGrid/>
              <w:spacing w:after="0" w:line="288" w:lineRule="auto"/>
              <w:jc w:val="center"/>
              <w:rPr>
                <w:rFonts w:hint="eastAsia" w:ascii="宋体" w:hAnsi="宋体" w:eastAsia="宋体" w:cs="宋体"/>
                <w:color w:val="auto"/>
                <w:spacing w:val="8"/>
                <w:kern w:val="2"/>
                <w:sz w:val="21"/>
                <w:szCs w:val="21"/>
                <w:highlight w:val="none"/>
              </w:rPr>
            </w:pPr>
            <w:r>
              <w:rPr>
                <w:rFonts w:hint="eastAsia" w:ascii="宋体" w:hAnsi="宋体" w:eastAsia="宋体" w:cs="宋体"/>
                <w:color w:val="auto"/>
                <w:spacing w:val="8"/>
                <w:kern w:val="2"/>
                <w:sz w:val="21"/>
                <w:szCs w:val="21"/>
                <w:highlight w:val="none"/>
              </w:rPr>
              <w:t>最大额定熔丝电流</w:t>
            </w:r>
            <w:r>
              <w:rPr>
                <w:rFonts w:hint="eastAsia" w:ascii="宋体" w:hAnsi="宋体" w:eastAsia="宋体" w:cs="宋体"/>
                <w:color w:val="auto"/>
                <w:spacing w:val="7"/>
                <w:kern w:val="2"/>
                <w:sz w:val="21"/>
                <w:szCs w:val="21"/>
                <w:highlight w:val="none"/>
              </w:rPr>
              <w:t>(</w:t>
            </w:r>
            <w:r>
              <w:rPr>
                <w:rFonts w:hint="eastAsia" w:ascii="宋体" w:hAnsi="宋体" w:eastAsia="宋体" w:cs="宋体"/>
                <w:color w:val="auto"/>
                <w:spacing w:val="7"/>
                <w:kern w:val="2"/>
                <w:sz w:val="21"/>
                <w:szCs w:val="21"/>
                <w:highlight w:val="none"/>
                <w:lang w:val="en-US" w:eastAsia="zh-CN"/>
              </w:rPr>
              <w:t>A</w:t>
            </w:r>
            <w:r>
              <w:rPr>
                <w:rFonts w:hint="eastAsia" w:ascii="宋体" w:hAnsi="宋体" w:eastAsia="宋体" w:cs="宋体"/>
                <w:color w:val="auto"/>
                <w:spacing w:val="6"/>
                <w:kern w:val="2"/>
                <w:sz w:val="21"/>
                <w:szCs w:val="21"/>
                <w:highlight w:val="none"/>
              </w:rPr>
              <w:t>)</w:t>
            </w:r>
          </w:p>
        </w:tc>
        <w:tc>
          <w:tcPr>
            <w:tcW w:w="2791" w:type="pct"/>
            <w:vAlign w:val="bottom"/>
          </w:tcPr>
          <w:p w14:paraId="6F9882AB">
            <w:pPr>
              <w:widowControl w:val="0"/>
              <w:adjustRightInd/>
              <w:snapToGrid/>
              <w:spacing w:after="0" w:line="288" w:lineRule="auto"/>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2"/>
                <w:kern w:val="2"/>
                <w:position w:val="-1"/>
                <w:sz w:val="21"/>
                <w:szCs w:val="21"/>
                <w:highlight w:val="none"/>
                <w:lang w:val="en-US" w:eastAsia="zh-CN"/>
              </w:rPr>
              <w:t>25</w:t>
            </w:r>
          </w:p>
        </w:tc>
      </w:tr>
      <w:tr w14:paraId="5EC73B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04590193">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8"/>
                <w:kern w:val="2"/>
                <w:sz w:val="21"/>
                <w:szCs w:val="21"/>
                <w:highlight w:val="none"/>
              </w:rPr>
              <w:t>最大系统电</w:t>
            </w:r>
            <w:r>
              <w:rPr>
                <w:rFonts w:hint="eastAsia" w:ascii="宋体" w:hAnsi="宋体" w:eastAsia="宋体" w:cs="宋体"/>
                <w:color w:val="auto"/>
                <w:spacing w:val="7"/>
                <w:kern w:val="2"/>
                <w:sz w:val="21"/>
                <w:szCs w:val="21"/>
                <w:highlight w:val="none"/>
              </w:rPr>
              <w:t>压(</w:t>
            </w:r>
            <w:r>
              <w:rPr>
                <w:rFonts w:hint="eastAsia" w:ascii="宋体" w:hAnsi="宋体" w:eastAsia="宋体" w:cs="宋体"/>
                <w:color w:val="auto"/>
                <w:spacing w:val="7"/>
                <w:kern w:val="2"/>
                <w:sz w:val="21"/>
                <w:szCs w:val="21"/>
                <w:highlight w:val="none"/>
                <w:lang w:val="en-US" w:eastAsia="zh-CN"/>
              </w:rPr>
              <w:t>V</w:t>
            </w:r>
            <w:r>
              <w:rPr>
                <w:rFonts w:hint="eastAsia" w:ascii="宋体" w:hAnsi="宋体" w:eastAsia="宋体" w:cs="宋体"/>
                <w:color w:val="auto"/>
                <w:spacing w:val="6"/>
                <w:kern w:val="2"/>
                <w:sz w:val="21"/>
                <w:szCs w:val="21"/>
                <w:highlight w:val="none"/>
              </w:rPr>
              <w:t>)</w:t>
            </w:r>
          </w:p>
        </w:tc>
        <w:tc>
          <w:tcPr>
            <w:tcW w:w="2791" w:type="pct"/>
            <w:vAlign w:val="bottom"/>
          </w:tcPr>
          <w:p w14:paraId="3BB793A7">
            <w:pPr>
              <w:widowControl w:val="0"/>
              <w:adjustRightInd/>
              <w:snapToGrid/>
              <w:spacing w:after="0" w:line="288" w:lineRule="auto"/>
              <w:jc w:val="center"/>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DC</w:t>
            </w:r>
            <w:r>
              <w:rPr>
                <w:rFonts w:hint="eastAsia" w:ascii="宋体" w:hAnsi="宋体" w:eastAsia="宋体" w:cs="宋体"/>
                <w:color w:val="auto"/>
                <w:spacing w:val="9"/>
                <w:kern w:val="2"/>
                <w:sz w:val="21"/>
                <w:szCs w:val="21"/>
                <w:highlight w:val="none"/>
              </w:rPr>
              <w:t>1</w:t>
            </w:r>
            <w:r>
              <w:rPr>
                <w:rFonts w:hint="eastAsia" w:ascii="宋体" w:hAnsi="宋体" w:eastAsia="宋体" w:cs="宋体"/>
                <w:color w:val="auto"/>
                <w:spacing w:val="7"/>
                <w:kern w:val="2"/>
                <w:sz w:val="21"/>
                <w:szCs w:val="21"/>
                <w:highlight w:val="none"/>
              </w:rPr>
              <w:t>500</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IEC</w:t>
            </w:r>
            <w:r>
              <w:rPr>
                <w:rFonts w:hint="eastAsia" w:ascii="宋体" w:hAnsi="宋体" w:eastAsia="宋体" w:cs="宋体"/>
                <w:color w:val="auto"/>
                <w:kern w:val="2"/>
                <w:sz w:val="21"/>
                <w:szCs w:val="21"/>
                <w:highlight w:val="none"/>
                <w:lang w:eastAsia="zh-CN"/>
              </w:rPr>
              <w:t>）</w:t>
            </w:r>
          </w:p>
        </w:tc>
      </w:tr>
      <w:tr w14:paraId="2E4E3F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575F159B">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lang w:val="en-US" w:eastAsia="zh-CN"/>
              </w:rPr>
              <w:t>工作</w:t>
            </w:r>
            <w:r>
              <w:rPr>
                <w:rFonts w:hint="eastAsia" w:ascii="宋体" w:hAnsi="宋体" w:eastAsia="宋体" w:cs="宋体"/>
                <w:color w:val="auto"/>
                <w:spacing w:val="7"/>
                <w:kern w:val="2"/>
                <w:sz w:val="21"/>
                <w:szCs w:val="21"/>
                <w:highlight w:val="none"/>
              </w:rPr>
              <w:t>温度范围</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sz w:val="21"/>
                <w:szCs w:val="21"/>
                <w:highlight w:val="none"/>
              </w:rPr>
              <w:t>℃)</w:t>
            </w:r>
          </w:p>
        </w:tc>
        <w:tc>
          <w:tcPr>
            <w:tcW w:w="2791" w:type="pct"/>
            <w:vAlign w:val="bottom"/>
          </w:tcPr>
          <w:p w14:paraId="6E876552">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spacing w:val="7"/>
                <w:kern w:val="2"/>
                <w:sz w:val="21"/>
                <w:szCs w:val="21"/>
                <w:highlight w:val="none"/>
              </w:rPr>
              <w:t>-</w:t>
            </w:r>
            <w:r>
              <w:rPr>
                <w:rFonts w:hint="eastAsia" w:ascii="宋体" w:hAnsi="宋体" w:eastAsia="宋体" w:cs="宋体"/>
                <w:color w:val="auto"/>
                <w:spacing w:val="5"/>
                <w:kern w:val="2"/>
                <w:sz w:val="21"/>
                <w:szCs w:val="21"/>
                <w:highlight w:val="none"/>
              </w:rPr>
              <w:t>40</w:t>
            </w:r>
            <w:r>
              <w:rPr>
                <w:rFonts w:hint="eastAsia" w:ascii="宋体" w:hAnsi="宋体" w:eastAsia="宋体" w:cs="宋体"/>
                <w:color w:val="auto"/>
                <w:spacing w:val="5"/>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rPr>
              <w:t>+</w:t>
            </w:r>
            <w:r>
              <w:rPr>
                <w:rFonts w:hint="eastAsia" w:ascii="宋体" w:hAnsi="宋体" w:eastAsia="宋体" w:cs="宋体"/>
                <w:color w:val="auto"/>
                <w:spacing w:val="5"/>
                <w:kern w:val="2"/>
                <w:sz w:val="21"/>
                <w:szCs w:val="21"/>
                <w:highlight w:val="none"/>
                <w:lang w:val="en-US" w:eastAsia="zh-CN"/>
              </w:rPr>
              <w:t>70</w:t>
            </w:r>
          </w:p>
        </w:tc>
      </w:tr>
      <w:tr w14:paraId="68A1E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07ADF05D">
            <w:pPr>
              <w:widowControl w:val="0"/>
              <w:adjustRightInd/>
              <w:snapToGrid/>
              <w:spacing w:after="0" w:line="288" w:lineRule="auto"/>
              <w:jc w:val="center"/>
              <w:rPr>
                <w:rFonts w:hint="eastAsia" w:ascii="宋体" w:hAnsi="宋体" w:eastAsia="宋体" w:cs="宋体"/>
                <w:color w:val="auto"/>
                <w:spacing w:val="9"/>
                <w:kern w:val="2"/>
                <w:sz w:val="21"/>
                <w:szCs w:val="21"/>
                <w:highlight w:val="none"/>
              </w:rPr>
            </w:pPr>
            <w:r>
              <w:rPr>
                <w:rFonts w:hint="eastAsia" w:ascii="宋体" w:hAnsi="宋体" w:eastAsia="宋体" w:cs="宋体"/>
                <w:color w:val="auto"/>
                <w:spacing w:val="5"/>
                <w:kern w:val="2"/>
                <w:sz w:val="21"/>
                <w:szCs w:val="21"/>
                <w:highlight w:val="none"/>
                <w:lang w:val="en-US" w:eastAsia="zh-CN"/>
              </w:rPr>
              <w:t>正面最大静态载荷/抗雪载性能</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sz w:val="21"/>
                <w:szCs w:val="21"/>
                <w:highlight w:val="none"/>
              </w:rPr>
              <w:t>Pa)</w:t>
            </w:r>
          </w:p>
        </w:tc>
        <w:tc>
          <w:tcPr>
            <w:tcW w:w="2791" w:type="pct"/>
            <w:vAlign w:val="bottom"/>
          </w:tcPr>
          <w:p w14:paraId="123DE4DB">
            <w:pPr>
              <w:widowControl w:val="0"/>
              <w:adjustRightInd/>
              <w:snapToGrid/>
              <w:spacing w:after="0" w:line="288" w:lineRule="auto"/>
              <w:jc w:val="center"/>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5"/>
                <w:kern w:val="2"/>
                <w:position w:val="1"/>
                <w:sz w:val="21"/>
                <w:szCs w:val="21"/>
                <w:highlight w:val="none"/>
                <w:lang w:val="en-US" w:eastAsia="zh-CN"/>
              </w:rPr>
              <w:t>5400</w:t>
            </w:r>
          </w:p>
        </w:tc>
      </w:tr>
      <w:tr w14:paraId="44355E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6239AEAE">
            <w:pPr>
              <w:widowControl w:val="0"/>
              <w:adjustRightInd/>
              <w:snapToGrid/>
              <w:spacing w:after="0" w:line="288" w:lineRule="auto"/>
              <w:jc w:val="center"/>
              <w:rPr>
                <w:rFonts w:hint="eastAsia" w:ascii="宋体" w:hAnsi="宋体" w:eastAsia="宋体" w:cs="宋体"/>
                <w:color w:val="auto"/>
                <w:spacing w:val="9"/>
                <w:kern w:val="2"/>
                <w:sz w:val="21"/>
                <w:szCs w:val="21"/>
                <w:highlight w:val="none"/>
              </w:rPr>
            </w:pPr>
            <w:r>
              <w:rPr>
                <w:rFonts w:hint="eastAsia" w:ascii="宋体" w:hAnsi="宋体" w:eastAsia="宋体" w:cs="宋体"/>
                <w:color w:val="auto"/>
                <w:spacing w:val="5"/>
                <w:kern w:val="2"/>
                <w:sz w:val="21"/>
                <w:szCs w:val="21"/>
                <w:highlight w:val="none"/>
                <w:lang w:val="en-US" w:eastAsia="zh-CN"/>
              </w:rPr>
              <w:t>背面最大静态载荷/抗风压性能</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sz w:val="21"/>
                <w:szCs w:val="21"/>
                <w:highlight w:val="none"/>
              </w:rPr>
              <w:t>Pa)</w:t>
            </w:r>
          </w:p>
        </w:tc>
        <w:tc>
          <w:tcPr>
            <w:tcW w:w="2791" w:type="pct"/>
            <w:vAlign w:val="bottom"/>
          </w:tcPr>
          <w:p w14:paraId="6750B165">
            <w:pPr>
              <w:widowControl w:val="0"/>
              <w:adjustRightInd/>
              <w:snapToGrid/>
              <w:spacing w:after="0" w:line="288" w:lineRule="auto"/>
              <w:jc w:val="center"/>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5"/>
                <w:kern w:val="2"/>
                <w:position w:val="1"/>
                <w:sz w:val="21"/>
                <w:szCs w:val="21"/>
                <w:highlight w:val="none"/>
                <w:lang w:val="en-US" w:eastAsia="zh-CN"/>
              </w:rPr>
              <w:t>2400</w:t>
            </w:r>
          </w:p>
        </w:tc>
      </w:tr>
      <w:tr w14:paraId="4C7399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bottom"/>
          </w:tcPr>
          <w:p w14:paraId="102878DA">
            <w:pPr>
              <w:widowControl w:val="0"/>
              <w:adjustRightInd/>
              <w:snapToGrid/>
              <w:spacing w:after="0" w:line="288" w:lineRule="auto"/>
              <w:jc w:val="center"/>
              <w:rPr>
                <w:rFonts w:hint="eastAsia" w:ascii="宋体" w:hAnsi="宋体" w:eastAsia="宋体" w:cs="宋体"/>
                <w:color w:val="auto"/>
                <w:spacing w:val="9"/>
                <w:kern w:val="2"/>
                <w:sz w:val="21"/>
                <w:szCs w:val="21"/>
                <w:highlight w:val="none"/>
              </w:rPr>
            </w:pPr>
            <w:r>
              <w:rPr>
                <w:rFonts w:hint="eastAsia" w:ascii="宋体" w:hAnsi="宋体" w:eastAsia="宋体" w:cs="宋体"/>
                <w:color w:val="auto"/>
                <w:spacing w:val="5"/>
                <w:kern w:val="2"/>
                <w:sz w:val="21"/>
                <w:szCs w:val="21"/>
                <w:highlight w:val="none"/>
                <w:lang w:val="en-US" w:eastAsia="zh-CN"/>
              </w:rPr>
              <w:t>抗冰雹性能</w:t>
            </w:r>
          </w:p>
        </w:tc>
        <w:tc>
          <w:tcPr>
            <w:tcW w:w="2791" w:type="pct"/>
            <w:vAlign w:val="bottom"/>
          </w:tcPr>
          <w:p w14:paraId="5C48158A">
            <w:pPr>
              <w:widowControl w:val="0"/>
              <w:adjustRightInd/>
              <w:snapToGrid/>
              <w:spacing w:after="0" w:line="288" w:lineRule="auto"/>
              <w:jc w:val="center"/>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5"/>
                <w:kern w:val="2"/>
                <w:sz w:val="21"/>
                <w:szCs w:val="21"/>
                <w:highlight w:val="none"/>
                <w:lang w:val="en-US" w:eastAsia="zh-CN"/>
              </w:rPr>
              <w:t>通过</w:t>
            </w:r>
            <w:r>
              <w:rPr>
                <w:rFonts w:hint="eastAsia" w:ascii="宋体" w:hAnsi="宋体" w:eastAsia="宋体" w:cs="宋体"/>
                <w:color w:val="auto"/>
                <w:spacing w:val="5"/>
                <w:kern w:val="2"/>
                <w:position w:val="1"/>
                <w:sz w:val="21"/>
                <w:szCs w:val="21"/>
                <w:highlight w:val="none"/>
                <w:lang w:val="en-US" w:eastAsia="zh-CN"/>
              </w:rPr>
              <w:t>直径25mm 冲击速度23m/s</w:t>
            </w:r>
            <w:r>
              <w:rPr>
                <w:rFonts w:hint="eastAsia" w:ascii="宋体" w:hAnsi="宋体" w:eastAsia="宋体" w:cs="宋体"/>
                <w:color w:val="auto"/>
                <w:spacing w:val="5"/>
                <w:kern w:val="2"/>
                <w:sz w:val="21"/>
                <w:szCs w:val="21"/>
                <w:highlight w:val="none"/>
                <w:lang w:val="en-US" w:eastAsia="zh-CN"/>
              </w:rPr>
              <w:t>冰球撞击</w:t>
            </w:r>
            <w:r>
              <w:rPr>
                <w:rFonts w:hint="eastAsia" w:ascii="宋体" w:hAnsi="宋体" w:eastAsia="宋体" w:cs="宋体"/>
                <w:color w:val="auto"/>
                <w:spacing w:val="5"/>
                <w:kern w:val="2"/>
                <w:position w:val="1"/>
                <w:sz w:val="21"/>
                <w:szCs w:val="21"/>
                <w:highlight w:val="none"/>
                <w:lang w:val="en-US" w:eastAsia="zh-CN"/>
              </w:rPr>
              <w:t>测试</w:t>
            </w:r>
          </w:p>
        </w:tc>
      </w:tr>
      <w:tr w14:paraId="615119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2208" w:type="pct"/>
            <w:vAlign w:val="center"/>
          </w:tcPr>
          <w:p w14:paraId="086585C2">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9"/>
                <w:kern w:val="2"/>
                <w:sz w:val="21"/>
                <w:szCs w:val="21"/>
                <w:highlight w:val="none"/>
              </w:rPr>
              <w:t>接</w:t>
            </w:r>
            <w:r>
              <w:rPr>
                <w:rFonts w:hint="eastAsia" w:ascii="宋体" w:hAnsi="宋体" w:eastAsia="宋体" w:cs="宋体"/>
                <w:color w:val="auto"/>
                <w:spacing w:val="8"/>
                <w:kern w:val="2"/>
                <w:sz w:val="21"/>
                <w:szCs w:val="21"/>
                <w:highlight w:val="none"/>
              </w:rPr>
              <w:t>线盒类型</w:t>
            </w:r>
          </w:p>
        </w:tc>
        <w:tc>
          <w:tcPr>
            <w:tcW w:w="2791" w:type="pct"/>
            <w:vAlign w:val="bottom"/>
          </w:tcPr>
          <w:p w14:paraId="668DD231">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4"/>
                <w:kern w:val="2"/>
                <w:sz w:val="21"/>
                <w:szCs w:val="21"/>
                <w:highlight w:val="none"/>
              </w:rPr>
              <w:t>密封防水型</w:t>
            </w:r>
            <w:r>
              <w:rPr>
                <w:rFonts w:hint="eastAsia" w:ascii="宋体" w:hAnsi="宋体" w:eastAsia="宋体" w:cs="宋体"/>
                <w:color w:val="auto"/>
                <w:spacing w:val="4"/>
                <w:kern w:val="2"/>
                <w:sz w:val="21"/>
                <w:szCs w:val="21"/>
                <w:highlight w:val="none"/>
                <w:lang w:val="en-US" w:eastAsia="zh-CN"/>
              </w:rPr>
              <w:t xml:space="preserve"> </w:t>
            </w:r>
            <w:r>
              <w:rPr>
                <w:rFonts w:hint="eastAsia" w:ascii="宋体" w:hAnsi="宋体" w:eastAsia="宋体" w:cs="宋体"/>
                <w:color w:val="auto"/>
                <w:spacing w:val="4"/>
                <w:kern w:val="2"/>
                <w:sz w:val="21"/>
                <w:szCs w:val="21"/>
                <w:highlight w:val="none"/>
              </w:rPr>
              <w:t>防护等级</w:t>
            </w:r>
            <w:r>
              <w:rPr>
                <w:rFonts w:hint="eastAsia" w:ascii="宋体" w:hAnsi="宋体" w:eastAsia="宋体" w:cs="宋体"/>
                <w:color w:val="auto"/>
                <w:kern w:val="2"/>
                <w:sz w:val="21"/>
                <w:szCs w:val="21"/>
                <w:highlight w:val="none"/>
              </w:rPr>
              <w:t>IP</w:t>
            </w:r>
            <w:r>
              <w:rPr>
                <w:rFonts w:hint="eastAsia" w:ascii="宋体" w:hAnsi="宋体" w:eastAsia="宋体" w:cs="宋体"/>
                <w:color w:val="auto"/>
                <w:spacing w:val="4"/>
                <w:kern w:val="2"/>
                <w:sz w:val="21"/>
                <w:szCs w:val="21"/>
                <w:highlight w:val="none"/>
              </w:rPr>
              <w:t>6</w:t>
            </w:r>
            <w:r>
              <w:rPr>
                <w:rFonts w:hint="eastAsia" w:ascii="宋体" w:hAnsi="宋体" w:eastAsia="宋体" w:cs="宋体"/>
                <w:color w:val="auto"/>
                <w:spacing w:val="1"/>
                <w:kern w:val="2"/>
                <w:sz w:val="21"/>
                <w:szCs w:val="21"/>
                <w:highlight w:val="none"/>
              </w:rPr>
              <w:t>8</w:t>
            </w:r>
          </w:p>
        </w:tc>
      </w:tr>
      <w:tr w14:paraId="3E8EB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center"/>
          </w:tcPr>
          <w:p w14:paraId="6565E6CE">
            <w:pPr>
              <w:widowControl w:val="0"/>
              <w:adjustRightInd/>
              <w:snapToGrid/>
              <w:spacing w:after="0" w:line="288" w:lineRule="auto"/>
              <w:jc w:val="center"/>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上表面玻璃</w:t>
            </w:r>
            <w:r>
              <w:rPr>
                <w:rFonts w:hint="eastAsia" w:ascii="宋体" w:hAnsi="宋体" w:eastAsia="宋体" w:cs="宋体"/>
                <w:color w:val="auto"/>
                <w:spacing w:val="8"/>
                <w:kern w:val="2"/>
                <w:sz w:val="21"/>
                <w:szCs w:val="21"/>
                <w:highlight w:val="none"/>
              </w:rPr>
              <w:t>类型</w:t>
            </w:r>
          </w:p>
        </w:tc>
        <w:tc>
          <w:tcPr>
            <w:tcW w:w="2791" w:type="pct"/>
            <w:vAlign w:val="bottom"/>
          </w:tcPr>
          <w:p w14:paraId="31E22D41">
            <w:pPr>
              <w:widowControl w:val="0"/>
              <w:adjustRightInd/>
              <w:snapToGrid/>
              <w:spacing w:after="0" w:line="288" w:lineRule="auto"/>
              <w:jc w:val="center"/>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1"/>
                <w:kern w:val="2"/>
                <w:sz w:val="21"/>
                <w:szCs w:val="21"/>
                <w:highlight w:val="none"/>
              </w:rPr>
              <w:t>3.2mm镀膜钢化玻璃</w:t>
            </w:r>
            <w:r>
              <w:rPr>
                <w:rFonts w:hint="eastAsia" w:ascii="宋体" w:hAnsi="宋体" w:eastAsia="宋体" w:cs="宋体"/>
                <w:color w:val="auto"/>
                <w:spacing w:val="1"/>
                <w:kern w:val="2"/>
                <w:sz w:val="21"/>
                <w:szCs w:val="21"/>
                <w:highlight w:val="none"/>
                <w:lang w:val="en-US" w:eastAsia="zh-CN"/>
              </w:rPr>
              <w:t xml:space="preserve"> </w:t>
            </w:r>
            <w:r>
              <w:rPr>
                <w:rFonts w:hint="eastAsia" w:ascii="宋体" w:hAnsi="宋体" w:eastAsia="宋体" w:cs="宋体"/>
                <w:color w:val="auto"/>
                <w:spacing w:val="1"/>
                <w:kern w:val="2"/>
                <w:sz w:val="21"/>
                <w:szCs w:val="21"/>
                <w:highlight w:val="none"/>
              </w:rPr>
              <w:t>压花</w:t>
            </w:r>
          </w:p>
        </w:tc>
      </w:tr>
      <w:tr w14:paraId="1BFE21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center"/>
          </w:tcPr>
          <w:p w14:paraId="12C0AC86">
            <w:pPr>
              <w:widowControl w:val="0"/>
              <w:adjustRightInd/>
              <w:snapToGrid/>
              <w:spacing w:after="0" w:line="288" w:lineRule="auto"/>
              <w:jc w:val="center"/>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边框</w:t>
            </w:r>
            <w:r>
              <w:rPr>
                <w:rFonts w:hint="eastAsia" w:ascii="宋体" w:hAnsi="宋体" w:eastAsia="宋体" w:cs="宋体"/>
                <w:color w:val="auto"/>
                <w:spacing w:val="8"/>
                <w:kern w:val="2"/>
                <w:sz w:val="21"/>
                <w:szCs w:val="21"/>
                <w:highlight w:val="none"/>
              </w:rPr>
              <w:t>类型</w:t>
            </w:r>
          </w:p>
        </w:tc>
        <w:tc>
          <w:tcPr>
            <w:tcW w:w="2791" w:type="pct"/>
            <w:vAlign w:val="bottom"/>
          </w:tcPr>
          <w:p w14:paraId="7F213FD7">
            <w:pPr>
              <w:widowControl w:val="0"/>
              <w:adjustRightInd/>
              <w:snapToGrid/>
              <w:spacing w:after="0" w:line="288" w:lineRule="auto"/>
              <w:jc w:val="center"/>
              <w:rPr>
                <w:rFonts w:hint="default"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阳极氧化铝合金边框</w:t>
            </w:r>
          </w:p>
        </w:tc>
      </w:tr>
      <w:tr w14:paraId="5DE25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center"/>
          </w:tcPr>
          <w:p w14:paraId="61A99DEF">
            <w:pPr>
              <w:widowControl w:val="0"/>
              <w:adjustRightInd/>
              <w:snapToGrid/>
              <w:spacing w:after="0" w:line="288" w:lineRule="auto"/>
              <w:jc w:val="center"/>
              <w:rPr>
                <w:rFonts w:hint="default"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输出导线线径</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sz w:val="21"/>
                <w:szCs w:val="21"/>
                <w:highlight w:val="none"/>
              </w:rPr>
              <w:t>mm²)</w:t>
            </w:r>
          </w:p>
        </w:tc>
        <w:tc>
          <w:tcPr>
            <w:tcW w:w="2791" w:type="pct"/>
            <w:vAlign w:val="bottom"/>
          </w:tcPr>
          <w:p w14:paraId="3E4BC196">
            <w:pPr>
              <w:widowControl w:val="0"/>
              <w:adjustRightInd/>
              <w:snapToGrid/>
              <w:spacing w:after="0" w:line="288" w:lineRule="auto"/>
              <w:jc w:val="center"/>
              <w:rPr>
                <w:rFonts w:hint="default"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4.0（光伏专用电缆）</w:t>
            </w:r>
          </w:p>
        </w:tc>
      </w:tr>
      <w:tr w14:paraId="3B3C6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3699" w:type="dxa"/>
            <w:vAlign w:val="center"/>
          </w:tcPr>
          <w:p w14:paraId="56F1AB82">
            <w:pPr>
              <w:widowControl w:val="0"/>
              <w:adjustRightInd/>
              <w:snapToGrid/>
              <w:spacing w:after="0" w:line="288" w:lineRule="auto"/>
              <w:jc w:val="center"/>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输出导线</w:t>
            </w:r>
            <w:r>
              <w:rPr>
                <w:rFonts w:hint="eastAsia" w:ascii="宋体" w:hAnsi="宋体" w:eastAsia="宋体" w:cs="宋体"/>
                <w:color w:val="auto"/>
                <w:spacing w:val="5"/>
                <w:kern w:val="2"/>
                <w:position w:val="1"/>
                <w:sz w:val="21"/>
                <w:szCs w:val="21"/>
                <w:highlight w:val="none"/>
                <w:lang w:val="en-US" w:eastAsia="zh-CN"/>
              </w:rPr>
              <w:t>长度</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spacing w:val="5"/>
                <w:kern w:val="2"/>
                <w:position w:val="1"/>
                <w:sz w:val="21"/>
                <w:szCs w:val="21"/>
                <w:highlight w:val="none"/>
                <w:lang w:val="en-US" w:eastAsia="zh-CN"/>
              </w:rPr>
              <w:t>mm</w:t>
            </w:r>
            <w:r>
              <w:rPr>
                <w:rFonts w:hint="eastAsia" w:ascii="宋体" w:hAnsi="宋体" w:eastAsia="宋体" w:cs="宋体"/>
                <w:color w:val="auto"/>
                <w:spacing w:val="5"/>
                <w:kern w:val="2"/>
                <w:sz w:val="21"/>
                <w:szCs w:val="21"/>
                <w:highlight w:val="none"/>
              </w:rPr>
              <w:t>)</w:t>
            </w:r>
          </w:p>
        </w:tc>
        <w:tc>
          <w:tcPr>
            <w:tcW w:w="4676" w:type="dxa"/>
            <w:vAlign w:val="bottom"/>
          </w:tcPr>
          <w:p w14:paraId="0277E078">
            <w:pPr>
              <w:widowControl w:val="0"/>
              <w:adjustRightInd/>
              <w:snapToGrid/>
              <w:spacing w:after="0" w:line="288" w:lineRule="auto"/>
              <w:jc w:val="center"/>
              <w:rPr>
                <w:rFonts w:hint="default"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正极</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5"/>
                <w:kern w:val="2"/>
                <w:position w:val="1"/>
                <w:sz w:val="21"/>
                <w:szCs w:val="21"/>
                <w:highlight w:val="none"/>
                <w:lang w:val="en-US" w:eastAsia="zh-CN"/>
              </w:rPr>
              <w:t>300；负极</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spacing w:val="5"/>
                <w:kern w:val="2"/>
                <w:position w:val="1"/>
                <w:sz w:val="21"/>
                <w:szCs w:val="21"/>
                <w:highlight w:val="none"/>
                <w:lang w:val="en-US" w:eastAsia="zh-CN"/>
              </w:rPr>
              <w:t>200 或可定制</w:t>
            </w:r>
          </w:p>
        </w:tc>
      </w:tr>
      <w:tr w14:paraId="4B7364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404939D3">
            <w:pPr>
              <w:widowControl w:val="0"/>
              <w:adjustRightInd/>
              <w:snapToGrid/>
              <w:spacing w:after="0" w:line="288" w:lineRule="auto"/>
              <w:jc w:val="center"/>
              <w:rPr>
                <w:rFonts w:hint="default"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安全防护等级</w:t>
            </w:r>
          </w:p>
        </w:tc>
        <w:tc>
          <w:tcPr>
            <w:tcW w:w="2791" w:type="pct"/>
            <w:vAlign w:val="bottom"/>
          </w:tcPr>
          <w:p w14:paraId="646C9B5B">
            <w:pPr>
              <w:widowControl w:val="0"/>
              <w:adjustRightInd/>
              <w:snapToGrid/>
              <w:spacing w:after="0" w:line="288" w:lineRule="auto"/>
              <w:jc w:val="center"/>
              <w:rPr>
                <w:rFonts w:hint="default"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ClassⅡ</w:t>
            </w:r>
          </w:p>
        </w:tc>
      </w:tr>
      <w:tr w14:paraId="414241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0C89D53E">
            <w:pPr>
              <w:widowControl w:val="0"/>
              <w:adjustRightInd/>
              <w:snapToGrid/>
              <w:spacing w:after="0" w:line="288" w:lineRule="auto"/>
              <w:jc w:val="center"/>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组件防火等级</w:t>
            </w:r>
          </w:p>
        </w:tc>
        <w:tc>
          <w:tcPr>
            <w:tcW w:w="2791" w:type="pct"/>
            <w:vAlign w:val="bottom"/>
          </w:tcPr>
          <w:p w14:paraId="572EC4D5">
            <w:pPr>
              <w:widowControl w:val="0"/>
              <w:adjustRightInd/>
              <w:snapToGrid/>
              <w:spacing w:after="0" w:line="288" w:lineRule="auto"/>
              <w:jc w:val="center"/>
              <w:rPr>
                <w:rFonts w:hint="eastAsia"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Class C</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IEC</w:t>
            </w:r>
            <w:r>
              <w:rPr>
                <w:rFonts w:hint="eastAsia" w:ascii="宋体" w:hAnsi="宋体" w:eastAsia="宋体" w:cs="宋体"/>
                <w:color w:val="auto"/>
                <w:kern w:val="2"/>
                <w:sz w:val="21"/>
                <w:szCs w:val="21"/>
                <w:highlight w:val="none"/>
                <w:lang w:eastAsia="zh-CN"/>
              </w:rPr>
              <w:t>）</w:t>
            </w:r>
          </w:p>
        </w:tc>
      </w:tr>
      <w:tr w14:paraId="1DBB77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3269583E">
            <w:pPr>
              <w:widowControl w:val="0"/>
              <w:adjustRightInd/>
              <w:snapToGrid/>
              <w:spacing w:after="0" w:line="288" w:lineRule="auto"/>
              <w:jc w:val="center"/>
              <w:rPr>
                <w:rFonts w:hint="default"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尺寸</w:t>
            </w:r>
            <w:r>
              <w:rPr>
                <w:rFonts w:hint="eastAsia" w:ascii="宋体" w:hAnsi="宋体" w:eastAsia="宋体" w:cs="宋体"/>
                <w:color w:val="auto"/>
                <w:spacing w:val="6"/>
                <w:kern w:val="2"/>
                <w:sz w:val="21"/>
                <w:szCs w:val="21"/>
                <w:highlight w:val="none"/>
              </w:rPr>
              <w:t>(mm</w:t>
            </w:r>
            <w:r>
              <w:rPr>
                <w:rFonts w:hint="eastAsia" w:ascii="宋体" w:hAnsi="宋体" w:eastAsia="宋体" w:cs="宋体"/>
                <w:color w:val="auto"/>
                <w:spacing w:val="5"/>
                <w:kern w:val="2"/>
                <w:sz w:val="21"/>
                <w:szCs w:val="21"/>
                <w:highlight w:val="none"/>
              </w:rPr>
              <w:t>)</w:t>
            </w:r>
          </w:p>
        </w:tc>
        <w:tc>
          <w:tcPr>
            <w:tcW w:w="2791" w:type="pct"/>
            <w:vAlign w:val="bottom"/>
          </w:tcPr>
          <w:p w14:paraId="0A681062">
            <w:pPr>
              <w:widowControl w:val="0"/>
              <w:adjustRightInd/>
              <w:snapToGrid/>
              <w:spacing w:after="0" w:line="288" w:lineRule="auto"/>
              <w:jc w:val="center"/>
              <w:rPr>
                <w:rFonts w:hint="default"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5"/>
                <w:kern w:val="2"/>
                <w:position w:val="1"/>
                <w:sz w:val="21"/>
                <w:szCs w:val="21"/>
                <w:highlight w:val="none"/>
                <w:lang w:val="en-US" w:eastAsia="zh-CN"/>
              </w:rPr>
              <w:t>2382×1134×30</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spacing w:val="5"/>
                <w:kern w:val="2"/>
                <w:position w:val="1"/>
                <w:sz w:val="21"/>
                <w:szCs w:val="21"/>
                <w:highlight w:val="none"/>
                <w:lang w:val="en-US" w:eastAsia="zh-CN"/>
              </w:rPr>
              <w:t>2278×1134×30</w:t>
            </w:r>
            <w:r>
              <w:rPr>
                <w:rFonts w:hint="eastAsia" w:ascii="宋体" w:hAnsi="宋体" w:eastAsia="宋体" w:cs="宋体"/>
                <w:color w:val="auto"/>
                <w:kern w:val="2"/>
                <w:sz w:val="21"/>
                <w:szCs w:val="21"/>
                <w:highlight w:val="none"/>
                <w:lang w:val="en-US" w:eastAsia="zh-CN"/>
              </w:rPr>
              <w:t>等主流尺寸</w:t>
            </w:r>
          </w:p>
        </w:tc>
      </w:tr>
      <w:tr w14:paraId="690071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5437854E">
            <w:pPr>
              <w:widowControl w:val="0"/>
              <w:adjustRightInd/>
              <w:snapToGrid/>
              <w:spacing w:after="0" w:line="288" w:lineRule="auto"/>
              <w:jc w:val="center"/>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5"/>
                <w:kern w:val="2"/>
                <w:sz w:val="21"/>
                <w:szCs w:val="21"/>
                <w:highlight w:val="none"/>
                <w:lang w:val="en-US" w:eastAsia="zh-CN"/>
              </w:rPr>
              <w:t>重量</w:t>
            </w:r>
            <w:r>
              <w:rPr>
                <w:rFonts w:hint="eastAsia" w:ascii="宋体" w:hAnsi="宋体" w:eastAsia="宋体" w:cs="宋体"/>
                <w:color w:val="auto"/>
                <w:spacing w:val="6"/>
                <w:kern w:val="2"/>
                <w:sz w:val="21"/>
                <w:szCs w:val="21"/>
                <w:highlight w:val="none"/>
              </w:rPr>
              <w:t>(kg</w:t>
            </w:r>
            <w:r>
              <w:rPr>
                <w:rFonts w:hint="eastAsia" w:ascii="宋体" w:hAnsi="宋体" w:eastAsia="宋体" w:cs="宋体"/>
                <w:color w:val="auto"/>
                <w:spacing w:val="5"/>
                <w:kern w:val="2"/>
                <w:sz w:val="21"/>
                <w:szCs w:val="21"/>
                <w:highlight w:val="none"/>
              </w:rPr>
              <w:t>)</w:t>
            </w:r>
          </w:p>
        </w:tc>
        <w:tc>
          <w:tcPr>
            <w:tcW w:w="2791" w:type="pct"/>
            <w:vAlign w:val="bottom"/>
          </w:tcPr>
          <w:p w14:paraId="3AFDE78C">
            <w:pPr>
              <w:widowControl w:val="0"/>
              <w:adjustRightInd/>
              <w:snapToGrid/>
              <w:spacing w:after="0" w:line="288" w:lineRule="auto"/>
              <w:jc w:val="center"/>
              <w:rPr>
                <w:rFonts w:hint="default" w:ascii="宋体" w:hAnsi="宋体" w:eastAsia="宋体" w:cs="宋体"/>
                <w:color w:val="auto"/>
                <w:spacing w:val="5"/>
                <w:kern w:val="2"/>
                <w:position w:val="1"/>
                <w:sz w:val="21"/>
                <w:szCs w:val="21"/>
                <w:highlight w:val="none"/>
                <w:lang w:val="en-US" w:eastAsia="zh-CN"/>
              </w:rPr>
            </w:pPr>
            <w:r>
              <w:rPr>
                <w:rFonts w:hint="eastAsia" w:ascii="宋体" w:hAnsi="宋体" w:eastAsia="宋体" w:cs="宋体"/>
                <w:color w:val="auto"/>
                <w:spacing w:val="7"/>
                <w:kern w:val="2"/>
                <w:sz w:val="21"/>
                <w:szCs w:val="21"/>
                <w:highlight w:val="none"/>
                <w:lang w:val="en-US" w:eastAsia="zh-CN"/>
              </w:rPr>
              <w:t>27</w:t>
            </w:r>
            <w:r>
              <w:rPr>
                <w:rFonts w:hint="eastAsia" w:ascii="宋体" w:hAnsi="宋体" w:eastAsia="宋体" w:cs="宋体"/>
                <w:color w:val="auto"/>
                <w:spacing w:val="5"/>
                <w:kern w:val="2"/>
                <w:sz w:val="21"/>
                <w:szCs w:val="21"/>
                <w:highlight w:val="none"/>
                <w:lang w:val="en-US" w:eastAsia="zh-CN"/>
              </w:rPr>
              <w:t xml:space="preserve"> ⁓34</w:t>
            </w:r>
          </w:p>
        </w:tc>
      </w:tr>
      <w:tr w14:paraId="032A6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11C91158">
            <w:pPr>
              <w:widowControl w:val="0"/>
              <w:adjustRightInd/>
              <w:snapToGrid/>
              <w:spacing w:after="0" w:line="288" w:lineRule="auto"/>
              <w:jc w:val="center"/>
              <w:rPr>
                <w:rFonts w:hint="eastAsia" w:ascii="宋体" w:hAnsi="宋体" w:eastAsia="宋体" w:cs="宋体"/>
                <w:color w:val="auto"/>
                <w:spacing w:val="5"/>
                <w:kern w:val="2"/>
                <w:sz w:val="21"/>
                <w:szCs w:val="21"/>
                <w:highlight w:val="none"/>
                <w:lang w:val="en-US" w:eastAsia="zh-CN"/>
              </w:rPr>
            </w:pPr>
            <w:r>
              <w:rPr>
                <w:rFonts w:hint="eastAsia" w:ascii="宋体" w:hAnsi="宋体" w:eastAsia="宋体" w:cs="宋体"/>
                <w:color w:val="auto"/>
                <w:spacing w:val="4"/>
                <w:kern w:val="2"/>
                <w:sz w:val="21"/>
                <w:szCs w:val="21"/>
                <w:highlight w:val="none"/>
              </w:rPr>
              <w:t>防护等级</w:t>
            </w:r>
          </w:p>
        </w:tc>
        <w:tc>
          <w:tcPr>
            <w:tcW w:w="2791" w:type="pct"/>
            <w:vAlign w:val="bottom"/>
          </w:tcPr>
          <w:p w14:paraId="175862A6">
            <w:pPr>
              <w:widowControl w:val="0"/>
              <w:adjustRightInd/>
              <w:snapToGrid/>
              <w:spacing w:after="0" w:line="288" w:lineRule="auto"/>
              <w:jc w:val="center"/>
              <w:rPr>
                <w:rFonts w:hint="eastAsia" w:ascii="宋体" w:hAnsi="宋体" w:eastAsia="宋体" w:cs="宋体"/>
                <w:color w:val="auto"/>
                <w:spacing w:val="7"/>
                <w:kern w:val="2"/>
                <w:sz w:val="21"/>
                <w:szCs w:val="21"/>
                <w:highlight w:val="none"/>
                <w:lang w:val="en-US" w:eastAsia="zh-CN"/>
              </w:rPr>
            </w:pPr>
            <w:r>
              <w:rPr>
                <w:rFonts w:hint="eastAsia" w:ascii="宋体" w:hAnsi="宋体" w:eastAsia="宋体" w:cs="宋体"/>
                <w:color w:val="auto"/>
                <w:spacing w:val="7"/>
                <w:kern w:val="2"/>
                <w:sz w:val="21"/>
                <w:szCs w:val="21"/>
                <w:highlight w:val="none"/>
                <w:lang w:val="en-US" w:eastAsia="zh-CN"/>
              </w:rPr>
              <w:t>不低于IP65</w:t>
            </w:r>
          </w:p>
        </w:tc>
      </w:tr>
      <w:tr w14:paraId="2EC185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2208" w:type="pct"/>
            <w:vAlign w:val="bottom"/>
          </w:tcPr>
          <w:p w14:paraId="3833422E">
            <w:pPr>
              <w:widowControl w:val="0"/>
              <w:adjustRightInd/>
              <w:snapToGrid/>
              <w:spacing w:after="0" w:line="288" w:lineRule="auto"/>
              <w:jc w:val="center"/>
              <w:rPr>
                <w:rFonts w:hint="default" w:ascii="宋体" w:hAnsi="宋体" w:eastAsia="宋体" w:cs="宋体"/>
                <w:b/>
                <w:bCs/>
                <w:color w:val="auto"/>
                <w:spacing w:val="4"/>
                <w:kern w:val="2"/>
                <w:sz w:val="21"/>
                <w:szCs w:val="21"/>
                <w:highlight w:val="none"/>
                <w:lang w:val="en-US" w:eastAsia="zh-CN"/>
              </w:rPr>
            </w:pPr>
            <w:r>
              <w:rPr>
                <w:rFonts w:hint="eastAsia" w:ascii="宋体" w:hAnsi="宋体" w:eastAsia="宋体" w:cs="宋体"/>
                <w:b/>
                <w:bCs/>
                <w:color w:val="auto"/>
                <w:spacing w:val="5"/>
                <w:kern w:val="2"/>
                <w:position w:val="1"/>
                <w:sz w:val="21"/>
                <w:szCs w:val="21"/>
                <w:highlight w:val="none"/>
                <w:lang w:val="en-US" w:eastAsia="zh-CN"/>
              </w:rPr>
              <w:t>防积灰</w:t>
            </w:r>
            <w:r>
              <w:rPr>
                <w:rFonts w:hint="eastAsia" w:ascii="宋体" w:hAnsi="宋体" w:eastAsia="宋体" w:cs="宋体"/>
                <w:b/>
                <w:bCs/>
                <w:color w:val="auto"/>
                <w:spacing w:val="4"/>
                <w:kern w:val="2"/>
                <w:sz w:val="21"/>
                <w:szCs w:val="21"/>
                <w:highlight w:val="none"/>
                <w:lang w:val="en-US" w:eastAsia="zh-CN"/>
              </w:rPr>
              <w:t>要求</w:t>
            </w:r>
          </w:p>
        </w:tc>
        <w:tc>
          <w:tcPr>
            <w:tcW w:w="2791" w:type="pct"/>
            <w:vAlign w:val="bottom"/>
          </w:tcPr>
          <w:p w14:paraId="13EA17E9">
            <w:pPr>
              <w:widowControl w:val="0"/>
              <w:adjustRightInd/>
              <w:snapToGrid/>
              <w:spacing w:after="0" w:line="288" w:lineRule="auto"/>
              <w:jc w:val="center"/>
              <w:rPr>
                <w:rFonts w:hint="default" w:ascii="宋体" w:hAnsi="宋体" w:eastAsia="宋体" w:cs="宋体"/>
                <w:b/>
                <w:bCs/>
                <w:color w:val="auto"/>
                <w:spacing w:val="7"/>
                <w:kern w:val="2"/>
                <w:sz w:val="21"/>
                <w:szCs w:val="21"/>
                <w:highlight w:val="none"/>
                <w:lang w:val="en-US" w:eastAsia="zh-CN"/>
              </w:rPr>
            </w:pPr>
            <w:r>
              <w:rPr>
                <w:rFonts w:hint="eastAsia" w:ascii="宋体" w:hAnsi="宋体" w:eastAsia="宋体" w:cs="宋体"/>
                <w:b/>
                <w:bCs/>
                <w:color w:val="auto"/>
                <w:spacing w:val="5"/>
                <w:kern w:val="2"/>
                <w:position w:val="1"/>
                <w:sz w:val="21"/>
                <w:szCs w:val="21"/>
                <w:highlight w:val="none"/>
                <w:lang w:val="en-US" w:eastAsia="zh-CN"/>
              </w:rPr>
              <w:t>边框下端加装合金导流器，数量≥2个/块</w:t>
            </w:r>
          </w:p>
        </w:tc>
      </w:tr>
    </w:tbl>
    <w:p w14:paraId="0B0B222A">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（2）光伏组件型号获得抗PID认证、耐氨测试认证</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抗盐雾腐蚀测试认证、</w:t>
      </w:r>
      <w:r>
        <w:rPr>
          <w:rFonts w:hint="eastAsia" w:ascii="宋体" w:hAnsi="宋体" w:eastAsia="宋体" w:cs="宋体"/>
          <w:color w:val="auto"/>
          <w:spacing w:val="5"/>
          <w:kern w:val="2"/>
          <w:sz w:val="21"/>
          <w:szCs w:val="21"/>
          <w:highlight w:val="none"/>
          <w:lang w:val="en-US" w:eastAsia="zh-CN"/>
        </w:rPr>
        <w:t>正面最大静态载荷/抗雪载性能</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spacing w:val="5"/>
          <w:kern w:val="2"/>
          <w:sz w:val="21"/>
          <w:szCs w:val="21"/>
          <w:highlight w:val="none"/>
          <w:lang w:val="en-US" w:eastAsia="zh-CN"/>
        </w:rPr>
        <w:t>背面最大静态载荷/抗风压性能</w:t>
      </w:r>
      <w:r>
        <w:rPr>
          <w:rFonts w:hint="eastAsia" w:ascii="宋体" w:hAnsi="宋体" w:eastAsia="宋体" w:cs="宋体"/>
          <w:color w:val="auto"/>
          <w:kern w:val="2"/>
          <w:sz w:val="21"/>
          <w:szCs w:val="21"/>
          <w:highlight w:val="none"/>
        </w:rPr>
        <w:t>认证、产品定型认证(可以是CGC金太阳，或是TUV</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CSA、UL、SGS、VDE、JET等认证)并附</w:t>
      </w:r>
      <w:r>
        <w:rPr>
          <w:rFonts w:hint="eastAsia" w:ascii="宋体" w:hAnsi="宋体" w:eastAsia="宋体" w:cs="宋体"/>
          <w:color w:val="auto"/>
          <w:kern w:val="2"/>
          <w:sz w:val="21"/>
          <w:szCs w:val="21"/>
          <w:highlight w:val="none"/>
          <w:lang w:val="en-US" w:eastAsia="zh-CN"/>
        </w:rPr>
        <w:t>试验</w:t>
      </w:r>
      <w:r>
        <w:rPr>
          <w:rFonts w:hint="eastAsia" w:ascii="宋体" w:hAnsi="宋体" w:eastAsia="宋体" w:cs="宋体"/>
          <w:color w:val="auto"/>
          <w:kern w:val="2"/>
          <w:sz w:val="21"/>
          <w:szCs w:val="21"/>
          <w:highlight w:val="none"/>
        </w:rPr>
        <w:t>报告、认证证书全部内容。</w:t>
      </w:r>
    </w:p>
    <w:p w14:paraId="70C6A8AD">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（3）光伏组件进场后承包单位需安排抽样进行开箱检查与</w:t>
      </w:r>
      <w:r>
        <w:rPr>
          <w:rFonts w:hint="eastAsia" w:ascii="宋体" w:hAnsi="宋体" w:eastAsia="宋体" w:cs="宋体"/>
          <w:b w:val="0"/>
          <w:bCs w:val="0"/>
          <w:color w:val="auto"/>
          <w:kern w:val="2"/>
          <w:sz w:val="21"/>
          <w:szCs w:val="21"/>
          <w:highlight w:val="none"/>
          <w:lang w:val="en-US" w:eastAsia="zh-CN"/>
        </w:rPr>
        <w:t>EL检测</w:t>
      </w:r>
      <w:r>
        <w:rPr>
          <w:rFonts w:hint="eastAsia" w:ascii="宋体" w:hAnsi="宋体" w:eastAsia="宋体" w:cs="宋体"/>
          <w:color w:val="auto"/>
          <w:kern w:val="2"/>
          <w:sz w:val="21"/>
          <w:szCs w:val="21"/>
          <w:highlight w:val="none"/>
          <w:lang w:val="en-US" w:eastAsia="zh-CN"/>
        </w:rPr>
        <w:t>，抽检数量≥总量*3%，且抽检数量最低不得少于32块，</w:t>
      </w:r>
      <w:r>
        <w:rPr>
          <w:rFonts w:hint="eastAsia" w:ascii="宋体" w:hAnsi="宋体" w:eastAsia="宋体" w:cs="宋体"/>
          <w:color w:val="auto"/>
          <w:kern w:val="2"/>
          <w:sz w:val="21"/>
          <w:szCs w:val="21"/>
          <w:highlight w:val="none"/>
        </w:rPr>
        <w:t>如</w:t>
      </w:r>
      <w:r>
        <w:rPr>
          <w:rFonts w:hint="eastAsia" w:ascii="宋体" w:hAnsi="宋体" w:eastAsia="宋体" w:cs="宋体"/>
          <w:color w:val="auto"/>
          <w:kern w:val="2"/>
          <w:sz w:val="21"/>
          <w:szCs w:val="21"/>
          <w:highlight w:val="none"/>
          <w:lang w:val="en-US" w:eastAsia="zh-CN"/>
        </w:rPr>
        <w:t>EL检测中一旦发现有不合格的光伏组件，承包单位必须无条件一律进行更换并承担更换所需全部费用。</w:t>
      </w:r>
    </w:p>
    <w:p w14:paraId="1F013FAE">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负责</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w:t>
      </w:r>
      <w:r>
        <w:rPr>
          <w:rFonts w:hint="eastAsia" w:ascii="宋体" w:hAnsi="宋体" w:eastAsia="宋体" w:cs="宋体"/>
          <w:color w:val="auto"/>
          <w:kern w:val="2"/>
          <w:sz w:val="21"/>
          <w:szCs w:val="21"/>
          <w:highlight w:val="none"/>
          <w:lang w:val="en-US" w:eastAsia="zh-CN"/>
        </w:rPr>
        <w:t>运输、</w:t>
      </w:r>
      <w:r>
        <w:rPr>
          <w:rFonts w:hint="eastAsia" w:ascii="宋体" w:hAnsi="宋体" w:eastAsia="宋体" w:cs="宋体"/>
          <w:color w:val="auto"/>
          <w:kern w:val="2"/>
          <w:sz w:val="21"/>
          <w:szCs w:val="21"/>
          <w:highlight w:val="none"/>
        </w:rPr>
        <w:t>卸货</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吊装</w:t>
      </w:r>
      <w:r>
        <w:rPr>
          <w:rFonts w:hint="eastAsia" w:ascii="宋体" w:hAnsi="宋体" w:eastAsia="宋体" w:cs="宋体"/>
          <w:color w:val="auto"/>
          <w:kern w:val="2"/>
          <w:sz w:val="21"/>
          <w:szCs w:val="21"/>
          <w:highlight w:val="none"/>
        </w:rPr>
        <w:t>及保管，保管</w:t>
      </w:r>
      <w:r>
        <w:rPr>
          <w:rFonts w:hint="eastAsia" w:ascii="宋体" w:hAnsi="宋体" w:eastAsia="宋体" w:cs="宋体"/>
          <w:color w:val="auto"/>
          <w:kern w:val="2"/>
          <w:sz w:val="21"/>
          <w:szCs w:val="21"/>
          <w:highlight w:val="none"/>
          <w:lang w:val="en-US" w:eastAsia="zh-CN"/>
        </w:rPr>
        <w:t>过程中</w:t>
      </w:r>
      <w:r>
        <w:rPr>
          <w:rFonts w:hint="eastAsia" w:ascii="宋体" w:hAnsi="宋体" w:eastAsia="宋体" w:cs="宋体"/>
          <w:color w:val="auto"/>
          <w:kern w:val="2"/>
          <w:sz w:val="21"/>
          <w:szCs w:val="21"/>
          <w:highlight w:val="none"/>
        </w:rPr>
        <w:t>按原包装存放</w:t>
      </w:r>
      <w:r>
        <w:rPr>
          <w:rFonts w:hint="eastAsia" w:ascii="宋体" w:hAnsi="宋体" w:eastAsia="宋体" w:cs="宋体"/>
          <w:color w:val="auto"/>
          <w:kern w:val="2"/>
          <w:sz w:val="21"/>
          <w:szCs w:val="21"/>
          <w:highlight w:val="none"/>
          <w:lang w:val="en-US" w:eastAsia="zh-CN"/>
        </w:rPr>
        <w:t>并做好相应的防雨防倒防误撞等保护措施</w:t>
      </w:r>
      <w:r>
        <w:rPr>
          <w:rFonts w:hint="eastAsia" w:ascii="宋体" w:hAnsi="宋体" w:eastAsia="宋体" w:cs="宋体"/>
          <w:color w:val="auto"/>
          <w:kern w:val="2"/>
          <w:sz w:val="21"/>
          <w:szCs w:val="21"/>
          <w:highlight w:val="none"/>
        </w:rPr>
        <w:t>，开箱必须有监理在场旁站确认</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组件完好，如开箱时有破损则需现场拍照取证，如有损坏需承担更换所需全部费用。</w:t>
      </w:r>
    </w:p>
    <w:p w14:paraId="7EA6C7B0">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要对所供组件外表面板的清洁、防热斑提供措施，不得有划伤、腐蚀斑点等缺陷；表面无明显色差</w:t>
      </w:r>
      <w:r>
        <w:rPr>
          <w:rFonts w:hint="eastAsia" w:ascii="宋体" w:hAnsi="宋体" w:eastAsia="宋体" w:cs="宋体"/>
          <w:color w:val="auto"/>
          <w:kern w:val="2"/>
          <w:sz w:val="21"/>
          <w:szCs w:val="21"/>
          <w:highlight w:val="none"/>
          <w:lang w:eastAsia="zh-CN"/>
        </w:rPr>
        <w:t>，无机械损伤，焊点无氧化斑，</w:t>
      </w:r>
      <w:r>
        <w:rPr>
          <w:rFonts w:hint="eastAsia" w:ascii="宋体" w:hAnsi="宋体" w:eastAsia="宋体" w:cs="宋体"/>
          <w:color w:val="auto"/>
          <w:kern w:val="2"/>
          <w:sz w:val="21"/>
          <w:szCs w:val="21"/>
          <w:highlight w:val="none"/>
        </w:rPr>
        <w:t>为确保组件的绝缘、抗湿性和寿命，要求边框与电池片的距离要至少超过11mm的距离，并设有能方便地与安装支架之间可靠连接的连接螺栓孔；</w:t>
      </w:r>
    </w:p>
    <w:p w14:paraId="6D518035">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）光伏组件的布置方案需兼顾发电量、抗风、</w:t>
      </w:r>
      <w:r>
        <w:rPr>
          <w:rFonts w:hint="eastAsia" w:ascii="宋体" w:hAnsi="宋体" w:eastAsia="宋体" w:cs="宋体"/>
          <w:color w:val="auto"/>
          <w:kern w:val="2"/>
          <w:sz w:val="21"/>
          <w:szCs w:val="21"/>
          <w:highlight w:val="none"/>
          <w:lang w:val="en-US" w:eastAsia="zh-CN"/>
        </w:rPr>
        <w:t>签约</w:t>
      </w:r>
      <w:r>
        <w:rPr>
          <w:rFonts w:hint="eastAsia" w:ascii="宋体" w:hAnsi="宋体" w:eastAsia="宋体" w:cs="宋体"/>
          <w:color w:val="auto"/>
          <w:kern w:val="2"/>
          <w:sz w:val="21"/>
          <w:szCs w:val="21"/>
          <w:highlight w:val="none"/>
        </w:rPr>
        <w:t>总容量等因素</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同时在安装过程中要求</w:t>
      </w:r>
      <w:r>
        <w:rPr>
          <w:rFonts w:hint="eastAsia" w:ascii="宋体" w:hAnsi="宋体" w:eastAsia="宋体" w:cs="宋体"/>
          <w:color w:val="auto"/>
          <w:kern w:val="2"/>
          <w:sz w:val="21"/>
          <w:szCs w:val="21"/>
          <w:highlight w:val="none"/>
        </w:rPr>
        <w:t>光伏组件</w:t>
      </w:r>
      <w:r>
        <w:rPr>
          <w:rFonts w:hint="eastAsia" w:ascii="宋体" w:hAnsi="宋体" w:eastAsia="宋体" w:cs="宋体"/>
          <w:color w:val="auto"/>
          <w:kern w:val="2"/>
          <w:sz w:val="21"/>
          <w:szCs w:val="21"/>
          <w:highlight w:val="none"/>
          <w:lang w:val="en-US" w:eastAsia="zh-CN"/>
        </w:rPr>
        <w:t>全年每天上午9点</w:t>
      </w:r>
      <w:r>
        <w:rPr>
          <w:rFonts w:hint="eastAsia" w:ascii="宋体" w:hAnsi="宋体" w:eastAsia="宋体" w:cs="宋体"/>
          <w:color w:val="auto"/>
          <w:spacing w:val="5"/>
          <w:kern w:val="2"/>
          <w:sz w:val="21"/>
          <w:szCs w:val="21"/>
          <w:highlight w:val="none"/>
          <w:lang w:val="en-US" w:eastAsia="zh-CN"/>
        </w:rPr>
        <w:t>至</w:t>
      </w:r>
      <w:r>
        <w:rPr>
          <w:rFonts w:hint="eastAsia" w:ascii="宋体" w:hAnsi="宋体" w:eastAsia="宋体" w:cs="宋体"/>
          <w:color w:val="auto"/>
          <w:kern w:val="2"/>
          <w:sz w:val="21"/>
          <w:szCs w:val="21"/>
          <w:highlight w:val="none"/>
          <w:lang w:val="en-US" w:eastAsia="zh-CN"/>
        </w:rPr>
        <w:t>下午15点不得出现任何阴影遮挡</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如</w:t>
      </w:r>
      <w:r>
        <w:rPr>
          <w:rFonts w:hint="eastAsia" w:ascii="宋体" w:hAnsi="宋体" w:eastAsia="宋体" w:cs="宋体"/>
          <w:color w:val="auto"/>
          <w:kern w:val="2"/>
          <w:sz w:val="21"/>
          <w:szCs w:val="21"/>
          <w:highlight w:val="none"/>
          <w:lang w:val="en-US" w:eastAsia="zh-CN"/>
        </w:rPr>
        <w:t>一旦发现在要求的时间段内有光伏组件出现阴影遮挡，承包单位必须无条件采取相应措施解决阴影遮挡问题并承担所需全部费用。</w:t>
      </w:r>
    </w:p>
    <w:p w14:paraId="1C0502A0">
      <w:pPr>
        <w:widowControl w:val="0"/>
        <w:wordWrap w:val="0"/>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（7）光伏组件铺设设计过程中建议采用</w:t>
      </w:r>
      <w:r>
        <w:rPr>
          <w:rFonts w:hint="eastAsia" w:ascii="宋体" w:hAnsi="宋体" w:eastAsia="宋体" w:cs="宋体"/>
          <w:b/>
          <w:bCs/>
          <w:color w:val="auto"/>
          <w:kern w:val="2"/>
          <w:sz w:val="21"/>
          <w:szCs w:val="21"/>
          <w:highlight w:val="none"/>
          <w:lang w:val="en-US" w:eastAsia="zh-CN"/>
        </w:rPr>
        <w:t>竖铺设计</w:t>
      </w:r>
      <w:r>
        <w:rPr>
          <w:rFonts w:hint="eastAsia" w:ascii="宋体" w:hAnsi="宋体" w:eastAsia="宋体" w:cs="宋体"/>
          <w:color w:val="auto"/>
          <w:kern w:val="2"/>
          <w:sz w:val="21"/>
          <w:szCs w:val="21"/>
          <w:highlight w:val="none"/>
          <w:lang w:val="en-US" w:eastAsia="zh-CN"/>
        </w:rPr>
        <w:t>，若采用横铺设计承包单位需采取必要措施（加装支架）解决光伏组件由于重力导致下凹变形的问题。</w:t>
      </w:r>
    </w:p>
    <w:p w14:paraId="48CDD685">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在安装过程中严禁</w:t>
      </w:r>
      <w:r>
        <w:rPr>
          <w:rFonts w:hint="eastAsia" w:ascii="宋体" w:hAnsi="宋体" w:eastAsia="宋体" w:cs="宋体"/>
          <w:color w:val="auto"/>
          <w:kern w:val="2"/>
          <w:sz w:val="21"/>
          <w:szCs w:val="21"/>
          <w:highlight w:val="none"/>
        </w:rPr>
        <w:t>直接踩踏光伏组件</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包括边框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，应选用能支撑施工人员在上站立走动的</w:t>
      </w:r>
      <w:r>
        <w:rPr>
          <w:rFonts w:hint="eastAsia" w:ascii="宋体" w:hAnsi="宋体" w:eastAsia="宋体" w:cs="宋体"/>
          <w:b/>
          <w:bCs/>
          <w:color w:val="auto"/>
          <w:kern w:val="2"/>
          <w:sz w:val="21"/>
          <w:szCs w:val="21"/>
          <w:highlight w:val="none"/>
        </w:rPr>
        <w:t>保护踏板</w:t>
      </w:r>
      <w:r>
        <w:rPr>
          <w:rFonts w:hint="eastAsia" w:ascii="宋体" w:hAnsi="宋体" w:eastAsia="宋体" w:cs="宋体"/>
          <w:color w:val="auto"/>
          <w:kern w:val="2"/>
          <w:sz w:val="21"/>
          <w:szCs w:val="21"/>
          <w:highlight w:val="none"/>
        </w:rPr>
        <w:t>，保护踏板放置在组件上的受力点应在光伏组件的铝合金边框上，同时需要固定好防止滑动。</w:t>
      </w:r>
      <w:r>
        <w:rPr>
          <w:rFonts w:hint="eastAsia" w:ascii="宋体" w:hAnsi="宋体" w:eastAsia="宋体" w:cs="宋体"/>
          <w:color w:val="auto"/>
          <w:kern w:val="2"/>
          <w:sz w:val="21"/>
          <w:szCs w:val="21"/>
          <w:highlight w:val="none"/>
          <w:lang w:val="en-US" w:eastAsia="zh-CN"/>
        </w:rPr>
        <w:t>一经发现禁</w:t>
      </w:r>
      <w:r>
        <w:rPr>
          <w:rFonts w:hint="eastAsia" w:ascii="宋体" w:hAnsi="宋体" w:eastAsia="宋体" w:cs="宋体"/>
          <w:color w:val="auto"/>
          <w:kern w:val="2"/>
          <w:sz w:val="21"/>
          <w:szCs w:val="21"/>
          <w:highlight w:val="none"/>
        </w:rPr>
        <w:t>直接踩踏光伏组件</w:t>
      </w:r>
      <w:r>
        <w:rPr>
          <w:rFonts w:hint="eastAsia" w:ascii="宋体" w:hAnsi="宋体" w:eastAsia="宋体" w:cs="宋体"/>
          <w:color w:val="auto"/>
          <w:kern w:val="2"/>
          <w:sz w:val="21"/>
          <w:szCs w:val="21"/>
          <w:highlight w:val="none"/>
          <w:lang w:val="en-US" w:eastAsia="zh-CN"/>
        </w:rPr>
        <w:t>除进行相应罚款外，</w:t>
      </w:r>
      <w:r>
        <w:rPr>
          <w:rFonts w:hint="eastAsia" w:ascii="宋体" w:hAnsi="宋体" w:eastAsia="宋体" w:cs="宋体"/>
          <w:color w:val="auto"/>
          <w:kern w:val="2"/>
          <w:sz w:val="21"/>
          <w:szCs w:val="21"/>
          <w:highlight w:val="none"/>
        </w:rPr>
        <w:t>如有损坏</w:t>
      </w:r>
      <w:r>
        <w:rPr>
          <w:rFonts w:hint="eastAsia" w:ascii="宋体" w:hAnsi="宋体" w:eastAsia="宋体" w:cs="宋体"/>
          <w:color w:val="auto"/>
          <w:kern w:val="2"/>
          <w:sz w:val="21"/>
          <w:szCs w:val="21"/>
          <w:highlight w:val="none"/>
          <w:lang w:val="en-US" w:eastAsia="zh-CN"/>
        </w:rPr>
        <w:t>还</w:t>
      </w:r>
      <w:r>
        <w:rPr>
          <w:rFonts w:hint="eastAsia" w:ascii="宋体" w:hAnsi="宋体" w:eastAsia="宋体" w:cs="宋体"/>
          <w:color w:val="auto"/>
          <w:kern w:val="2"/>
          <w:sz w:val="21"/>
          <w:szCs w:val="21"/>
          <w:highlight w:val="none"/>
        </w:rPr>
        <w:t>需</w:t>
      </w:r>
      <w:r>
        <w:rPr>
          <w:rFonts w:hint="eastAsia" w:ascii="宋体" w:hAnsi="宋体" w:eastAsia="宋体" w:cs="宋体"/>
          <w:color w:val="auto"/>
          <w:kern w:val="2"/>
          <w:sz w:val="21"/>
          <w:szCs w:val="21"/>
          <w:highlight w:val="none"/>
          <w:lang w:val="en-US" w:eastAsia="zh-CN"/>
        </w:rPr>
        <w:t>无条件进行</w:t>
      </w:r>
      <w:r>
        <w:rPr>
          <w:rFonts w:hint="eastAsia" w:ascii="宋体" w:hAnsi="宋体" w:eastAsia="宋体" w:cs="宋体"/>
          <w:color w:val="auto"/>
          <w:kern w:val="2"/>
          <w:sz w:val="21"/>
          <w:szCs w:val="21"/>
          <w:highlight w:val="none"/>
        </w:rPr>
        <w:t>更换</w:t>
      </w:r>
      <w:r>
        <w:rPr>
          <w:rFonts w:hint="eastAsia" w:ascii="宋体" w:hAnsi="宋体" w:eastAsia="宋体" w:cs="宋体"/>
          <w:color w:val="auto"/>
          <w:kern w:val="2"/>
          <w:sz w:val="21"/>
          <w:szCs w:val="21"/>
          <w:highlight w:val="none"/>
          <w:lang w:val="en-US" w:eastAsia="zh-CN"/>
        </w:rPr>
        <w:t>并</w:t>
      </w:r>
      <w:r>
        <w:rPr>
          <w:rFonts w:hint="eastAsia" w:ascii="宋体" w:hAnsi="宋体" w:eastAsia="宋体" w:cs="宋体"/>
          <w:color w:val="auto"/>
          <w:kern w:val="2"/>
          <w:sz w:val="21"/>
          <w:szCs w:val="21"/>
          <w:highlight w:val="none"/>
        </w:rPr>
        <w:t>承担所需全部费用。</w:t>
      </w:r>
    </w:p>
    <w:p w14:paraId="4A306FC8">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）光伏组件</w:t>
      </w:r>
      <w:r>
        <w:rPr>
          <w:rFonts w:hint="eastAsia" w:ascii="宋体" w:hAnsi="宋体" w:eastAsia="宋体" w:cs="宋体"/>
          <w:color w:val="auto"/>
          <w:kern w:val="2"/>
          <w:sz w:val="21"/>
          <w:szCs w:val="21"/>
          <w:highlight w:val="none"/>
          <w:lang w:val="en-US" w:eastAsia="zh-CN"/>
        </w:rPr>
        <w:t>在</w:t>
      </w:r>
      <w:r>
        <w:rPr>
          <w:rFonts w:hint="eastAsia" w:ascii="宋体" w:hAnsi="宋体" w:eastAsia="宋体" w:cs="宋体"/>
          <w:color w:val="auto"/>
          <w:kern w:val="2"/>
          <w:sz w:val="21"/>
          <w:szCs w:val="21"/>
          <w:highlight w:val="none"/>
        </w:rPr>
        <w:t>整体</w:t>
      </w:r>
      <w:r>
        <w:rPr>
          <w:rFonts w:hint="eastAsia" w:ascii="宋体" w:hAnsi="宋体" w:eastAsia="宋体" w:cs="宋体"/>
          <w:color w:val="auto"/>
          <w:kern w:val="2"/>
          <w:sz w:val="21"/>
          <w:szCs w:val="21"/>
          <w:highlight w:val="none"/>
          <w:lang w:eastAsia="zh-CN"/>
        </w:rPr>
        <w:t>项目</w:t>
      </w:r>
      <w:r>
        <w:rPr>
          <w:rFonts w:hint="eastAsia" w:ascii="宋体" w:hAnsi="宋体" w:eastAsia="宋体" w:cs="宋体"/>
          <w:color w:val="auto"/>
          <w:kern w:val="2"/>
          <w:sz w:val="21"/>
          <w:szCs w:val="21"/>
          <w:highlight w:val="none"/>
        </w:rPr>
        <w:t>通电并网</w:t>
      </w:r>
      <w:r>
        <w:rPr>
          <w:rFonts w:hint="eastAsia" w:ascii="宋体" w:hAnsi="宋体" w:eastAsia="宋体" w:cs="宋体"/>
          <w:color w:val="auto"/>
          <w:kern w:val="2"/>
          <w:sz w:val="21"/>
          <w:szCs w:val="21"/>
          <w:highlight w:val="none"/>
          <w:lang w:val="en-US" w:eastAsia="zh-CN"/>
        </w:rPr>
        <w:t>前承包单位</w:t>
      </w:r>
      <w:r>
        <w:rPr>
          <w:rFonts w:hint="eastAsia" w:ascii="宋体" w:hAnsi="宋体" w:eastAsia="宋体" w:cs="宋体"/>
          <w:color w:val="auto"/>
          <w:kern w:val="2"/>
          <w:sz w:val="21"/>
          <w:szCs w:val="21"/>
          <w:highlight w:val="none"/>
        </w:rPr>
        <w:t>需</w:t>
      </w:r>
      <w:r>
        <w:rPr>
          <w:rFonts w:hint="eastAsia" w:ascii="宋体" w:hAnsi="宋体" w:eastAsia="宋体" w:cs="宋体"/>
          <w:color w:val="auto"/>
          <w:kern w:val="2"/>
          <w:sz w:val="21"/>
          <w:szCs w:val="21"/>
          <w:highlight w:val="none"/>
          <w:lang w:val="en-US" w:eastAsia="zh-CN"/>
        </w:rPr>
        <w:t>在晴天对接入逆变器的所有组串进行开路电压检测</w:t>
      </w:r>
      <w:r>
        <w:rPr>
          <w:rFonts w:hint="eastAsia" w:ascii="宋体" w:hAnsi="宋体" w:eastAsia="宋体" w:cs="宋体"/>
          <w:color w:val="auto"/>
          <w:kern w:val="2"/>
          <w:sz w:val="21"/>
          <w:szCs w:val="21"/>
          <w:highlight w:val="none"/>
        </w:rPr>
        <w:t>，保证项目投运</w:t>
      </w:r>
      <w:r>
        <w:rPr>
          <w:rFonts w:hint="eastAsia" w:ascii="宋体" w:hAnsi="宋体" w:eastAsia="宋体" w:cs="宋体"/>
          <w:color w:val="auto"/>
          <w:kern w:val="2"/>
          <w:sz w:val="21"/>
          <w:szCs w:val="21"/>
          <w:highlight w:val="none"/>
          <w:lang w:val="en-US" w:eastAsia="zh-CN"/>
        </w:rPr>
        <w:t>前</w:t>
      </w:r>
      <w:r>
        <w:rPr>
          <w:rFonts w:hint="eastAsia" w:ascii="宋体" w:hAnsi="宋体" w:eastAsia="宋体" w:cs="宋体"/>
          <w:color w:val="auto"/>
          <w:kern w:val="2"/>
          <w:sz w:val="21"/>
          <w:szCs w:val="21"/>
          <w:highlight w:val="none"/>
        </w:rPr>
        <w:t>光伏组件</w:t>
      </w:r>
      <w:r>
        <w:rPr>
          <w:rFonts w:hint="eastAsia" w:ascii="宋体" w:hAnsi="宋体" w:eastAsia="宋体" w:cs="宋体"/>
          <w:color w:val="auto"/>
          <w:kern w:val="2"/>
          <w:sz w:val="21"/>
          <w:szCs w:val="21"/>
          <w:highlight w:val="none"/>
          <w:lang w:val="en-US" w:eastAsia="zh-CN"/>
        </w:rPr>
        <w:t>所有组串开路</w:t>
      </w:r>
      <w:r>
        <w:rPr>
          <w:rFonts w:hint="eastAsia" w:ascii="宋体" w:hAnsi="宋体" w:eastAsia="宋体" w:cs="宋体"/>
          <w:color w:val="auto"/>
          <w:kern w:val="2"/>
          <w:sz w:val="21"/>
          <w:szCs w:val="21"/>
          <w:highlight w:val="none"/>
        </w:rPr>
        <w:t>电压读数</w:t>
      </w:r>
      <w:r>
        <w:rPr>
          <w:rFonts w:hint="eastAsia" w:ascii="宋体" w:hAnsi="宋体" w:eastAsia="宋体" w:cs="宋体"/>
          <w:color w:val="auto"/>
          <w:kern w:val="2"/>
          <w:sz w:val="21"/>
          <w:szCs w:val="21"/>
          <w:highlight w:val="none"/>
          <w:lang w:val="en-US" w:eastAsia="zh-CN"/>
        </w:rPr>
        <w:t>与理论</w:t>
      </w:r>
      <w:r>
        <w:rPr>
          <w:rFonts w:hint="eastAsia" w:ascii="宋体" w:hAnsi="宋体" w:eastAsia="宋体" w:cs="宋体"/>
          <w:color w:val="auto"/>
          <w:kern w:val="2"/>
          <w:sz w:val="21"/>
          <w:szCs w:val="21"/>
          <w:highlight w:val="none"/>
        </w:rPr>
        <w:t>值偏差</w:t>
      </w:r>
      <w:r>
        <w:rPr>
          <w:rFonts w:hint="eastAsia" w:ascii="宋体" w:hAnsi="宋体" w:eastAsia="宋体" w:cs="宋体"/>
          <w:color w:val="auto"/>
          <w:kern w:val="2"/>
          <w:sz w:val="21"/>
          <w:szCs w:val="21"/>
          <w:highlight w:val="none"/>
          <w:lang w:val="en-US" w:eastAsia="zh-CN"/>
        </w:rPr>
        <w:t>控制在</w:t>
      </w:r>
      <w:r>
        <w:rPr>
          <w:rFonts w:hint="eastAsia" w:ascii="宋体" w:hAnsi="宋体" w:eastAsia="宋体" w:cs="宋体"/>
          <w:color w:val="auto"/>
          <w:kern w:val="2"/>
          <w:sz w:val="21"/>
          <w:szCs w:val="21"/>
          <w:highlight w:val="none"/>
        </w:rPr>
        <w:t>±5％以内</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如</w:t>
      </w:r>
      <w:r>
        <w:rPr>
          <w:rFonts w:hint="eastAsia" w:ascii="宋体" w:hAnsi="宋体" w:eastAsia="宋体" w:cs="宋体"/>
          <w:color w:val="auto"/>
          <w:kern w:val="2"/>
          <w:sz w:val="21"/>
          <w:szCs w:val="21"/>
          <w:highlight w:val="none"/>
          <w:lang w:val="en-US" w:eastAsia="zh-CN"/>
        </w:rPr>
        <w:t>一旦发现超出超出偏差，承包单位必须无条件采取相应措施进行检查并解决组串开路电压偏差问题并承担所需全部费用。</w:t>
      </w:r>
    </w:p>
    <w:p w14:paraId="555804BE">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）光伏组件</w:t>
      </w:r>
      <w:r>
        <w:rPr>
          <w:rFonts w:hint="eastAsia" w:ascii="宋体" w:hAnsi="宋体" w:eastAsia="宋体" w:cs="宋体"/>
          <w:color w:val="auto"/>
          <w:kern w:val="2"/>
          <w:sz w:val="21"/>
          <w:szCs w:val="21"/>
          <w:highlight w:val="none"/>
          <w:lang w:val="en-US" w:eastAsia="zh-CN"/>
        </w:rPr>
        <w:t>在</w:t>
      </w:r>
      <w:r>
        <w:rPr>
          <w:rFonts w:hint="eastAsia" w:ascii="宋体" w:hAnsi="宋体" w:eastAsia="宋体" w:cs="宋体"/>
          <w:color w:val="auto"/>
          <w:kern w:val="2"/>
          <w:sz w:val="21"/>
          <w:szCs w:val="21"/>
          <w:highlight w:val="none"/>
        </w:rPr>
        <w:t>整体</w:t>
      </w:r>
      <w:r>
        <w:rPr>
          <w:rFonts w:hint="eastAsia" w:ascii="宋体" w:hAnsi="宋体" w:eastAsia="宋体" w:cs="宋体"/>
          <w:color w:val="auto"/>
          <w:kern w:val="2"/>
          <w:sz w:val="21"/>
          <w:szCs w:val="21"/>
          <w:highlight w:val="none"/>
          <w:lang w:eastAsia="zh-CN"/>
        </w:rPr>
        <w:t>项目</w:t>
      </w:r>
      <w:r>
        <w:rPr>
          <w:rFonts w:hint="eastAsia" w:ascii="宋体" w:hAnsi="宋体" w:eastAsia="宋体" w:cs="宋体"/>
          <w:color w:val="auto"/>
          <w:kern w:val="2"/>
          <w:sz w:val="21"/>
          <w:szCs w:val="21"/>
          <w:highlight w:val="none"/>
        </w:rPr>
        <w:t>通电并网后</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需</w:t>
      </w:r>
      <w:r>
        <w:rPr>
          <w:rFonts w:hint="eastAsia" w:ascii="宋体" w:hAnsi="宋体" w:eastAsia="宋体" w:cs="宋体"/>
          <w:color w:val="auto"/>
          <w:kern w:val="2"/>
          <w:sz w:val="21"/>
          <w:szCs w:val="21"/>
          <w:highlight w:val="none"/>
          <w:lang w:val="en-US" w:eastAsia="zh-CN"/>
        </w:rPr>
        <w:t>组织</w:t>
      </w:r>
      <w:r>
        <w:rPr>
          <w:rFonts w:hint="eastAsia" w:ascii="宋体" w:hAnsi="宋体" w:eastAsia="宋体" w:cs="宋体"/>
          <w:color w:val="auto"/>
          <w:kern w:val="2"/>
          <w:sz w:val="21"/>
          <w:szCs w:val="21"/>
          <w:highlight w:val="none"/>
        </w:rPr>
        <w:t>进行一次</w:t>
      </w:r>
      <w:r>
        <w:rPr>
          <w:rFonts w:hint="eastAsia" w:ascii="宋体" w:hAnsi="宋体" w:eastAsia="宋体" w:cs="宋体"/>
          <w:color w:val="auto"/>
          <w:kern w:val="2"/>
          <w:sz w:val="21"/>
          <w:szCs w:val="21"/>
          <w:highlight w:val="none"/>
          <w:lang w:val="en-US" w:eastAsia="zh-CN"/>
        </w:rPr>
        <w:t>全体</w:t>
      </w:r>
      <w:r>
        <w:rPr>
          <w:rFonts w:hint="eastAsia" w:ascii="宋体" w:hAnsi="宋体" w:eastAsia="宋体" w:cs="宋体"/>
          <w:color w:val="auto"/>
          <w:kern w:val="2"/>
          <w:sz w:val="21"/>
          <w:szCs w:val="21"/>
          <w:highlight w:val="none"/>
        </w:rPr>
        <w:t>清洗，保证项目投运时</w:t>
      </w:r>
      <w:r>
        <w:rPr>
          <w:rFonts w:hint="eastAsia" w:ascii="宋体" w:hAnsi="宋体" w:eastAsia="宋体" w:cs="宋体"/>
          <w:color w:val="auto"/>
          <w:kern w:val="2"/>
          <w:sz w:val="21"/>
          <w:szCs w:val="21"/>
          <w:highlight w:val="none"/>
          <w:lang w:val="en-US" w:eastAsia="zh-CN"/>
        </w:rPr>
        <w:t>所有</w:t>
      </w:r>
      <w:r>
        <w:rPr>
          <w:rFonts w:hint="eastAsia" w:ascii="宋体" w:hAnsi="宋体" w:eastAsia="宋体" w:cs="宋体"/>
          <w:color w:val="auto"/>
          <w:kern w:val="2"/>
          <w:sz w:val="21"/>
          <w:szCs w:val="21"/>
          <w:highlight w:val="none"/>
        </w:rPr>
        <w:t>光伏组件表面干净无污渍，如有污渍</w:t>
      </w:r>
      <w:r>
        <w:rPr>
          <w:rFonts w:hint="eastAsia" w:ascii="宋体" w:hAnsi="宋体" w:eastAsia="宋体" w:cs="宋体"/>
          <w:color w:val="auto"/>
          <w:kern w:val="2"/>
          <w:sz w:val="21"/>
          <w:szCs w:val="21"/>
          <w:highlight w:val="none"/>
          <w:lang w:val="en-US" w:eastAsia="zh-CN"/>
        </w:rPr>
        <w:t>无法清除立刻</w:t>
      </w:r>
      <w:r>
        <w:rPr>
          <w:rFonts w:hint="eastAsia" w:ascii="宋体" w:hAnsi="宋体" w:eastAsia="宋体" w:cs="宋体"/>
          <w:color w:val="auto"/>
          <w:kern w:val="2"/>
          <w:sz w:val="21"/>
          <w:szCs w:val="21"/>
          <w:highlight w:val="none"/>
        </w:rPr>
        <w:t>更换</w:t>
      </w:r>
      <w:r>
        <w:rPr>
          <w:rFonts w:hint="eastAsia" w:ascii="宋体" w:hAnsi="宋体" w:eastAsia="宋体" w:cs="宋体"/>
          <w:color w:val="auto"/>
          <w:kern w:val="2"/>
          <w:sz w:val="21"/>
          <w:szCs w:val="21"/>
          <w:highlight w:val="none"/>
          <w:lang w:val="en-US" w:eastAsia="zh-CN"/>
        </w:rPr>
        <w:t>并</w:t>
      </w:r>
      <w:r>
        <w:rPr>
          <w:rFonts w:hint="eastAsia" w:ascii="宋体" w:hAnsi="宋体" w:eastAsia="宋体" w:cs="宋体"/>
          <w:color w:val="auto"/>
          <w:kern w:val="2"/>
          <w:sz w:val="21"/>
          <w:szCs w:val="21"/>
          <w:highlight w:val="none"/>
        </w:rPr>
        <w:t>承担所需全部费用。</w:t>
      </w:r>
    </w:p>
    <w:p w14:paraId="380B7B41">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）光伏组件推荐厂家品牌：</w:t>
      </w:r>
      <w:r>
        <w:rPr>
          <w:rFonts w:hint="eastAsia" w:ascii="宋体" w:hAnsi="宋体" w:eastAsia="宋体" w:cs="宋体"/>
          <w:color w:val="auto"/>
          <w:kern w:val="2"/>
          <w:sz w:val="21"/>
          <w:szCs w:val="21"/>
          <w:highlight w:val="none"/>
          <w:lang w:val="en-US" w:eastAsia="zh-CN"/>
        </w:rPr>
        <w:t>优先考虑</w:t>
      </w:r>
      <w:r>
        <w:rPr>
          <w:rFonts w:hint="eastAsia" w:ascii="宋体" w:hAnsi="宋体" w:eastAsia="宋体" w:cs="宋体"/>
          <w:color w:val="auto"/>
          <w:kern w:val="2"/>
          <w:sz w:val="21"/>
          <w:szCs w:val="21"/>
          <w:highlight w:val="none"/>
        </w:rPr>
        <w:t>隆基绿能、晶科能源、晶澳科技、天合光能等国内知名一线品牌。</w:t>
      </w:r>
    </w:p>
    <w:p w14:paraId="4BB32011">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rPr>
        <w:t>4.并网逆变器技术要求</w:t>
      </w:r>
    </w:p>
    <w:p w14:paraId="0B519736">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（1）根据工商业及并网电压等级场景合理采用匹配的高效率20kW ⁓150kW组串型并网逆变器、150kW ⁓320kW</w:t>
      </w:r>
      <w:r>
        <w:rPr>
          <w:rFonts w:hint="eastAsia" w:ascii="宋体" w:hAnsi="宋体" w:eastAsia="宋体" w:cs="宋体"/>
          <w:color w:val="auto"/>
          <w:kern w:val="2"/>
          <w:sz w:val="21"/>
          <w:szCs w:val="21"/>
          <w:highlight w:val="none"/>
          <w:lang w:val="en-US" w:eastAsia="zh-CN"/>
        </w:rPr>
        <w:t>集中式</w:t>
      </w:r>
      <w:r>
        <w:rPr>
          <w:rFonts w:hint="eastAsia" w:ascii="宋体" w:hAnsi="宋体" w:eastAsia="宋体" w:cs="宋体"/>
          <w:color w:val="auto"/>
          <w:kern w:val="2"/>
          <w:sz w:val="21"/>
          <w:szCs w:val="21"/>
          <w:highlight w:val="none"/>
        </w:rPr>
        <w:t>并网逆变器，使用寿命不低于15年，不少于5年产品质保，在投标文件中提供质保说明书，具体技术参数要求严格按下表执行：</w:t>
      </w:r>
    </w:p>
    <w:p w14:paraId="66ACC12A">
      <w:pPr>
        <w:widowControl w:val="0"/>
        <w:wordWrap w:val="0"/>
        <w:adjustRightInd/>
        <w:snapToGrid/>
        <w:spacing w:after="0" w:line="288" w:lineRule="auto"/>
        <w:jc w:val="center"/>
        <w:rPr>
          <w:rFonts w:ascii="Calibri" w:hAnsi="Calibri" w:eastAsia="宋体" w:cs="Times New Roman"/>
          <w:color w:val="auto"/>
          <w:kern w:val="2"/>
          <w:sz w:val="21"/>
          <w:szCs w:val="24"/>
          <w:highlight w:val="none"/>
        </w:rPr>
      </w:pPr>
      <w:r>
        <w:rPr>
          <w:rFonts w:hint="eastAsia" w:ascii="宋体" w:hAnsi="宋体" w:eastAsia="宋体" w:cs="宋体"/>
          <w:b/>
          <w:bCs/>
          <w:color w:val="auto"/>
          <w:kern w:val="2"/>
          <w:sz w:val="21"/>
          <w:szCs w:val="21"/>
          <w:highlight w:val="none"/>
        </w:rPr>
        <w:t>并网逆变器主要技术参数表</w:t>
      </w:r>
    </w:p>
    <w:tbl>
      <w:tblPr>
        <w:tblStyle w:val="80"/>
        <w:tblW w:w="515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90"/>
        <w:gridCol w:w="2900"/>
        <w:gridCol w:w="2873"/>
      </w:tblGrid>
      <w:tr w14:paraId="4B7DC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629" w:type="pct"/>
            <w:vAlign w:val="bottom"/>
          </w:tcPr>
          <w:p w14:paraId="57502C0F">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型号规格</w:t>
            </w:r>
          </w:p>
        </w:tc>
        <w:tc>
          <w:tcPr>
            <w:tcW w:w="1692" w:type="pct"/>
            <w:vAlign w:val="bottom"/>
          </w:tcPr>
          <w:p w14:paraId="5E2BE3B6">
            <w:pPr>
              <w:widowControl w:val="0"/>
              <w:adjustRightInd/>
              <w:snapToGrid/>
              <w:spacing w:after="0" w:line="288" w:lineRule="auto"/>
              <w:jc w:val="center"/>
              <w:rPr>
                <w:rFonts w:hint="default" w:ascii="宋体" w:hAnsi="宋体" w:eastAsia="宋体" w:cs="宋体"/>
                <w:color w:val="auto"/>
                <w:spacing w:val="-2"/>
                <w:kern w:val="2"/>
                <w:sz w:val="21"/>
                <w:szCs w:val="21"/>
                <w:highlight w:val="none"/>
                <w:lang w:val="en-US" w:eastAsia="zh-CN"/>
              </w:rPr>
            </w:pPr>
            <w:r>
              <w:rPr>
                <w:rFonts w:hint="eastAsia" w:ascii="宋体" w:hAnsi="宋体" w:eastAsia="宋体" w:cs="宋体"/>
                <w:color w:val="auto"/>
                <w:kern w:val="2"/>
                <w:sz w:val="21"/>
                <w:szCs w:val="21"/>
                <w:highlight w:val="none"/>
              </w:rPr>
              <w:t>高效率</w:t>
            </w:r>
            <w:r>
              <w:rPr>
                <w:rFonts w:hint="eastAsia" w:ascii="宋体" w:hAnsi="宋体" w:eastAsia="宋体" w:cs="宋体"/>
                <w:color w:val="auto"/>
                <w:kern w:val="2"/>
                <w:sz w:val="21"/>
                <w:szCs w:val="21"/>
                <w:highlight w:val="none"/>
                <w:lang w:val="en-US" w:eastAsia="zh-CN"/>
              </w:rPr>
              <w:t xml:space="preserve">20 </w:t>
            </w:r>
            <w:r>
              <w:rPr>
                <w:rFonts w:hint="eastAsia" w:ascii="宋体" w:hAnsi="宋体" w:eastAsia="宋体" w:cs="宋体"/>
                <w:color w:val="auto"/>
                <w:spacing w:val="5"/>
                <w:kern w:val="2"/>
                <w:sz w:val="21"/>
                <w:szCs w:val="21"/>
                <w:highlight w:val="none"/>
                <w:lang w:val="en-US" w:eastAsia="zh-CN"/>
              </w:rPr>
              <w:t>⁓150</w:t>
            </w:r>
            <w:r>
              <w:rPr>
                <w:rFonts w:hint="eastAsia" w:ascii="宋体" w:hAnsi="宋体" w:eastAsia="宋体" w:cs="宋体"/>
                <w:color w:val="auto"/>
                <w:kern w:val="2"/>
                <w:sz w:val="21"/>
                <w:szCs w:val="21"/>
                <w:highlight w:val="none"/>
                <w:lang w:val="en-US" w:eastAsia="zh-CN"/>
              </w:rPr>
              <w:t>k</w:t>
            </w:r>
            <w:r>
              <w:rPr>
                <w:rFonts w:hint="eastAsia" w:ascii="宋体" w:hAnsi="宋体" w:eastAsia="宋体" w:cs="宋体"/>
                <w:color w:val="auto"/>
                <w:kern w:val="2"/>
                <w:sz w:val="21"/>
                <w:szCs w:val="21"/>
                <w:highlight w:val="none"/>
              </w:rPr>
              <w:t>W</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kern w:val="2"/>
                <w:sz w:val="21"/>
                <w:szCs w:val="21"/>
                <w:highlight w:val="none"/>
              </w:rPr>
              <w:t>组串型</w:t>
            </w:r>
          </w:p>
        </w:tc>
        <w:tc>
          <w:tcPr>
            <w:tcW w:w="1677" w:type="pct"/>
            <w:vAlign w:val="bottom"/>
          </w:tcPr>
          <w:p w14:paraId="6539BD68">
            <w:pPr>
              <w:widowControl w:val="0"/>
              <w:adjustRightInd/>
              <w:snapToGrid/>
              <w:spacing w:after="0" w:line="288" w:lineRule="auto"/>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高效率</w:t>
            </w:r>
            <w:r>
              <w:rPr>
                <w:rFonts w:hint="eastAsia" w:ascii="宋体" w:hAnsi="宋体" w:eastAsia="宋体" w:cs="宋体"/>
                <w:color w:val="auto"/>
                <w:kern w:val="2"/>
                <w:sz w:val="21"/>
                <w:szCs w:val="21"/>
                <w:highlight w:val="none"/>
                <w:lang w:val="en-US" w:eastAsia="zh-CN"/>
              </w:rPr>
              <w:t xml:space="preserve">150 </w:t>
            </w:r>
            <w:r>
              <w:rPr>
                <w:rFonts w:hint="eastAsia" w:ascii="宋体" w:hAnsi="宋体" w:eastAsia="宋体" w:cs="宋体"/>
                <w:color w:val="auto"/>
                <w:spacing w:val="5"/>
                <w:kern w:val="2"/>
                <w:sz w:val="21"/>
                <w:szCs w:val="21"/>
                <w:highlight w:val="none"/>
                <w:lang w:val="en-US" w:eastAsia="zh-CN"/>
              </w:rPr>
              <w:t>⁓320</w:t>
            </w:r>
            <w:r>
              <w:rPr>
                <w:rFonts w:hint="eastAsia" w:ascii="宋体" w:hAnsi="宋体" w:eastAsia="宋体" w:cs="宋体"/>
                <w:color w:val="auto"/>
                <w:kern w:val="2"/>
                <w:sz w:val="21"/>
                <w:szCs w:val="21"/>
                <w:highlight w:val="none"/>
                <w:lang w:val="en-US" w:eastAsia="zh-CN"/>
              </w:rPr>
              <w:t>k</w:t>
            </w:r>
            <w:r>
              <w:rPr>
                <w:rFonts w:hint="eastAsia" w:ascii="宋体" w:hAnsi="宋体" w:eastAsia="宋体" w:cs="宋体"/>
                <w:color w:val="auto"/>
                <w:kern w:val="2"/>
                <w:sz w:val="21"/>
                <w:szCs w:val="21"/>
                <w:highlight w:val="none"/>
              </w:rPr>
              <w:t>W</w:t>
            </w:r>
            <w:r>
              <w:rPr>
                <w:rFonts w:hint="eastAsia" w:ascii="宋体" w:hAnsi="宋体" w:eastAsia="宋体" w:cs="宋体"/>
                <w:color w:val="auto"/>
                <w:kern w:val="2"/>
                <w:sz w:val="21"/>
                <w:szCs w:val="21"/>
                <w:highlight w:val="none"/>
                <w:lang w:val="en-US" w:eastAsia="zh-CN"/>
              </w:rPr>
              <w:t>/集中式</w:t>
            </w:r>
          </w:p>
        </w:tc>
      </w:tr>
      <w:tr w14:paraId="50503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629" w:type="pct"/>
            <w:vAlign w:val="bottom"/>
          </w:tcPr>
          <w:p w14:paraId="1513E9DD">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最大输入电压</w:t>
            </w:r>
            <w:r>
              <w:rPr>
                <w:rFonts w:hint="eastAsia" w:ascii="宋体" w:hAnsi="宋体" w:eastAsia="宋体" w:cs="宋体"/>
                <w:color w:val="auto"/>
                <w:kern w:val="2"/>
                <w:sz w:val="21"/>
                <w:szCs w:val="21"/>
                <w:highlight w:val="none"/>
              </w:rPr>
              <w:t>(V)</w:t>
            </w:r>
          </w:p>
        </w:tc>
        <w:tc>
          <w:tcPr>
            <w:tcW w:w="1692" w:type="pct"/>
            <w:vAlign w:val="bottom"/>
          </w:tcPr>
          <w:p w14:paraId="1242A080">
            <w:pPr>
              <w:widowControl w:val="0"/>
              <w:adjustRightInd/>
              <w:snapToGrid/>
              <w:spacing w:after="0" w:line="288" w:lineRule="auto"/>
              <w:jc w:val="center"/>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2"/>
                <w:kern w:val="2"/>
                <w:sz w:val="21"/>
                <w:szCs w:val="21"/>
                <w:highlight w:val="none"/>
              </w:rPr>
              <w:t>1100</w:t>
            </w:r>
          </w:p>
        </w:tc>
        <w:tc>
          <w:tcPr>
            <w:tcW w:w="1677" w:type="pct"/>
            <w:vAlign w:val="bottom"/>
          </w:tcPr>
          <w:p w14:paraId="3E228B28">
            <w:pPr>
              <w:widowControl w:val="0"/>
              <w:adjustRightInd/>
              <w:snapToGrid/>
              <w:spacing w:after="0" w:line="288" w:lineRule="auto"/>
              <w:jc w:val="center"/>
              <w:rPr>
                <w:rFonts w:hint="default" w:ascii="宋体" w:hAnsi="宋体" w:eastAsia="宋体" w:cs="宋体"/>
                <w:color w:val="auto"/>
                <w:spacing w:val="-2"/>
                <w:kern w:val="2"/>
                <w:sz w:val="21"/>
                <w:szCs w:val="21"/>
                <w:highlight w:val="none"/>
                <w:lang w:val="en-US" w:eastAsia="zh-CN"/>
              </w:rPr>
            </w:pPr>
            <w:r>
              <w:rPr>
                <w:rFonts w:hint="eastAsia" w:ascii="宋体" w:hAnsi="宋体" w:eastAsia="宋体" w:cs="宋体"/>
                <w:color w:val="auto"/>
                <w:spacing w:val="-2"/>
                <w:kern w:val="2"/>
                <w:sz w:val="21"/>
                <w:szCs w:val="21"/>
                <w:highlight w:val="none"/>
                <w:lang w:val="en-US" w:eastAsia="zh-CN"/>
              </w:rPr>
              <w:t>1500</w:t>
            </w:r>
          </w:p>
        </w:tc>
      </w:tr>
      <w:tr w14:paraId="466203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jc w:val="center"/>
        </w:trPr>
        <w:tc>
          <w:tcPr>
            <w:tcW w:w="1629" w:type="pct"/>
            <w:vAlign w:val="bottom"/>
          </w:tcPr>
          <w:p w14:paraId="4F1454C5">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额定输入电压</w:t>
            </w:r>
            <w:r>
              <w:rPr>
                <w:rFonts w:hint="eastAsia" w:ascii="宋体" w:hAnsi="宋体" w:eastAsia="宋体" w:cs="宋体"/>
                <w:color w:val="auto"/>
                <w:kern w:val="2"/>
                <w:sz w:val="21"/>
                <w:szCs w:val="21"/>
                <w:highlight w:val="none"/>
              </w:rPr>
              <w:t>(V)</w:t>
            </w:r>
          </w:p>
        </w:tc>
        <w:tc>
          <w:tcPr>
            <w:tcW w:w="1692" w:type="pct"/>
            <w:vAlign w:val="bottom"/>
          </w:tcPr>
          <w:p w14:paraId="68964432">
            <w:pPr>
              <w:widowControl w:val="0"/>
              <w:adjustRightInd/>
              <w:snapToGrid/>
              <w:spacing w:after="0" w:line="288" w:lineRule="auto"/>
              <w:jc w:val="center"/>
              <w:rPr>
                <w:rFonts w:hint="eastAsia" w:ascii="宋体" w:hAnsi="宋体" w:eastAsia="宋体" w:cs="宋体"/>
                <w:color w:val="auto"/>
                <w:spacing w:val="1"/>
                <w:kern w:val="2"/>
                <w:sz w:val="21"/>
                <w:szCs w:val="21"/>
                <w:highlight w:val="none"/>
              </w:rPr>
            </w:pPr>
            <w:r>
              <w:rPr>
                <w:rFonts w:hint="eastAsia" w:ascii="宋体" w:hAnsi="宋体" w:eastAsia="宋体" w:cs="宋体"/>
                <w:color w:val="auto"/>
                <w:spacing w:val="6"/>
                <w:kern w:val="2"/>
                <w:sz w:val="21"/>
                <w:szCs w:val="21"/>
                <w:highlight w:val="none"/>
                <w:lang w:val="en-US" w:eastAsia="zh-CN"/>
              </w:rPr>
              <w:t>≤</w:t>
            </w:r>
            <w:r>
              <w:rPr>
                <w:rFonts w:hint="eastAsia" w:ascii="宋体" w:hAnsi="宋体" w:eastAsia="宋体" w:cs="宋体"/>
                <w:color w:val="auto"/>
                <w:spacing w:val="1"/>
                <w:kern w:val="2"/>
                <w:sz w:val="21"/>
                <w:szCs w:val="21"/>
                <w:highlight w:val="none"/>
                <w:lang w:val="en-US" w:eastAsia="zh-CN"/>
              </w:rPr>
              <w:t>600</w:t>
            </w:r>
          </w:p>
        </w:tc>
        <w:tc>
          <w:tcPr>
            <w:tcW w:w="1677" w:type="pct"/>
            <w:vAlign w:val="bottom"/>
          </w:tcPr>
          <w:p w14:paraId="314C0EA9">
            <w:pPr>
              <w:widowControl w:val="0"/>
              <w:adjustRightInd/>
              <w:snapToGrid/>
              <w:spacing w:after="0" w:line="288" w:lineRule="auto"/>
              <w:jc w:val="center"/>
              <w:rPr>
                <w:rFonts w:hint="default" w:ascii="宋体" w:hAnsi="宋体" w:eastAsia="宋体" w:cs="宋体"/>
                <w:color w:val="auto"/>
                <w:spacing w:val="6"/>
                <w:kern w:val="2"/>
                <w:sz w:val="21"/>
                <w:szCs w:val="21"/>
                <w:highlight w:val="none"/>
                <w:lang w:val="en-US" w:eastAsia="zh-CN"/>
              </w:rPr>
            </w:pPr>
            <w:r>
              <w:rPr>
                <w:rFonts w:hint="eastAsia" w:ascii="宋体" w:hAnsi="宋体" w:eastAsia="宋体" w:cs="宋体"/>
                <w:color w:val="auto"/>
                <w:spacing w:val="6"/>
                <w:kern w:val="2"/>
                <w:sz w:val="21"/>
                <w:szCs w:val="21"/>
                <w:highlight w:val="none"/>
                <w:lang w:val="en-US" w:eastAsia="zh-CN"/>
              </w:rPr>
              <w:t>≤</w:t>
            </w:r>
            <w:r>
              <w:rPr>
                <w:rFonts w:hint="eastAsia" w:ascii="宋体" w:hAnsi="宋体" w:eastAsia="宋体" w:cs="宋体"/>
                <w:color w:val="auto"/>
                <w:spacing w:val="1"/>
                <w:kern w:val="2"/>
                <w:sz w:val="21"/>
                <w:szCs w:val="21"/>
                <w:highlight w:val="none"/>
                <w:lang w:val="en-US" w:eastAsia="zh-CN"/>
              </w:rPr>
              <w:t>1080</w:t>
            </w:r>
          </w:p>
        </w:tc>
      </w:tr>
      <w:tr w14:paraId="56B22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2BD1A360">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3"/>
                <w:kern w:val="2"/>
                <w:sz w:val="21"/>
                <w:szCs w:val="21"/>
                <w:highlight w:val="none"/>
                <w:lang w:val="en-US" w:eastAsia="zh-CN"/>
              </w:rPr>
              <w:t>启动电压/</w:t>
            </w:r>
            <w:r>
              <w:rPr>
                <w:rFonts w:hint="eastAsia" w:ascii="宋体" w:hAnsi="宋体" w:eastAsia="宋体" w:cs="宋体"/>
                <w:color w:val="auto"/>
                <w:spacing w:val="-3"/>
                <w:kern w:val="2"/>
                <w:sz w:val="21"/>
                <w:szCs w:val="21"/>
                <w:highlight w:val="none"/>
              </w:rPr>
              <w:t>MPPT电压范围</w:t>
            </w:r>
            <w:r>
              <w:rPr>
                <w:rFonts w:hint="eastAsia" w:ascii="宋体" w:hAnsi="宋体" w:eastAsia="宋体" w:cs="宋体"/>
                <w:color w:val="auto"/>
                <w:kern w:val="2"/>
                <w:sz w:val="21"/>
                <w:szCs w:val="21"/>
                <w:highlight w:val="none"/>
              </w:rPr>
              <w:t>(V)</w:t>
            </w:r>
          </w:p>
        </w:tc>
        <w:tc>
          <w:tcPr>
            <w:tcW w:w="1692" w:type="pct"/>
            <w:vAlign w:val="bottom"/>
          </w:tcPr>
          <w:p w14:paraId="21B2A43C">
            <w:pPr>
              <w:widowControl w:val="0"/>
              <w:adjustRightInd/>
              <w:snapToGrid/>
              <w:spacing w:after="0" w:line="288" w:lineRule="auto"/>
              <w:jc w:val="center"/>
              <w:rPr>
                <w:rFonts w:hint="eastAsia" w:ascii="宋体" w:hAnsi="宋体" w:eastAsia="宋体" w:cs="宋体"/>
                <w:color w:val="auto"/>
                <w:spacing w:val="6"/>
                <w:kern w:val="2"/>
                <w:sz w:val="21"/>
                <w:szCs w:val="21"/>
                <w:highlight w:val="none"/>
              </w:rPr>
            </w:pPr>
            <w:r>
              <w:rPr>
                <w:rFonts w:hint="eastAsia" w:ascii="宋体" w:hAnsi="宋体" w:eastAsia="宋体" w:cs="宋体"/>
                <w:color w:val="auto"/>
                <w:spacing w:val="6"/>
                <w:kern w:val="2"/>
                <w:sz w:val="21"/>
                <w:szCs w:val="21"/>
                <w:highlight w:val="none"/>
                <w:lang w:val="en-US" w:eastAsia="zh-CN"/>
              </w:rPr>
              <w:t xml:space="preserve">≤200 / </w:t>
            </w:r>
            <w:r>
              <w:rPr>
                <w:rFonts w:hint="eastAsia" w:ascii="宋体" w:hAnsi="宋体" w:eastAsia="宋体" w:cs="宋体"/>
                <w:color w:val="auto"/>
                <w:spacing w:val="6"/>
                <w:kern w:val="2"/>
                <w:sz w:val="21"/>
                <w:szCs w:val="21"/>
                <w:highlight w:val="none"/>
              </w:rPr>
              <w:t>2</w:t>
            </w:r>
            <w:r>
              <w:rPr>
                <w:rFonts w:hint="eastAsia" w:ascii="宋体" w:hAnsi="宋体" w:eastAsia="宋体" w:cs="宋体"/>
                <w:color w:val="auto"/>
                <w:spacing w:val="3"/>
                <w:kern w:val="2"/>
                <w:sz w:val="21"/>
                <w:szCs w:val="21"/>
                <w:highlight w:val="none"/>
              </w:rPr>
              <w:t>00</w:t>
            </w:r>
            <w:r>
              <w:rPr>
                <w:rFonts w:hint="eastAsia" w:ascii="宋体" w:hAnsi="宋体" w:eastAsia="宋体" w:cs="宋体"/>
                <w:color w:val="auto"/>
                <w:spacing w:val="3"/>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3"/>
                <w:kern w:val="2"/>
                <w:sz w:val="21"/>
                <w:szCs w:val="21"/>
                <w:highlight w:val="none"/>
              </w:rPr>
              <w:t>1000</w:t>
            </w:r>
          </w:p>
        </w:tc>
        <w:tc>
          <w:tcPr>
            <w:tcW w:w="1677" w:type="pct"/>
            <w:vAlign w:val="bottom"/>
          </w:tcPr>
          <w:p w14:paraId="271EEF30">
            <w:pPr>
              <w:widowControl w:val="0"/>
              <w:adjustRightInd/>
              <w:snapToGrid/>
              <w:spacing w:after="0" w:line="288" w:lineRule="auto"/>
              <w:jc w:val="center"/>
              <w:rPr>
                <w:rFonts w:hint="eastAsia" w:ascii="宋体" w:hAnsi="宋体" w:eastAsia="宋体" w:cs="宋体"/>
                <w:color w:val="auto"/>
                <w:spacing w:val="6"/>
                <w:kern w:val="2"/>
                <w:sz w:val="21"/>
                <w:szCs w:val="21"/>
                <w:highlight w:val="none"/>
                <w:lang w:val="en-US" w:eastAsia="zh-CN"/>
              </w:rPr>
            </w:pPr>
            <w:r>
              <w:rPr>
                <w:rFonts w:hint="eastAsia" w:ascii="宋体" w:hAnsi="宋体" w:eastAsia="宋体" w:cs="宋体"/>
                <w:color w:val="auto"/>
                <w:spacing w:val="6"/>
                <w:kern w:val="2"/>
                <w:sz w:val="21"/>
                <w:szCs w:val="21"/>
                <w:highlight w:val="none"/>
                <w:lang w:val="en-US" w:eastAsia="zh-CN"/>
              </w:rPr>
              <w:t>≤550 / 5</w:t>
            </w:r>
            <w:r>
              <w:rPr>
                <w:rFonts w:hint="eastAsia" w:ascii="宋体" w:hAnsi="宋体" w:eastAsia="宋体" w:cs="宋体"/>
                <w:color w:val="auto"/>
                <w:spacing w:val="3"/>
                <w:kern w:val="2"/>
                <w:sz w:val="21"/>
                <w:szCs w:val="21"/>
                <w:highlight w:val="none"/>
              </w:rPr>
              <w:t>00</w:t>
            </w:r>
            <w:r>
              <w:rPr>
                <w:rFonts w:hint="eastAsia" w:ascii="宋体" w:hAnsi="宋体" w:eastAsia="宋体" w:cs="宋体"/>
                <w:color w:val="auto"/>
                <w:spacing w:val="3"/>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3"/>
                <w:kern w:val="2"/>
                <w:sz w:val="21"/>
                <w:szCs w:val="21"/>
                <w:highlight w:val="none"/>
              </w:rPr>
              <w:t>1</w:t>
            </w:r>
            <w:r>
              <w:rPr>
                <w:rFonts w:hint="eastAsia" w:ascii="宋体" w:hAnsi="宋体" w:eastAsia="宋体" w:cs="宋体"/>
                <w:color w:val="auto"/>
                <w:spacing w:val="3"/>
                <w:kern w:val="2"/>
                <w:sz w:val="21"/>
                <w:szCs w:val="21"/>
                <w:highlight w:val="none"/>
                <w:lang w:val="en-US" w:eastAsia="zh-CN"/>
              </w:rPr>
              <w:t>5</w:t>
            </w:r>
            <w:r>
              <w:rPr>
                <w:rFonts w:hint="eastAsia" w:ascii="宋体" w:hAnsi="宋体" w:eastAsia="宋体" w:cs="宋体"/>
                <w:color w:val="auto"/>
                <w:spacing w:val="3"/>
                <w:kern w:val="2"/>
                <w:sz w:val="21"/>
                <w:szCs w:val="21"/>
                <w:highlight w:val="none"/>
              </w:rPr>
              <w:t>00</w:t>
            </w:r>
          </w:p>
        </w:tc>
      </w:tr>
      <w:tr w14:paraId="184C10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123F0805">
            <w:pPr>
              <w:widowControl w:val="0"/>
              <w:adjustRightInd/>
              <w:snapToGrid/>
              <w:spacing w:after="0" w:line="288" w:lineRule="auto"/>
              <w:jc w:val="center"/>
              <w:rPr>
                <w:rFonts w:hint="eastAsia" w:ascii="宋体" w:hAnsi="宋体" w:eastAsia="宋体" w:cs="宋体"/>
                <w:color w:val="auto"/>
                <w:kern w:val="2"/>
                <w:sz w:val="21"/>
                <w:szCs w:val="21"/>
                <w:highlight w:val="none"/>
              </w:rPr>
            </w:pPr>
            <w:r>
              <w:rPr>
                <w:rFonts w:hint="eastAsia" w:ascii="宋体" w:hAnsi="宋体" w:eastAsia="宋体" w:cs="宋体"/>
                <w:color w:val="auto"/>
                <w:spacing w:val="-1"/>
                <w:kern w:val="2"/>
                <w:sz w:val="21"/>
                <w:szCs w:val="21"/>
                <w:highlight w:val="none"/>
              </w:rPr>
              <w:t>允许电网电压</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1"/>
                <w:kern w:val="2"/>
                <w:sz w:val="21"/>
                <w:szCs w:val="21"/>
                <w:highlight w:val="none"/>
              </w:rPr>
              <w:t>V</w:t>
            </w:r>
            <w:r>
              <w:rPr>
                <w:rFonts w:hint="eastAsia" w:ascii="宋体" w:hAnsi="宋体" w:eastAsia="宋体" w:cs="宋体"/>
                <w:color w:val="auto"/>
                <w:kern w:val="2"/>
                <w:sz w:val="21"/>
                <w:szCs w:val="21"/>
                <w:highlight w:val="none"/>
              </w:rPr>
              <w:t>)</w:t>
            </w:r>
          </w:p>
        </w:tc>
        <w:tc>
          <w:tcPr>
            <w:tcW w:w="1692" w:type="pct"/>
            <w:vAlign w:val="bottom"/>
          </w:tcPr>
          <w:p w14:paraId="160C5A7D">
            <w:pPr>
              <w:widowControl w:val="0"/>
              <w:adjustRightInd/>
              <w:snapToGrid/>
              <w:spacing w:after="0" w:line="288" w:lineRule="auto"/>
              <w:jc w:val="center"/>
              <w:rPr>
                <w:rFonts w:hint="eastAsia" w:ascii="宋体" w:hAnsi="宋体" w:eastAsia="宋体" w:cs="宋体"/>
                <w:color w:val="auto"/>
                <w:spacing w:val="-5"/>
                <w:kern w:val="2"/>
                <w:sz w:val="21"/>
                <w:szCs w:val="21"/>
                <w:highlight w:val="none"/>
              </w:rPr>
            </w:pPr>
            <w:r>
              <w:rPr>
                <w:rFonts w:hint="eastAsia" w:ascii="宋体" w:hAnsi="宋体" w:eastAsia="宋体" w:cs="宋体"/>
                <w:color w:val="auto"/>
                <w:spacing w:val="3"/>
                <w:kern w:val="2"/>
                <w:sz w:val="21"/>
                <w:szCs w:val="21"/>
                <w:highlight w:val="none"/>
                <w:lang w:val="en-US" w:eastAsia="zh-CN"/>
              </w:rPr>
              <w:t xml:space="preserve">320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3"/>
                <w:kern w:val="2"/>
                <w:sz w:val="21"/>
                <w:szCs w:val="21"/>
                <w:highlight w:val="none"/>
              </w:rPr>
              <w:t>48</w:t>
            </w:r>
            <w:r>
              <w:rPr>
                <w:rFonts w:hint="eastAsia" w:ascii="宋体" w:hAnsi="宋体" w:eastAsia="宋体" w:cs="宋体"/>
                <w:color w:val="auto"/>
                <w:spacing w:val="2"/>
                <w:kern w:val="2"/>
                <w:sz w:val="21"/>
                <w:szCs w:val="21"/>
                <w:highlight w:val="none"/>
              </w:rPr>
              <w:t>0</w:t>
            </w:r>
          </w:p>
        </w:tc>
        <w:tc>
          <w:tcPr>
            <w:tcW w:w="1677" w:type="pct"/>
            <w:vAlign w:val="bottom"/>
          </w:tcPr>
          <w:p w14:paraId="35C02ED2">
            <w:pPr>
              <w:widowControl w:val="0"/>
              <w:adjustRightInd/>
              <w:snapToGrid/>
              <w:spacing w:after="0" w:line="288" w:lineRule="auto"/>
              <w:jc w:val="center"/>
              <w:rPr>
                <w:rFonts w:hint="eastAsia" w:ascii="宋体" w:hAnsi="宋体" w:eastAsia="宋体" w:cs="宋体"/>
                <w:color w:val="auto"/>
                <w:spacing w:val="3"/>
                <w:kern w:val="2"/>
                <w:sz w:val="21"/>
                <w:szCs w:val="21"/>
                <w:highlight w:val="none"/>
                <w:lang w:val="en-US" w:eastAsia="zh-CN"/>
              </w:rPr>
            </w:pPr>
            <w:r>
              <w:rPr>
                <w:rFonts w:hint="eastAsia" w:ascii="宋体" w:hAnsi="宋体" w:eastAsia="宋体" w:cs="宋体"/>
                <w:color w:val="auto"/>
                <w:spacing w:val="3"/>
                <w:kern w:val="2"/>
                <w:sz w:val="21"/>
                <w:szCs w:val="21"/>
                <w:highlight w:val="none"/>
                <w:lang w:val="en-US" w:eastAsia="zh-CN"/>
              </w:rPr>
              <w:t xml:space="preserve">640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3"/>
                <w:kern w:val="2"/>
                <w:sz w:val="21"/>
                <w:szCs w:val="21"/>
                <w:highlight w:val="none"/>
                <w:lang w:val="en-US" w:eastAsia="zh-CN"/>
              </w:rPr>
              <w:t>920</w:t>
            </w:r>
          </w:p>
        </w:tc>
      </w:tr>
      <w:tr w14:paraId="5BD40A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1AFF9A33">
            <w:pPr>
              <w:widowControl w:val="0"/>
              <w:adjustRightInd/>
              <w:snapToGrid/>
              <w:spacing w:after="0" w:line="288" w:lineRule="auto"/>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额定输出电压(V)</w:t>
            </w:r>
          </w:p>
        </w:tc>
        <w:tc>
          <w:tcPr>
            <w:tcW w:w="1692" w:type="pct"/>
            <w:vAlign w:val="bottom"/>
          </w:tcPr>
          <w:p w14:paraId="21E9372A">
            <w:pPr>
              <w:widowControl w:val="0"/>
              <w:adjustRightInd/>
              <w:snapToGrid/>
              <w:spacing w:after="0" w:line="288" w:lineRule="auto"/>
              <w:jc w:val="center"/>
              <w:rPr>
                <w:rFonts w:hint="eastAsia" w:ascii="宋体" w:hAnsi="宋体" w:eastAsia="宋体" w:cs="宋体"/>
                <w:color w:val="auto"/>
                <w:spacing w:val="-5"/>
                <w:kern w:val="2"/>
                <w:sz w:val="21"/>
                <w:szCs w:val="21"/>
                <w:highlight w:val="none"/>
              </w:rPr>
            </w:pPr>
            <w:r>
              <w:rPr>
                <w:rFonts w:hint="eastAsia" w:ascii="宋体" w:hAnsi="宋体" w:eastAsia="宋体" w:cs="宋体"/>
                <w:color w:val="auto"/>
                <w:spacing w:val="-5"/>
                <w:kern w:val="2"/>
                <w:sz w:val="21"/>
                <w:szCs w:val="21"/>
                <w:highlight w:val="none"/>
              </w:rPr>
              <w:t>3/N/PE,</w:t>
            </w:r>
            <w:r>
              <w:rPr>
                <w:rFonts w:hint="eastAsia" w:ascii="宋体" w:hAnsi="宋体" w:eastAsia="宋体" w:cs="宋体"/>
                <w:color w:val="auto"/>
                <w:spacing w:val="-5"/>
                <w:kern w:val="2"/>
                <w:sz w:val="21"/>
                <w:szCs w:val="21"/>
                <w:highlight w:val="none"/>
                <w:lang w:val="en-US" w:eastAsia="zh-CN"/>
              </w:rPr>
              <w:t>380</w:t>
            </w:r>
            <w:r>
              <w:rPr>
                <w:rFonts w:hint="eastAsia" w:ascii="宋体" w:hAnsi="宋体" w:eastAsia="宋体" w:cs="宋体"/>
                <w:color w:val="auto"/>
                <w:spacing w:val="-5"/>
                <w:kern w:val="2"/>
                <w:sz w:val="21"/>
                <w:szCs w:val="21"/>
                <w:highlight w:val="none"/>
              </w:rPr>
              <w:t>/400</w:t>
            </w:r>
          </w:p>
        </w:tc>
        <w:tc>
          <w:tcPr>
            <w:tcW w:w="1677" w:type="pct"/>
            <w:vAlign w:val="bottom"/>
          </w:tcPr>
          <w:p w14:paraId="581F9D03">
            <w:pPr>
              <w:widowControl w:val="0"/>
              <w:adjustRightInd/>
              <w:snapToGrid/>
              <w:spacing w:after="0" w:line="288" w:lineRule="auto"/>
              <w:jc w:val="center"/>
              <w:rPr>
                <w:rFonts w:hint="eastAsia" w:ascii="宋体" w:hAnsi="宋体" w:eastAsia="宋体" w:cs="宋体"/>
                <w:color w:val="auto"/>
                <w:spacing w:val="-5"/>
                <w:kern w:val="2"/>
                <w:sz w:val="21"/>
                <w:szCs w:val="21"/>
                <w:highlight w:val="none"/>
              </w:rPr>
            </w:pPr>
            <w:r>
              <w:rPr>
                <w:rFonts w:hint="eastAsia" w:ascii="宋体" w:hAnsi="宋体" w:eastAsia="宋体" w:cs="宋体"/>
                <w:color w:val="auto"/>
                <w:spacing w:val="-5"/>
                <w:kern w:val="2"/>
                <w:sz w:val="21"/>
                <w:szCs w:val="21"/>
                <w:highlight w:val="none"/>
              </w:rPr>
              <w:t xml:space="preserve">3/PE, </w:t>
            </w:r>
            <w:r>
              <w:rPr>
                <w:rFonts w:hint="eastAsia" w:ascii="宋体" w:hAnsi="宋体" w:eastAsia="宋体" w:cs="宋体"/>
                <w:color w:val="auto"/>
                <w:spacing w:val="-5"/>
                <w:kern w:val="2"/>
                <w:sz w:val="21"/>
                <w:szCs w:val="21"/>
                <w:highlight w:val="none"/>
                <w:lang w:val="en-US" w:eastAsia="zh-CN"/>
              </w:rPr>
              <w:t>80</w:t>
            </w:r>
            <w:r>
              <w:rPr>
                <w:rFonts w:hint="eastAsia" w:ascii="宋体" w:hAnsi="宋体" w:eastAsia="宋体" w:cs="宋体"/>
                <w:color w:val="auto"/>
                <w:spacing w:val="-5"/>
                <w:kern w:val="2"/>
                <w:sz w:val="21"/>
                <w:szCs w:val="21"/>
                <w:highlight w:val="none"/>
              </w:rPr>
              <w:t>0</w:t>
            </w:r>
          </w:p>
        </w:tc>
      </w:tr>
      <w:tr w14:paraId="6D5885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70EA92D6">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额定输出频率</w:t>
            </w:r>
            <w:r>
              <w:rPr>
                <w:rFonts w:hint="eastAsia" w:ascii="宋体" w:hAnsi="宋体" w:eastAsia="宋体" w:cs="宋体"/>
                <w:color w:val="auto"/>
                <w:kern w:val="2"/>
                <w:sz w:val="21"/>
                <w:szCs w:val="21"/>
                <w:highlight w:val="none"/>
              </w:rPr>
              <w:t>(Hz)</w:t>
            </w:r>
          </w:p>
        </w:tc>
        <w:tc>
          <w:tcPr>
            <w:tcW w:w="3370" w:type="pct"/>
            <w:gridSpan w:val="2"/>
            <w:vAlign w:val="bottom"/>
          </w:tcPr>
          <w:p w14:paraId="4E1B8815">
            <w:pPr>
              <w:widowControl w:val="0"/>
              <w:adjustRightInd/>
              <w:snapToGrid/>
              <w:spacing w:after="0" w:line="288" w:lineRule="auto"/>
              <w:jc w:val="center"/>
              <w:rPr>
                <w:rFonts w:hint="eastAsia" w:ascii="宋体" w:hAnsi="宋体" w:eastAsia="宋体" w:cs="宋体"/>
                <w:color w:val="auto"/>
                <w:spacing w:val="-3"/>
                <w:kern w:val="2"/>
                <w:sz w:val="21"/>
                <w:szCs w:val="21"/>
                <w:highlight w:val="none"/>
              </w:rPr>
            </w:pPr>
            <w:r>
              <w:rPr>
                <w:rFonts w:hint="eastAsia" w:ascii="宋体" w:hAnsi="宋体" w:eastAsia="宋体" w:cs="宋体"/>
                <w:color w:val="auto"/>
                <w:spacing w:val="-3"/>
                <w:kern w:val="2"/>
                <w:sz w:val="21"/>
                <w:szCs w:val="21"/>
                <w:highlight w:val="none"/>
              </w:rPr>
              <w:t>5</w:t>
            </w:r>
            <w:r>
              <w:rPr>
                <w:rFonts w:hint="eastAsia" w:ascii="宋体" w:hAnsi="宋体" w:eastAsia="宋体" w:cs="宋体"/>
                <w:color w:val="auto"/>
                <w:spacing w:val="-2"/>
                <w:kern w:val="2"/>
                <w:sz w:val="21"/>
                <w:szCs w:val="21"/>
                <w:highlight w:val="none"/>
              </w:rPr>
              <w:t>0</w:t>
            </w:r>
          </w:p>
        </w:tc>
      </w:tr>
      <w:tr w14:paraId="02B42C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jc w:val="center"/>
        </w:trPr>
        <w:tc>
          <w:tcPr>
            <w:tcW w:w="1629" w:type="pct"/>
            <w:vAlign w:val="bottom"/>
          </w:tcPr>
          <w:p w14:paraId="69F4DE6B">
            <w:pPr>
              <w:widowControl w:val="0"/>
              <w:adjustRightInd/>
              <w:snapToGrid/>
              <w:spacing w:after="0" w:line="288" w:lineRule="auto"/>
              <w:jc w:val="center"/>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spacing w:val="8"/>
                <w:kern w:val="2"/>
                <w:sz w:val="21"/>
                <w:szCs w:val="21"/>
                <w:highlight w:val="none"/>
              </w:rPr>
              <w:t>功</w:t>
            </w:r>
            <w:r>
              <w:rPr>
                <w:rFonts w:hint="eastAsia" w:ascii="宋体" w:hAnsi="宋体" w:eastAsia="宋体" w:cs="宋体"/>
                <w:color w:val="auto"/>
                <w:spacing w:val="6"/>
                <w:kern w:val="2"/>
                <w:sz w:val="21"/>
                <w:szCs w:val="21"/>
                <w:highlight w:val="none"/>
              </w:rPr>
              <w:t>率因数</w:t>
            </w:r>
            <w:r>
              <w:rPr>
                <w:rFonts w:hint="eastAsia" w:ascii="宋体" w:hAnsi="宋体" w:eastAsia="宋体" w:cs="宋体"/>
                <w:color w:val="auto"/>
                <w:spacing w:val="6"/>
                <w:kern w:val="2"/>
                <w:sz w:val="21"/>
                <w:szCs w:val="21"/>
                <w:highlight w:val="none"/>
                <w:lang w:val="en-US" w:eastAsia="zh-CN"/>
              </w:rPr>
              <w:t>及可调范围</w:t>
            </w:r>
          </w:p>
        </w:tc>
        <w:tc>
          <w:tcPr>
            <w:tcW w:w="3370" w:type="pct"/>
            <w:gridSpan w:val="2"/>
            <w:vAlign w:val="bottom"/>
          </w:tcPr>
          <w:p w14:paraId="289F2E70">
            <w:pPr>
              <w:widowControl w:val="0"/>
              <w:adjustRightInd/>
              <w:snapToGrid/>
              <w:spacing w:after="0" w:line="288" w:lineRule="auto"/>
              <w:jc w:val="center"/>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2"/>
                <w:kern w:val="2"/>
                <w:sz w:val="21"/>
                <w:szCs w:val="21"/>
                <w:highlight w:val="none"/>
                <w:lang w:val="en-US" w:eastAsia="zh-CN"/>
              </w:rPr>
              <w:t>＞</w:t>
            </w:r>
            <w:r>
              <w:rPr>
                <w:rFonts w:hint="eastAsia" w:ascii="宋体" w:hAnsi="宋体" w:eastAsia="宋体" w:cs="宋体"/>
                <w:color w:val="auto"/>
                <w:spacing w:val="-2"/>
                <w:kern w:val="2"/>
                <w:sz w:val="21"/>
                <w:szCs w:val="21"/>
                <w:highlight w:val="none"/>
              </w:rPr>
              <w:t>0.99（额定功率下）</w:t>
            </w:r>
            <w:r>
              <w:rPr>
                <w:rFonts w:hint="eastAsia" w:ascii="宋体" w:hAnsi="宋体" w:eastAsia="宋体" w:cs="宋体"/>
                <w:color w:val="auto"/>
                <w:spacing w:val="-2"/>
                <w:kern w:val="2"/>
                <w:sz w:val="21"/>
                <w:szCs w:val="21"/>
                <w:highlight w:val="none"/>
                <w:lang w:val="en-US" w:eastAsia="zh-CN"/>
              </w:rPr>
              <w:t xml:space="preserve"> </w:t>
            </w:r>
            <w:r>
              <w:rPr>
                <w:rFonts w:hint="eastAsia" w:ascii="宋体" w:hAnsi="宋体" w:eastAsia="宋体" w:cs="宋体"/>
                <w:color w:val="auto"/>
                <w:spacing w:val="-2"/>
                <w:kern w:val="2"/>
                <w:sz w:val="21"/>
                <w:szCs w:val="21"/>
                <w:highlight w:val="none"/>
              </w:rPr>
              <w:t>0</w:t>
            </w:r>
            <w:r>
              <w:rPr>
                <w:rFonts w:hint="eastAsia" w:ascii="宋体" w:hAnsi="宋体" w:eastAsia="宋体" w:cs="宋体"/>
                <w:color w:val="auto"/>
                <w:spacing w:val="-1"/>
                <w:kern w:val="2"/>
                <w:sz w:val="21"/>
                <w:szCs w:val="21"/>
                <w:highlight w:val="none"/>
              </w:rPr>
              <w:t>.8超前...0.8滞后</w:t>
            </w:r>
          </w:p>
        </w:tc>
      </w:tr>
      <w:tr w14:paraId="57150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jc w:val="center"/>
        </w:trPr>
        <w:tc>
          <w:tcPr>
            <w:tcW w:w="1629" w:type="pct"/>
            <w:vAlign w:val="bottom"/>
          </w:tcPr>
          <w:p w14:paraId="7D333662">
            <w:pPr>
              <w:widowControl w:val="0"/>
              <w:adjustRightInd/>
              <w:snapToGrid/>
              <w:spacing w:after="0" w:line="288" w:lineRule="auto"/>
              <w:jc w:val="center"/>
              <w:rPr>
                <w:rFonts w:hint="eastAsia" w:ascii="宋体" w:hAnsi="宋体" w:eastAsia="宋体" w:cs="宋体"/>
                <w:color w:val="auto"/>
                <w:spacing w:val="8"/>
                <w:kern w:val="2"/>
                <w:sz w:val="21"/>
                <w:szCs w:val="21"/>
                <w:highlight w:val="none"/>
              </w:rPr>
            </w:pPr>
            <w:r>
              <w:rPr>
                <w:rFonts w:hint="eastAsia" w:ascii="宋体" w:hAnsi="宋体" w:eastAsia="宋体" w:cs="宋体"/>
                <w:color w:val="auto"/>
                <w:spacing w:val="8"/>
                <w:kern w:val="2"/>
                <w:sz w:val="21"/>
                <w:szCs w:val="21"/>
                <w:highlight w:val="none"/>
              </w:rPr>
              <w:t>最大总谐波失真</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kern w:val="2"/>
                <w:sz w:val="21"/>
                <w:szCs w:val="21"/>
                <w:highlight w:val="none"/>
              </w:rPr>
              <w:t>)</w:t>
            </w:r>
          </w:p>
        </w:tc>
        <w:tc>
          <w:tcPr>
            <w:tcW w:w="1692" w:type="pct"/>
            <w:vAlign w:val="bottom"/>
          </w:tcPr>
          <w:p w14:paraId="7D07A00D">
            <w:pPr>
              <w:widowControl w:val="0"/>
              <w:adjustRightInd/>
              <w:snapToGrid/>
              <w:spacing w:after="0" w:line="288" w:lineRule="auto"/>
              <w:jc w:val="center"/>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2"/>
                <w:kern w:val="2"/>
                <w:sz w:val="21"/>
                <w:szCs w:val="21"/>
                <w:highlight w:val="none"/>
              </w:rPr>
              <w:t>＜3</w:t>
            </w:r>
            <w:r>
              <w:rPr>
                <w:rFonts w:hint="eastAsia" w:ascii="宋体" w:hAnsi="宋体" w:eastAsia="宋体" w:cs="宋体"/>
                <w:color w:val="auto"/>
                <w:spacing w:val="-2"/>
                <w:kern w:val="2"/>
                <w:sz w:val="21"/>
                <w:szCs w:val="21"/>
                <w:highlight w:val="none"/>
                <w:lang w:val="en-US" w:eastAsia="zh-CN"/>
              </w:rPr>
              <w:t xml:space="preserve"> </w:t>
            </w:r>
          </w:p>
        </w:tc>
        <w:tc>
          <w:tcPr>
            <w:tcW w:w="1677" w:type="pct"/>
            <w:vAlign w:val="bottom"/>
          </w:tcPr>
          <w:p w14:paraId="1D22C7B6">
            <w:pPr>
              <w:widowControl w:val="0"/>
              <w:adjustRightInd/>
              <w:snapToGrid/>
              <w:spacing w:after="0" w:line="288" w:lineRule="auto"/>
              <w:jc w:val="center"/>
              <w:rPr>
                <w:rFonts w:hint="eastAsia" w:ascii="宋体" w:hAnsi="宋体" w:eastAsia="宋体" w:cs="宋体"/>
                <w:color w:val="auto"/>
                <w:spacing w:val="-2"/>
                <w:kern w:val="2"/>
                <w:sz w:val="21"/>
                <w:szCs w:val="21"/>
                <w:highlight w:val="none"/>
              </w:rPr>
            </w:pPr>
            <w:r>
              <w:rPr>
                <w:rFonts w:hint="eastAsia" w:ascii="宋体" w:hAnsi="宋体" w:eastAsia="宋体" w:cs="宋体"/>
                <w:color w:val="auto"/>
                <w:spacing w:val="-2"/>
                <w:kern w:val="2"/>
                <w:sz w:val="21"/>
                <w:szCs w:val="21"/>
                <w:highlight w:val="none"/>
              </w:rPr>
              <w:t>＜</w:t>
            </w:r>
            <w:r>
              <w:rPr>
                <w:rFonts w:hint="eastAsia" w:ascii="宋体" w:hAnsi="宋体" w:eastAsia="宋体" w:cs="宋体"/>
                <w:color w:val="auto"/>
                <w:spacing w:val="-2"/>
                <w:kern w:val="2"/>
                <w:sz w:val="21"/>
                <w:szCs w:val="21"/>
                <w:highlight w:val="none"/>
                <w:lang w:val="en-US" w:eastAsia="zh-CN"/>
              </w:rPr>
              <w:t>1</w:t>
            </w:r>
          </w:p>
        </w:tc>
      </w:tr>
      <w:tr w14:paraId="2D525E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jc w:val="center"/>
        </w:trPr>
        <w:tc>
          <w:tcPr>
            <w:tcW w:w="1629" w:type="pct"/>
            <w:vAlign w:val="bottom"/>
          </w:tcPr>
          <w:p w14:paraId="7E50BA26">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最大效率</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6"/>
                <w:kern w:val="2"/>
                <w:sz w:val="21"/>
                <w:szCs w:val="21"/>
                <w:highlight w:val="none"/>
              </w:rPr>
              <w:t>%</w:t>
            </w:r>
            <w:r>
              <w:rPr>
                <w:rFonts w:hint="eastAsia" w:ascii="宋体" w:hAnsi="宋体" w:eastAsia="宋体" w:cs="宋体"/>
                <w:color w:val="auto"/>
                <w:kern w:val="2"/>
                <w:sz w:val="21"/>
                <w:szCs w:val="21"/>
                <w:highlight w:val="none"/>
              </w:rPr>
              <w:t>)</w:t>
            </w:r>
          </w:p>
        </w:tc>
        <w:tc>
          <w:tcPr>
            <w:tcW w:w="1692" w:type="pct"/>
            <w:vAlign w:val="bottom"/>
          </w:tcPr>
          <w:p w14:paraId="4B36554E">
            <w:pPr>
              <w:widowControl w:val="0"/>
              <w:adjustRightInd/>
              <w:snapToGrid/>
              <w:spacing w:after="0" w:line="288" w:lineRule="auto"/>
              <w:jc w:val="center"/>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4"/>
                <w:kern w:val="2"/>
                <w:sz w:val="21"/>
                <w:szCs w:val="21"/>
                <w:highlight w:val="none"/>
                <w:lang w:val="en-US" w:eastAsia="zh-CN"/>
              </w:rPr>
              <w:t>≥98.5</w:t>
            </w:r>
          </w:p>
        </w:tc>
        <w:tc>
          <w:tcPr>
            <w:tcW w:w="1677" w:type="pct"/>
            <w:vAlign w:val="bottom"/>
          </w:tcPr>
          <w:p w14:paraId="062E2170">
            <w:pPr>
              <w:widowControl w:val="0"/>
              <w:adjustRightInd/>
              <w:snapToGrid/>
              <w:spacing w:after="0" w:line="288" w:lineRule="auto"/>
              <w:jc w:val="center"/>
              <w:rPr>
                <w:rFonts w:hint="default" w:ascii="宋体" w:hAnsi="宋体" w:eastAsia="宋体" w:cs="宋体"/>
                <w:color w:val="auto"/>
                <w:spacing w:val="4"/>
                <w:kern w:val="2"/>
                <w:sz w:val="21"/>
                <w:szCs w:val="21"/>
                <w:highlight w:val="none"/>
                <w:lang w:val="en-US" w:eastAsia="zh-CN"/>
              </w:rPr>
            </w:pPr>
            <w:r>
              <w:rPr>
                <w:rFonts w:hint="eastAsia" w:ascii="宋体" w:hAnsi="宋体" w:eastAsia="宋体" w:cs="宋体"/>
                <w:color w:val="auto"/>
                <w:spacing w:val="4"/>
                <w:kern w:val="2"/>
                <w:sz w:val="21"/>
                <w:szCs w:val="21"/>
                <w:highlight w:val="none"/>
                <w:lang w:val="en-US" w:eastAsia="zh-CN"/>
              </w:rPr>
              <w:t>≥99.0</w:t>
            </w:r>
          </w:p>
        </w:tc>
      </w:tr>
      <w:tr w14:paraId="50511F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3E7D6787">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4"/>
                <w:kern w:val="2"/>
                <w:sz w:val="21"/>
                <w:szCs w:val="21"/>
                <w:highlight w:val="none"/>
              </w:rPr>
              <w:t>中</w:t>
            </w:r>
            <w:r>
              <w:rPr>
                <w:rFonts w:hint="eastAsia" w:ascii="宋体" w:hAnsi="宋体" w:eastAsia="宋体" w:cs="宋体"/>
                <w:color w:val="auto"/>
                <w:spacing w:val="3"/>
                <w:kern w:val="2"/>
                <w:sz w:val="21"/>
                <w:szCs w:val="21"/>
                <w:highlight w:val="none"/>
              </w:rPr>
              <w:t>国</w:t>
            </w:r>
            <w:r>
              <w:rPr>
                <w:rFonts w:hint="eastAsia" w:ascii="宋体" w:hAnsi="宋体" w:eastAsia="宋体" w:cs="宋体"/>
                <w:color w:val="auto"/>
                <w:spacing w:val="2"/>
                <w:kern w:val="2"/>
                <w:sz w:val="21"/>
                <w:szCs w:val="21"/>
                <w:highlight w:val="none"/>
              </w:rPr>
              <w:t>效率</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2"/>
                <w:kern w:val="2"/>
                <w:sz w:val="21"/>
                <w:szCs w:val="21"/>
                <w:highlight w:val="none"/>
              </w:rPr>
              <w:t>%</w:t>
            </w:r>
            <w:r>
              <w:rPr>
                <w:rFonts w:hint="eastAsia" w:ascii="宋体" w:hAnsi="宋体" w:eastAsia="宋体" w:cs="宋体"/>
                <w:color w:val="auto"/>
                <w:kern w:val="2"/>
                <w:sz w:val="21"/>
                <w:szCs w:val="21"/>
                <w:highlight w:val="none"/>
              </w:rPr>
              <w:t>)</w:t>
            </w:r>
          </w:p>
        </w:tc>
        <w:tc>
          <w:tcPr>
            <w:tcW w:w="1692" w:type="pct"/>
            <w:vAlign w:val="bottom"/>
          </w:tcPr>
          <w:p w14:paraId="48844078">
            <w:pPr>
              <w:widowControl w:val="0"/>
              <w:adjustRightInd/>
              <w:snapToGrid/>
              <w:spacing w:after="0" w:line="288" w:lineRule="auto"/>
              <w:jc w:val="center"/>
              <w:rPr>
                <w:rFonts w:hint="default" w:ascii="宋体" w:hAnsi="宋体" w:eastAsia="宋体" w:cs="宋体"/>
                <w:color w:val="auto"/>
                <w:spacing w:val="4"/>
                <w:kern w:val="2"/>
                <w:sz w:val="21"/>
                <w:szCs w:val="21"/>
                <w:highlight w:val="none"/>
                <w:lang w:val="en-US"/>
              </w:rPr>
            </w:pPr>
            <w:r>
              <w:rPr>
                <w:rFonts w:hint="eastAsia" w:ascii="宋体" w:hAnsi="宋体" w:eastAsia="宋体" w:cs="宋体"/>
                <w:color w:val="auto"/>
                <w:spacing w:val="4"/>
                <w:kern w:val="2"/>
                <w:sz w:val="21"/>
                <w:szCs w:val="21"/>
                <w:highlight w:val="none"/>
                <w:lang w:val="en-US" w:eastAsia="zh-CN"/>
              </w:rPr>
              <w:t>≥98.0</w:t>
            </w:r>
          </w:p>
        </w:tc>
        <w:tc>
          <w:tcPr>
            <w:tcW w:w="1677" w:type="pct"/>
            <w:vAlign w:val="bottom"/>
          </w:tcPr>
          <w:p w14:paraId="23B0EC00">
            <w:pPr>
              <w:widowControl w:val="0"/>
              <w:adjustRightInd/>
              <w:snapToGrid/>
              <w:spacing w:after="0" w:line="288" w:lineRule="auto"/>
              <w:jc w:val="center"/>
              <w:rPr>
                <w:rFonts w:hint="eastAsia" w:ascii="宋体" w:hAnsi="宋体" w:eastAsia="宋体" w:cs="宋体"/>
                <w:color w:val="auto"/>
                <w:spacing w:val="4"/>
                <w:kern w:val="2"/>
                <w:sz w:val="21"/>
                <w:szCs w:val="21"/>
                <w:highlight w:val="none"/>
              </w:rPr>
            </w:pPr>
            <w:r>
              <w:rPr>
                <w:rFonts w:hint="eastAsia" w:ascii="宋体" w:hAnsi="宋体" w:eastAsia="宋体" w:cs="宋体"/>
                <w:color w:val="auto"/>
                <w:spacing w:val="4"/>
                <w:kern w:val="2"/>
                <w:sz w:val="21"/>
                <w:szCs w:val="21"/>
                <w:highlight w:val="none"/>
                <w:lang w:val="en-US" w:eastAsia="zh-CN"/>
              </w:rPr>
              <w:t>≥98.4</w:t>
            </w:r>
          </w:p>
        </w:tc>
      </w:tr>
      <w:tr w14:paraId="71CF42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jc w:val="center"/>
        </w:trPr>
        <w:tc>
          <w:tcPr>
            <w:tcW w:w="1629" w:type="pct"/>
            <w:vAlign w:val="bottom"/>
          </w:tcPr>
          <w:p w14:paraId="457469C5">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4"/>
                <w:kern w:val="2"/>
                <w:sz w:val="21"/>
                <w:szCs w:val="21"/>
                <w:highlight w:val="none"/>
              </w:rPr>
              <w:t>防护等</w:t>
            </w:r>
            <w:r>
              <w:rPr>
                <w:rFonts w:hint="eastAsia" w:ascii="宋体" w:hAnsi="宋体" w:eastAsia="宋体" w:cs="宋体"/>
                <w:color w:val="auto"/>
                <w:spacing w:val="3"/>
                <w:kern w:val="2"/>
                <w:sz w:val="21"/>
                <w:szCs w:val="21"/>
                <w:highlight w:val="none"/>
              </w:rPr>
              <w:t>级</w:t>
            </w:r>
          </w:p>
        </w:tc>
        <w:tc>
          <w:tcPr>
            <w:tcW w:w="3370" w:type="pct"/>
            <w:gridSpan w:val="2"/>
            <w:vAlign w:val="bottom"/>
          </w:tcPr>
          <w:p w14:paraId="0194DAB5">
            <w:pPr>
              <w:widowControl w:val="0"/>
              <w:adjustRightInd/>
              <w:snapToGrid/>
              <w:spacing w:after="0" w:line="288" w:lineRule="auto"/>
              <w:jc w:val="center"/>
              <w:rPr>
                <w:rFonts w:hint="eastAsia" w:ascii="宋体" w:hAnsi="宋体" w:eastAsia="宋体" w:cs="宋体"/>
                <w:color w:val="auto"/>
                <w:spacing w:val="-1"/>
                <w:kern w:val="2"/>
                <w:sz w:val="21"/>
                <w:szCs w:val="21"/>
                <w:highlight w:val="none"/>
              </w:rPr>
            </w:pPr>
            <w:r>
              <w:rPr>
                <w:rFonts w:hint="eastAsia" w:ascii="宋体" w:hAnsi="宋体" w:eastAsia="宋体" w:cs="宋体"/>
                <w:color w:val="auto"/>
                <w:spacing w:val="-1"/>
                <w:kern w:val="2"/>
                <w:sz w:val="21"/>
                <w:szCs w:val="21"/>
                <w:highlight w:val="none"/>
              </w:rPr>
              <w:t>I</w:t>
            </w:r>
            <w:r>
              <w:rPr>
                <w:rFonts w:hint="eastAsia" w:ascii="宋体" w:hAnsi="宋体" w:eastAsia="宋体" w:cs="宋体"/>
                <w:color w:val="auto"/>
                <w:kern w:val="2"/>
                <w:sz w:val="21"/>
                <w:szCs w:val="21"/>
                <w:highlight w:val="none"/>
              </w:rPr>
              <w:t>P</w:t>
            </w:r>
            <w:r>
              <w:rPr>
                <w:rFonts w:hint="eastAsia" w:ascii="宋体" w:hAnsi="宋体" w:eastAsia="宋体" w:cs="宋体"/>
                <w:color w:val="auto"/>
                <w:spacing w:val="-1"/>
                <w:kern w:val="2"/>
                <w:sz w:val="21"/>
                <w:szCs w:val="21"/>
                <w:highlight w:val="none"/>
              </w:rPr>
              <w:t>66</w:t>
            </w:r>
          </w:p>
        </w:tc>
      </w:tr>
      <w:tr w14:paraId="2C321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298F642F">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2"/>
                <w:kern w:val="2"/>
                <w:sz w:val="21"/>
                <w:szCs w:val="21"/>
                <w:highlight w:val="none"/>
              </w:rPr>
              <w:t>夜间自耗电</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2"/>
                <w:kern w:val="2"/>
                <w:sz w:val="21"/>
                <w:szCs w:val="21"/>
                <w:highlight w:val="none"/>
              </w:rPr>
              <w:t>W</w:t>
            </w:r>
            <w:r>
              <w:rPr>
                <w:rFonts w:hint="eastAsia" w:ascii="宋体" w:hAnsi="宋体" w:eastAsia="宋体" w:cs="宋体"/>
                <w:color w:val="auto"/>
                <w:kern w:val="2"/>
                <w:sz w:val="21"/>
                <w:szCs w:val="21"/>
                <w:highlight w:val="none"/>
              </w:rPr>
              <w:t>)</w:t>
            </w:r>
          </w:p>
        </w:tc>
        <w:tc>
          <w:tcPr>
            <w:tcW w:w="3370" w:type="pct"/>
            <w:gridSpan w:val="2"/>
            <w:vAlign w:val="bottom"/>
          </w:tcPr>
          <w:p w14:paraId="0818EDBB">
            <w:pPr>
              <w:widowControl w:val="0"/>
              <w:adjustRightInd/>
              <w:snapToGrid/>
              <w:spacing w:after="0" w:line="288" w:lineRule="auto"/>
              <w:jc w:val="center"/>
              <w:rPr>
                <w:rFonts w:hint="eastAsia" w:ascii="宋体" w:hAnsi="宋体" w:eastAsia="宋体" w:cs="宋体"/>
                <w:color w:val="auto"/>
                <w:spacing w:val="-7"/>
                <w:kern w:val="2"/>
                <w:position w:val="1"/>
                <w:sz w:val="21"/>
                <w:szCs w:val="21"/>
                <w:highlight w:val="none"/>
              </w:rPr>
            </w:pPr>
            <w:r>
              <w:rPr>
                <w:rFonts w:hint="eastAsia" w:ascii="宋体" w:hAnsi="宋体" w:eastAsia="宋体" w:cs="宋体"/>
                <w:color w:val="auto"/>
                <w:spacing w:val="-7"/>
                <w:kern w:val="2"/>
                <w:position w:val="1"/>
                <w:sz w:val="21"/>
                <w:szCs w:val="21"/>
                <w:highlight w:val="none"/>
              </w:rPr>
              <w:t>≤</w:t>
            </w:r>
            <w:r>
              <w:rPr>
                <w:rFonts w:hint="eastAsia" w:ascii="宋体" w:hAnsi="宋体" w:eastAsia="宋体" w:cs="宋体"/>
                <w:color w:val="auto"/>
                <w:spacing w:val="-5"/>
                <w:kern w:val="2"/>
                <w:position w:val="1"/>
                <w:sz w:val="21"/>
                <w:szCs w:val="21"/>
                <w:highlight w:val="none"/>
              </w:rPr>
              <w:t>4</w:t>
            </w:r>
          </w:p>
        </w:tc>
      </w:tr>
      <w:tr w14:paraId="483E4B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jc w:val="center"/>
        </w:trPr>
        <w:tc>
          <w:tcPr>
            <w:tcW w:w="1629" w:type="pct"/>
            <w:vAlign w:val="bottom"/>
          </w:tcPr>
          <w:p w14:paraId="76A91C07">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8"/>
                <w:kern w:val="2"/>
                <w:sz w:val="21"/>
                <w:szCs w:val="21"/>
                <w:highlight w:val="none"/>
                <w:lang w:val="en-US" w:eastAsia="zh-CN"/>
              </w:rPr>
              <w:t>工作</w:t>
            </w:r>
            <w:r>
              <w:rPr>
                <w:rFonts w:hint="eastAsia" w:ascii="宋体" w:hAnsi="宋体" w:eastAsia="宋体" w:cs="宋体"/>
                <w:color w:val="auto"/>
                <w:spacing w:val="8"/>
                <w:kern w:val="2"/>
                <w:sz w:val="21"/>
                <w:szCs w:val="21"/>
                <w:highlight w:val="none"/>
              </w:rPr>
              <w:t>温度</w:t>
            </w:r>
            <w:r>
              <w:rPr>
                <w:rFonts w:hint="eastAsia" w:ascii="宋体" w:hAnsi="宋体" w:eastAsia="宋体" w:cs="宋体"/>
                <w:color w:val="auto"/>
                <w:kern w:val="2"/>
                <w:sz w:val="21"/>
                <w:szCs w:val="21"/>
                <w:highlight w:val="none"/>
              </w:rPr>
              <w:t>(</w:t>
            </w:r>
            <w:r>
              <w:rPr>
                <w:rFonts w:hint="eastAsia" w:ascii="宋体" w:hAnsi="宋体" w:eastAsia="宋体" w:cs="宋体"/>
                <w:color w:val="auto"/>
                <w:spacing w:val="8"/>
                <w:kern w:val="2"/>
                <w:sz w:val="21"/>
                <w:szCs w:val="21"/>
                <w:highlight w:val="none"/>
              </w:rPr>
              <w:t>℃</w:t>
            </w:r>
            <w:r>
              <w:rPr>
                <w:rFonts w:hint="eastAsia" w:ascii="宋体" w:hAnsi="宋体" w:eastAsia="宋体" w:cs="宋体"/>
                <w:color w:val="auto"/>
                <w:kern w:val="2"/>
                <w:sz w:val="21"/>
                <w:szCs w:val="21"/>
                <w:highlight w:val="none"/>
              </w:rPr>
              <w:t>)</w:t>
            </w:r>
          </w:p>
        </w:tc>
        <w:tc>
          <w:tcPr>
            <w:tcW w:w="3370" w:type="pct"/>
            <w:gridSpan w:val="2"/>
            <w:vAlign w:val="bottom"/>
          </w:tcPr>
          <w:p w14:paraId="104E9CE4">
            <w:pPr>
              <w:widowControl w:val="0"/>
              <w:adjustRightInd/>
              <w:snapToGrid/>
              <w:spacing w:after="0" w:line="288" w:lineRule="auto"/>
              <w:jc w:val="center"/>
              <w:rPr>
                <w:rFonts w:hint="eastAsia" w:ascii="宋体" w:hAnsi="宋体" w:eastAsia="宋体" w:cs="宋体"/>
                <w:color w:val="auto"/>
                <w:spacing w:val="4"/>
                <w:kern w:val="2"/>
                <w:position w:val="1"/>
                <w:sz w:val="21"/>
                <w:szCs w:val="21"/>
                <w:highlight w:val="none"/>
              </w:rPr>
            </w:pPr>
            <w:r>
              <w:rPr>
                <w:rFonts w:hint="eastAsia" w:ascii="宋体" w:hAnsi="宋体" w:eastAsia="宋体" w:cs="宋体"/>
                <w:color w:val="auto"/>
                <w:spacing w:val="4"/>
                <w:kern w:val="2"/>
                <w:position w:val="1"/>
                <w:sz w:val="21"/>
                <w:szCs w:val="21"/>
                <w:highlight w:val="none"/>
              </w:rPr>
              <w:t>-</w:t>
            </w:r>
            <w:r>
              <w:rPr>
                <w:rFonts w:hint="eastAsia" w:ascii="宋体" w:hAnsi="宋体" w:eastAsia="宋体" w:cs="宋体"/>
                <w:color w:val="auto"/>
                <w:spacing w:val="4"/>
                <w:kern w:val="2"/>
                <w:position w:val="1"/>
                <w:sz w:val="21"/>
                <w:szCs w:val="21"/>
                <w:highlight w:val="none"/>
                <w:lang w:val="en-US" w:eastAsia="zh-CN"/>
              </w:rPr>
              <w:t xml:space="preserve">25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4"/>
                <w:kern w:val="2"/>
                <w:position w:val="1"/>
                <w:sz w:val="21"/>
                <w:szCs w:val="21"/>
                <w:highlight w:val="none"/>
              </w:rPr>
              <w:t>6</w:t>
            </w:r>
            <w:r>
              <w:rPr>
                <w:rFonts w:hint="eastAsia" w:ascii="宋体" w:hAnsi="宋体" w:eastAsia="宋体" w:cs="宋体"/>
                <w:color w:val="auto"/>
                <w:spacing w:val="3"/>
                <w:kern w:val="2"/>
                <w:position w:val="1"/>
                <w:sz w:val="21"/>
                <w:szCs w:val="21"/>
                <w:highlight w:val="none"/>
              </w:rPr>
              <w:t>0</w:t>
            </w:r>
          </w:p>
        </w:tc>
      </w:tr>
      <w:tr w14:paraId="0910E1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420D5075">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rPr>
              <w:t>冷却方式</w:t>
            </w:r>
          </w:p>
        </w:tc>
        <w:tc>
          <w:tcPr>
            <w:tcW w:w="3370" w:type="pct"/>
            <w:gridSpan w:val="2"/>
            <w:vAlign w:val="bottom"/>
          </w:tcPr>
          <w:p w14:paraId="1F8BD330">
            <w:pPr>
              <w:widowControl w:val="0"/>
              <w:adjustRightInd/>
              <w:snapToGrid/>
              <w:spacing w:after="0" w:line="288" w:lineRule="auto"/>
              <w:jc w:val="center"/>
              <w:rPr>
                <w:rFonts w:hint="eastAsia" w:ascii="宋体" w:hAnsi="宋体" w:eastAsia="宋体" w:cs="宋体"/>
                <w:color w:val="auto"/>
                <w:spacing w:val="6"/>
                <w:kern w:val="2"/>
                <w:sz w:val="21"/>
                <w:szCs w:val="21"/>
                <w:highlight w:val="none"/>
              </w:rPr>
            </w:pPr>
            <w:r>
              <w:rPr>
                <w:rFonts w:hint="eastAsia" w:ascii="宋体" w:hAnsi="宋体" w:eastAsia="宋体" w:cs="宋体"/>
                <w:color w:val="auto"/>
                <w:spacing w:val="6"/>
                <w:kern w:val="2"/>
                <w:sz w:val="21"/>
                <w:szCs w:val="21"/>
                <w:highlight w:val="none"/>
              </w:rPr>
              <w:t>智能风冷</w:t>
            </w:r>
          </w:p>
        </w:tc>
      </w:tr>
      <w:tr w14:paraId="15187C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461F9145">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7"/>
                <w:kern w:val="2"/>
                <w:sz w:val="21"/>
                <w:szCs w:val="21"/>
                <w:highlight w:val="none"/>
              </w:rPr>
              <w:t>允许相对湿度</w:t>
            </w:r>
          </w:p>
        </w:tc>
        <w:tc>
          <w:tcPr>
            <w:tcW w:w="3370" w:type="pct"/>
            <w:gridSpan w:val="2"/>
            <w:vAlign w:val="bottom"/>
          </w:tcPr>
          <w:p w14:paraId="5AE2D2A6">
            <w:pPr>
              <w:widowControl w:val="0"/>
              <w:adjustRightInd/>
              <w:snapToGrid/>
              <w:spacing w:after="0" w:line="288" w:lineRule="auto"/>
              <w:jc w:val="center"/>
              <w:rPr>
                <w:rFonts w:hint="eastAsia" w:ascii="宋体" w:hAnsi="宋体" w:eastAsia="宋体" w:cs="宋体"/>
                <w:color w:val="auto"/>
                <w:spacing w:val="8"/>
                <w:kern w:val="2"/>
                <w:sz w:val="21"/>
                <w:szCs w:val="21"/>
                <w:highlight w:val="none"/>
              </w:rPr>
            </w:pPr>
            <w:r>
              <w:rPr>
                <w:rFonts w:hint="eastAsia" w:ascii="宋体" w:hAnsi="宋体" w:eastAsia="宋体" w:cs="宋体"/>
                <w:color w:val="auto"/>
                <w:spacing w:val="8"/>
                <w:kern w:val="2"/>
                <w:sz w:val="21"/>
                <w:szCs w:val="21"/>
                <w:highlight w:val="none"/>
              </w:rPr>
              <w:t>0</w:t>
            </w:r>
            <w:r>
              <w:rPr>
                <w:rFonts w:hint="eastAsia" w:ascii="宋体" w:hAnsi="宋体" w:eastAsia="宋体" w:cs="宋体"/>
                <w:color w:val="auto"/>
                <w:spacing w:val="8"/>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lang w:val="en-US" w:eastAsia="zh-CN"/>
              </w:rPr>
              <w:t>⁓</w:t>
            </w:r>
            <w:r>
              <w:rPr>
                <w:rFonts w:hint="eastAsia" w:ascii="宋体" w:hAnsi="宋体" w:eastAsia="宋体" w:cs="宋体"/>
                <w:color w:val="auto"/>
                <w:spacing w:val="5"/>
                <w:kern w:val="2"/>
                <w:sz w:val="21"/>
                <w:szCs w:val="21"/>
                <w:highlight w:val="none"/>
              </w:rPr>
              <w:t>100%</w:t>
            </w:r>
            <w:r>
              <w:rPr>
                <w:rFonts w:hint="eastAsia" w:ascii="宋体" w:hAnsi="宋体" w:eastAsia="宋体" w:cs="宋体"/>
                <w:color w:val="auto"/>
                <w:spacing w:val="5"/>
                <w:kern w:val="2"/>
                <w:sz w:val="21"/>
                <w:szCs w:val="21"/>
                <w:highlight w:val="none"/>
                <w:lang w:val="en-US" w:eastAsia="zh-CN"/>
              </w:rPr>
              <w:t xml:space="preserve"> </w:t>
            </w:r>
            <w:r>
              <w:rPr>
                <w:rFonts w:hint="eastAsia" w:ascii="宋体" w:hAnsi="宋体" w:eastAsia="宋体" w:cs="宋体"/>
                <w:color w:val="auto"/>
                <w:spacing w:val="5"/>
                <w:kern w:val="2"/>
                <w:sz w:val="21"/>
                <w:szCs w:val="21"/>
                <w:highlight w:val="none"/>
              </w:rPr>
              <w:t>无冷凝</w:t>
            </w:r>
          </w:p>
        </w:tc>
      </w:tr>
      <w:tr w14:paraId="0D28B4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jc w:val="center"/>
        </w:trPr>
        <w:tc>
          <w:tcPr>
            <w:tcW w:w="1629" w:type="pct"/>
            <w:vAlign w:val="bottom"/>
          </w:tcPr>
          <w:p w14:paraId="53ABFD35">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2"/>
                <w:kern w:val="2"/>
                <w:sz w:val="21"/>
                <w:szCs w:val="21"/>
                <w:highlight w:val="none"/>
              </w:rPr>
              <w:t>显示</w:t>
            </w:r>
          </w:p>
        </w:tc>
        <w:tc>
          <w:tcPr>
            <w:tcW w:w="3370" w:type="pct"/>
            <w:gridSpan w:val="2"/>
            <w:vAlign w:val="bottom"/>
          </w:tcPr>
          <w:p w14:paraId="6EF58C94">
            <w:pPr>
              <w:widowControl w:val="0"/>
              <w:adjustRightInd/>
              <w:snapToGrid/>
              <w:spacing w:after="0" w:line="288" w:lineRule="auto"/>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LED</w:t>
            </w:r>
            <w:r>
              <w:rPr>
                <w:rFonts w:hint="eastAsia" w:ascii="宋体" w:hAnsi="宋体" w:eastAsia="宋体" w:cs="宋体"/>
                <w:color w:val="auto"/>
                <w:spacing w:val="4"/>
                <w:kern w:val="2"/>
                <w:sz w:val="21"/>
                <w:szCs w:val="21"/>
                <w:highlight w:val="none"/>
              </w:rPr>
              <w:t>指示灯、WLAN+</w:t>
            </w:r>
            <w:r>
              <w:rPr>
                <w:rFonts w:hint="eastAsia" w:ascii="宋体" w:hAnsi="宋体" w:eastAsia="宋体" w:cs="宋体"/>
                <w:color w:val="auto"/>
                <w:kern w:val="2"/>
                <w:sz w:val="21"/>
                <w:szCs w:val="21"/>
                <w:highlight w:val="none"/>
              </w:rPr>
              <w:t>APP</w:t>
            </w:r>
          </w:p>
        </w:tc>
      </w:tr>
      <w:tr w14:paraId="4E626D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629" w:type="pct"/>
            <w:vAlign w:val="bottom"/>
          </w:tcPr>
          <w:p w14:paraId="21F424BF">
            <w:pPr>
              <w:widowControl w:val="0"/>
              <w:adjustRightInd/>
              <w:snapToGrid/>
              <w:spacing w:after="0" w:line="288" w:lineRule="auto"/>
              <w:jc w:val="center"/>
              <w:rPr>
                <w:rFonts w:ascii="宋体" w:hAnsi="宋体" w:eastAsia="宋体" w:cs="宋体"/>
                <w:color w:val="auto"/>
                <w:kern w:val="2"/>
                <w:sz w:val="21"/>
                <w:szCs w:val="21"/>
                <w:highlight w:val="none"/>
              </w:rPr>
            </w:pPr>
            <w:r>
              <w:rPr>
                <w:rFonts w:hint="eastAsia" w:ascii="宋体" w:hAnsi="宋体" w:eastAsia="宋体" w:cs="宋体"/>
                <w:color w:val="auto"/>
                <w:spacing w:val="9"/>
                <w:kern w:val="2"/>
                <w:sz w:val="21"/>
                <w:szCs w:val="21"/>
                <w:highlight w:val="none"/>
              </w:rPr>
              <w:t>通</w:t>
            </w:r>
            <w:r>
              <w:rPr>
                <w:rFonts w:hint="eastAsia" w:ascii="宋体" w:hAnsi="宋体" w:eastAsia="宋体" w:cs="宋体"/>
                <w:color w:val="auto"/>
                <w:spacing w:val="7"/>
                <w:kern w:val="2"/>
                <w:sz w:val="21"/>
                <w:szCs w:val="21"/>
                <w:highlight w:val="none"/>
              </w:rPr>
              <w:t>讯方式</w:t>
            </w:r>
          </w:p>
        </w:tc>
        <w:tc>
          <w:tcPr>
            <w:tcW w:w="3370" w:type="pct"/>
            <w:gridSpan w:val="2"/>
            <w:shd w:val="clear" w:color="auto" w:fill="auto"/>
            <w:vAlign w:val="bottom"/>
          </w:tcPr>
          <w:p w14:paraId="6D611725">
            <w:pPr>
              <w:widowControl w:val="0"/>
              <w:adjustRightInd/>
              <w:snapToGrid/>
              <w:spacing w:after="0" w:line="288" w:lineRule="auto"/>
              <w:jc w:val="center"/>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RS</w:t>
            </w:r>
            <w:r>
              <w:rPr>
                <w:rFonts w:hint="eastAsia" w:ascii="宋体" w:hAnsi="宋体" w:eastAsia="宋体" w:cs="宋体"/>
                <w:color w:val="auto"/>
                <w:spacing w:val="17"/>
                <w:kern w:val="2"/>
                <w:sz w:val="21"/>
                <w:szCs w:val="21"/>
                <w:highlight w:val="none"/>
              </w:rPr>
              <w:t>4</w:t>
            </w:r>
            <w:r>
              <w:rPr>
                <w:rFonts w:hint="eastAsia" w:ascii="宋体" w:hAnsi="宋体" w:eastAsia="宋体" w:cs="宋体"/>
                <w:color w:val="auto"/>
                <w:spacing w:val="15"/>
                <w:kern w:val="2"/>
                <w:sz w:val="21"/>
                <w:szCs w:val="21"/>
                <w:highlight w:val="none"/>
              </w:rPr>
              <w:t>85、</w:t>
            </w:r>
            <w:r>
              <w:rPr>
                <w:rFonts w:hint="eastAsia" w:ascii="宋体" w:hAnsi="宋体" w:eastAsia="宋体" w:cs="宋体"/>
                <w:color w:val="auto"/>
                <w:spacing w:val="-1"/>
                <w:kern w:val="2"/>
                <w:sz w:val="21"/>
                <w:szCs w:val="21"/>
                <w:highlight w:val="none"/>
              </w:rPr>
              <w:t>4G</w:t>
            </w:r>
            <w:r>
              <w:rPr>
                <w:rFonts w:hint="eastAsia" w:ascii="宋体" w:hAnsi="宋体" w:eastAsia="宋体" w:cs="宋体"/>
                <w:color w:val="auto"/>
                <w:spacing w:val="6"/>
                <w:kern w:val="2"/>
                <w:sz w:val="21"/>
                <w:szCs w:val="21"/>
                <w:highlight w:val="none"/>
              </w:rPr>
              <w:t>智能通讯棒模块</w:t>
            </w:r>
            <w:r>
              <w:rPr>
                <w:rFonts w:hint="eastAsia" w:ascii="宋体" w:hAnsi="宋体" w:eastAsia="宋体" w:cs="宋体"/>
                <w:color w:val="auto"/>
                <w:spacing w:val="6"/>
                <w:kern w:val="2"/>
                <w:sz w:val="21"/>
                <w:szCs w:val="21"/>
                <w:highlight w:val="none"/>
                <w:lang w:eastAsia="zh-CN"/>
              </w:rPr>
              <w:t>（</w:t>
            </w:r>
            <w:r>
              <w:rPr>
                <w:rFonts w:hint="eastAsia" w:ascii="宋体" w:hAnsi="宋体" w:eastAsia="宋体" w:cs="宋体"/>
                <w:color w:val="auto"/>
                <w:spacing w:val="6"/>
                <w:kern w:val="2"/>
                <w:sz w:val="21"/>
                <w:szCs w:val="21"/>
                <w:highlight w:val="none"/>
                <w:lang w:val="en-US" w:eastAsia="zh-CN"/>
              </w:rPr>
              <w:t>棒</w:t>
            </w:r>
            <w:r>
              <w:rPr>
                <w:rFonts w:hint="eastAsia" w:ascii="宋体" w:hAnsi="宋体" w:eastAsia="宋体" w:cs="宋体"/>
                <w:color w:val="auto"/>
                <w:spacing w:val="6"/>
                <w:kern w:val="2"/>
                <w:sz w:val="21"/>
                <w:szCs w:val="21"/>
                <w:highlight w:val="none"/>
                <w:lang w:eastAsia="zh-CN"/>
              </w:rPr>
              <w:t>）</w:t>
            </w:r>
          </w:p>
        </w:tc>
      </w:tr>
    </w:tbl>
    <w:p w14:paraId="633417A5">
      <w:pPr>
        <w:widowControl w:val="0"/>
        <w:numPr>
          <w:ilvl w:val="0"/>
          <w:numId w:val="0"/>
        </w:numPr>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rPr>
        <w:t>配置的并网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必须具备</w:t>
      </w:r>
      <w:r>
        <w:rPr>
          <w:rFonts w:hint="eastAsia" w:ascii="宋体" w:hAnsi="宋体" w:eastAsia="宋体" w:cs="宋体"/>
          <w:color w:val="auto"/>
          <w:kern w:val="2"/>
          <w:sz w:val="21"/>
          <w:szCs w:val="21"/>
          <w:highlight w:val="none"/>
        </w:rPr>
        <w:t>最大功率跟踪、防组件PID（电势诱导衰减）效应</w:t>
      </w:r>
      <w:r>
        <w:rPr>
          <w:rFonts w:hint="eastAsia" w:ascii="宋体" w:hAnsi="宋体" w:eastAsia="宋体" w:cs="宋体"/>
          <w:color w:val="auto"/>
          <w:kern w:val="2"/>
          <w:sz w:val="21"/>
          <w:szCs w:val="21"/>
          <w:highlight w:val="none"/>
          <w:lang w:eastAsia="zh-CN"/>
        </w:rPr>
        <w:t>、谐振抑制、低电压穿越、</w:t>
      </w:r>
      <w:r>
        <w:rPr>
          <w:rFonts w:hint="eastAsia" w:ascii="宋体" w:hAnsi="宋体" w:eastAsia="宋体" w:cs="宋体"/>
          <w:color w:val="auto"/>
          <w:kern w:val="2"/>
          <w:sz w:val="21"/>
          <w:szCs w:val="21"/>
          <w:highlight w:val="none"/>
        </w:rPr>
        <w:t>绝缘阻抗检测、</w:t>
      </w:r>
      <w:r>
        <w:rPr>
          <w:rFonts w:hint="eastAsia" w:ascii="宋体" w:hAnsi="宋体" w:eastAsia="宋体" w:cs="宋体"/>
          <w:color w:val="auto"/>
          <w:kern w:val="2"/>
          <w:sz w:val="21"/>
          <w:szCs w:val="21"/>
          <w:highlight w:val="none"/>
          <w:lang w:val="en-US" w:eastAsia="zh-CN"/>
        </w:rPr>
        <w:t>组串故障检测、</w:t>
      </w:r>
      <w:r>
        <w:rPr>
          <w:rFonts w:hint="eastAsia" w:ascii="宋体" w:hAnsi="宋体" w:eastAsia="宋体" w:cs="宋体"/>
          <w:color w:val="auto"/>
          <w:kern w:val="2"/>
          <w:sz w:val="21"/>
          <w:szCs w:val="21"/>
          <w:highlight w:val="none"/>
        </w:rPr>
        <w:t>残余电流检测、交直流浪涌II级保护</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直流反接保护、交流短路保护、漏电流监测与保护、过压过流保护、过热过湿保护、电网相序保护</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并网保护、</w:t>
      </w:r>
      <w:r>
        <w:rPr>
          <w:rFonts w:hint="eastAsia" w:ascii="宋体" w:hAnsi="宋体" w:eastAsia="宋体" w:cs="宋体"/>
          <w:color w:val="auto"/>
          <w:kern w:val="2"/>
          <w:sz w:val="21"/>
          <w:szCs w:val="21"/>
          <w:highlight w:val="none"/>
          <w:lang w:eastAsia="zh-CN"/>
        </w:rPr>
        <w:t>电网异常保护</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温度保护、</w:t>
      </w:r>
      <w:r>
        <w:rPr>
          <w:rFonts w:hint="eastAsia" w:ascii="宋体" w:hAnsi="宋体" w:eastAsia="宋体" w:cs="宋体"/>
          <w:color w:val="auto"/>
          <w:kern w:val="2"/>
          <w:sz w:val="21"/>
          <w:szCs w:val="21"/>
          <w:highlight w:val="none"/>
        </w:rPr>
        <w:t>防孤岛</w:t>
      </w:r>
      <w:r>
        <w:rPr>
          <w:rFonts w:hint="eastAsia" w:ascii="宋体" w:hAnsi="宋体" w:eastAsia="宋体" w:cs="宋体"/>
          <w:color w:val="auto"/>
          <w:kern w:val="2"/>
          <w:sz w:val="21"/>
          <w:szCs w:val="21"/>
          <w:highlight w:val="none"/>
          <w:lang w:val="en-US" w:eastAsia="zh-CN"/>
        </w:rPr>
        <w:t>保护</w:t>
      </w:r>
      <w:r>
        <w:rPr>
          <w:rFonts w:hint="eastAsia" w:ascii="宋体" w:hAnsi="宋体" w:eastAsia="宋体" w:cs="宋体"/>
          <w:color w:val="auto"/>
          <w:kern w:val="2"/>
          <w:sz w:val="21"/>
          <w:szCs w:val="21"/>
          <w:highlight w:val="none"/>
        </w:rPr>
        <w:t>、直流开关</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电网监控等基本功能并可发出告警信号</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需</w:t>
      </w:r>
      <w:r>
        <w:rPr>
          <w:rFonts w:hint="eastAsia" w:ascii="宋体" w:hAnsi="宋体" w:eastAsia="宋体" w:cs="宋体"/>
          <w:color w:val="auto"/>
          <w:kern w:val="2"/>
          <w:sz w:val="21"/>
          <w:szCs w:val="21"/>
          <w:highlight w:val="none"/>
        </w:rPr>
        <w:t>具备良好的电气隔离性，整机符合国家相关标准。</w:t>
      </w:r>
    </w:p>
    <w:p w14:paraId="0B1B5FDE">
      <w:pPr>
        <w:widowControl w:val="0"/>
        <w:numPr>
          <w:ilvl w:val="0"/>
          <w:numId w:val="0"/>
        </w:numPr>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配置的并网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须</w:t>
      </w:r>
      <w:r>
        <w:rPr>
          <w:rFonts w:hint="eastAsia" w:ascii="宋体" w:hAnsi="宋体" w:eastAsia="宋体" w:cs="宋体"/>
          <w:color w:val="auto"/>
          <w:kern w:val="2"/>
          <w:sz w:val="21"/>
          <w:szCs w:val="21"/>
          <w:highlight w:val="none"/>
        </w:rPr>
        <w:t>可进行高精度组串检测及智能I-V曲线扫描诊断，</w:t>
      </w:r>
      <w:r>
        <w:rPr>
          <w:rFonts w:hint="eastAsia" w:ascii="宋体" w:hAnsi="宋体" w:eastAsia="宋体" w:cs="宋体"/>
          <w:color w:val="auto"/>
          <w:kern w:val="2"/>
          <w:sz w:val="21"/>
          <w:szCs w:val="21"/>
          <w:highlight w:val="none"/>
          <w:lang w:val="en-US" w:eastAsia="zh-CN"/>
        </w:rPr>
        <w:t>可</w:t>
      </w:r>
      <w:r>
        <w:rPr>
          <w:rFonts w:hint="eastAsia" w:ascii="宋体" w:hAnsi="宋体" w:eastAsia="宋体" w:cs="宋体"/>
          <w:color w:val="auto"/>
          <w:kern w:val="2"/>
          <w:sz w:val="21"/>
          <w:szCs w:val="21"/>
          <w:highlight w:val="none"/>
        </w:rPr>
        <w:t>精确定位异常组串</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方便后期运维。</w:t>
      </w:r>
    </w:p>
    <w:p w14:paraId="17D17220">
      <w:pPr>
        <w:widowControl w:val="0"/>
        <w:numPr>
          <w:ilvl w:val="0"/>
          <w:numId w:val="0"/>
        </w:numPr>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）所供并网逆变器输入必须能适配市场主流光伏组件（600Wp以上）电流输入；</w:t>
      </w:r>
    </w:p>
    <w:p w14:paraId="4F9AC084">
      <w:pPr>
        <w:widowControl w:val="0"/>
        <w:wordWrap w:val="0"/>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逆变器与光伏组件布置采用就近原则，</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逆变器对应的最近距离的光伏组串不能超过5m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接入光伏</w:t>
      </w:r>
      <w:r>
        <w:rPr>
          <w:rFonts w:hint="eastAsia" w:ascii="宋体" w:hAnsi="宋体" w:eastAsia="宋体" w:cs="宋体"/>
          <w:color w:val="auto"/>
          <w:kern w:val="2"/>
          <w:sz w:val="21"/>
          <w:szCs w:val="21"/>
          <w:highlight w:val="none"/>
          <w:lang w:eastAsia="zh-CN"/>
        </w:rPr>
        <w:t>组串</w:t>
      </w:r>
      <w:r>
        <w:rPr>
          <w:rFonts w:hint="eastAsia" w:ascii="宋体" w:hAnsi="宋体" w:eastAsia="宋体" w:cs="宋体"/>
          <w:color w:val="auto"/>
          <w:kern w:val="2"/>
          <w:sz w:val="21"/>
          <w:szCs w:val="21"/>
          <w:highlight w:val="none"/>
          <w:lang w:val="en-US" w:eastAsia="zh-CN"/>
        </w:rPr>
        <w:t>容量与配置并网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功率之间的</w:t>
      </w:r>
      <w:r>
        <w:rPr>
          <w:rFonts w:hint="eastAsia" w:ascii="宋体" w:hAnsi="宋体" w:eastAsia="宋体" w:cs="宋体"/>
          <w:b/>
          <w:bCs/>
          <w:color w:val="auto"/>
          <w:kern w:val="2"/>
          <w:sz w:val="21"/>
          <w:szCs w:val="21"/>
          <w:highlight w:val="none"/>
        </w:rPr>
        <w:t>容配比不得超过1.</w:t>
      </w:r>
      <w:r>
        <w:rPr>
          <w:rFonts w:hint="eastAsia" w:ascii="宋体" w:hAnsi="宋体" w:eastAsia="宋体" w:cs="宋体"/>
          <w:b/>
          <w:bCs/>
          <w:color w:val="auto"/>
          <w:kern w:val="2"/>
          <w:sz w:val="21"/>
          <w:szCs w:val="21"/>
          <w:highlight w:val="none"/>
          <w:lang w:val="en-US" w:eastAsia="zh-CN"/>
        </w:rPr>
        <w:t>15</w:t>
      </w:r>
      <w:r>
        <w:rPr>
          <w:rFonts w:hint="eastAsia" w:ascii="宋体" w:hAnsi="宋体" w:eastAsia="宋体" w:cs="宋体"/>
          <w:color w:val="auto"/>
          <w:kern w:val="2"/>
          <w:sz w:val="21"/>
          <w:szCs w:val="21"/>
          <w:highlight w:val="none"/>
        </w:rPr>
        <w:t>。</w:t>
      </w:r>
    </w:p>
    <w:p w14:paraId="584DBEA8">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承包单位负责并网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运输、卸货、吊装及保管，保管过程中按原包装存放并做好相应的防雨防倒防误撞等保护措施，开箱必须有监理在场旁站确认并网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完好，如开箱时有破损则需现场拍照取证，如有损坏需承担更换所需全部费用。</w:t>
      </w:r>
    </w:p>
    <w:p w14:paraId="36D11F52">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7）承包单位要对所供并网逆变器外表面板的清洁提供措施，不得有划伤、腐蚀斑点等缺陷；外壳采用经高质量表面处理的不生锈金属材料制作，耐候年限（不生锈、不腐蚀、机械强度满足使用要求）不低于25年。并网逆变器应有保护接地；运行时，打开柜门后，所有导电部件均应有防护措施以防止人手触及；其内的所有导线、电缆、线槽、线号套管等应使用阻燃型产品；</w:t>
      </w:r>
    </w:p>
    <w:p w14:paraId="1491EC83">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逆变器的布置方案</w:t>
      </w:r>
      <w:r>
        <w:rPr>
          <w:rFonts w:hint="eastAsia" w:ascii="宋体" w:hAnsi="宋体" w:eastAsia="宋体" w:cs="宋体"/>
          <w:color w:val="auto"/>
          <w:kern w:val="2"/>
          <w:sz w:val="21"/>
          <w:szCs w:val="21"/>
          <w:highlight w:val="none"/>
          <w:lang w:val="en-US" w:eastAsia="zh-CN"/>
        </w:rPr>
        <w:t>须提前与房屋业主进行确认，</w:t>
      </w:r>
      <w:r>
        <w:rPr>
          <w:rFonts w:hint="eastAsia" w:ascii="宋体" w:hAnsi="宋体" w:eastAsia="宋体" w:cs="宋体"/>
          <w:color w:val="auto"/>
          <w:kern w:val="2"/>
          <w:sz w:val="21"/>
          <w:szCs w:val="21"/>
          <w:highlight w:val="none"/>
        </w:rPr>
        <w:t>需</w:t>
      </w:r>
      <w:r>
        <w:rPr>
          <w:rFonts w:hint="eastAsia" w:ascii="宋体" w:hAnsi="宋体" w:eastAsia="宋体" w:cs="宋体"/>
          <w:color w:val="auto"/>
          <w:kern w:val="2"/>
          <w:sz w:val="21"/>
          <w:szCs w:val="21"/>
          <w:highlight w:val="none"/>
          <w:lang w:val="en-US" w:eastAsia="zh-CN"/>
        </w:rPr>
        <w:t>兼顾安全运维</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操作方便、避晒通</w:t>
      </w:r>
      <w:r>
        <w:rPr>
          <w:rFonts w:hint="eastAsia" w:ascii="宋体" w:hAnsi="宋体" w:eastAsia="宋体" w:cs="宋体"/>
          <w:color w:val="auto"/>
          <w:kern w:val="2"/>
          <w:sz w:val="21"/>
          <w:szCs w:val="21"/>
          <w:highlight w:val="none"/>
        </w:rPr>
        <w:t>风</w:t>
      </w:r>
      <w:r>
        <w:rPr>
          <w:rFonts w:hint="eastAsia" w:ascii="宋体" w:hAnsi="宋体" w:eastAsia="宋体" w:cs="宋体"/>
          <w:color w:val="auto"/>
          <w:kern w:val="2"/>
          <w:sz w:val="21"/>
          <w:szCs w:val="21"/>
          <w:highlight w:val="none"/>
          <w:lang w:eastAsia="zh-CN"/>
        </w:rPr>
        <w:t>、抗台风</w:t>
      </w:r>
      <w:r>
        <w:rPr>
          <w:rFonts w:hint="eastAsia" w:ascii="宋体" w:hAnsi="宋体" w:eastAsia="宋体" w:cs="宋体"/>
          <w:color w:val="auto"/>
          <w:kern w:val="2"/>
          <w:sz w:val="21"/>
          <w:szCs w:val="21"/>
          <w:highlight w:val="none"/>
        </w:rPr>
        <w:t>等因素</w:t>
      </w:r>
      <w:r>
        <w:rPr>
          <w:rFonts w:hint="eastAsia" w:ascii="宋体" w:hAnsi="宋体" w:eastAsia="宋体" w:cs="宋体"/>
          <w:color w:val="auto"/>
          <w:kern w:val="2"/>
          <w:sz w:val="21"/>
          <w:szCs w:val="21"/>
          <w:highlight w:val="none"/>
          <w:lang w:eastAsia="zh-CN"/>
        </w:rPr>
        <w:t>；不宜安装在彩钢瓦面上，</w:t>
      </w:r>
      <w:r>
        <w:rPr>
          <w:rFonts w:hint="eastAsia" w:ascii="宋体" w:hAnsi="宋体" w:eastAsia="宋体" w:cs="宋体"/>
          <w:color w:val="auto"/>
          <w:kern w:val="2"/>
          <w:sz w:val="21"/>
          <w:szCs w:val="21"/>
          <w:highlight w:val="none"/>
          <w:lang w:val="en-US" w:eastAsia="zh-CN"/>
        </w:rPr>
        <w:t>若是</w:t>
      </w:r>
      <w:r>
        <w:rPr>
          <w:rFonts w:hint="eastAsia" w:ascii="宋体" w:hAnsi="宋体" w:eastAsia="宋体" w:cs="宋体"/>
          <w:color w:val="auto"/>
          <w:kern w:val="2"/>
          <w:sz w:val="21"/>
          <w:szCs w:val="21"/>
          <w:highlight w:val="none"/>
        </w:rPr>
        <w:t>室外</w:t>
      </w:r>
      <w:r>
        <w:rPr>
          <w:rFonts w:hint="eastAsia" w:ascii="宋体" w:hAnsi="宋体" w:eastAsia="宋体" w:cs="宋体"/>
          <w:color w:val="auto"/>
          <w:kern w:val="2"/>
          <w:sz w:val="21"/>
          <w:szCs w:val="21"/>
          <w:highlight w:val="none"/>
          <w:lang w:val="en-US" w:eastAsia="zh-CN"/>
        </w:rPr>
        <w:t>安装</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逆变器上面</w:t>
      </w:r>
      <w:r>
        <w:rPr>
          <w:rFonts w:hint="eastAsia" w:ascii="宋体" w:hAnsi="宋体" w:eastAsia="宋体" w:cs="宋体"/>
          <w:color w:val="auto"/>
          <w:kern w:val="2"/>
          <w:sz w:val="21"/>
          <w:szCs w:val="21"/>
          <w:highlight w:val="none"/>
          <w:lang w:val="en-US" w:eastAsia="zh-CN"/>
        </w:rPr>
        <w:t>须加装304不锈钢挡</w:t>
      </w:r>
      <w:r>
        <w:rPr>
          <w:rFonts w:hint="eastAsia" w:ascii="宋体" w:hAnsi="宋体" w:eastAsia="宋体" w:cs="宋体"/>
          <w:color w:val="auto"/>
          <w:kern w:val="2"/>
          <w:sz w:val="21"/>
          <w:szCs w:val="21"/>
          <w:highlight w:val="none"/>
        </w:rPr>
        <w:t>雨遮阳蓬，避免烈日直射暴晒和雨水浸泡</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遮阳棚尺寸超出逆变器正面、侧面各≥0.5m（有条件时，正面遮阳棚宜≥1m），背部增加挡雨板（靠墙安装不需要），与逆变器上侧间距大于0.3m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若安装在经常有人员进出的场所，并网</w:t>
      </w:r>
      <w:r>
        <w:rPr>
          <w:rFonts w:hint="eastAsia" w:ascii="宋体" w:hAnsi="宋体" w:eastAsia="宋体" w:cs="宋体"/>
          <w:color w:val="auto"/>
          <w:kern w:val="2"/>
          <w:sz w:val="21"/>
          <w:szCs w:val="21"/>
          <w:highlight w:val="none"/>
        </w:rPr>
        <w:t>逆变器</w:t>
      </w:r>
      <w:r>
        <w:rPr>
          <w:rFonts w:hint="eastAsia" w:ascii="宋体" w:hAnsi="宋体" w:eastAsia="宋体" w:cs="宋体"/>
          <w:color w:val="auto"/>
          <w:kern w:val="2"/>
          <w:sz w:val="21"/>
          <w:szCs w:val="21"/>
          <w:highlight w:val="none"/>
          <w:lang w:val="en-US" w:eastAsia="zh-CN"/>
        </w:rPr>
        <w:t>须加装镀锌网格围屏，防止非专业人员误碰导致触电。</w:t>
      </w:r>
    </w:p>
    <w:p w14:paraId="377DFD3D">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逆变器的布置要留有足够的空间以便</w:t>
      </w:r>
      <w:r>
        <w:rPr>
          <w:rFonts w:hint="eastAsia" w:ascii="宋体" w:hAnsi="宋体" w:eastAsia="宋体" w:cs="宋体"/>
          <w:color w:val="auto"/>
          <w:kern w:val="2"/>
          <w:sz w:val="21"/>
          <w:szCs w:val="21"/>
          <w:highlight w:val="none"/>
          <w:lang w:val="en-US" w:eastAsia="zh-CN"/>
        </w:rPr>
        <w:t>后期更换</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上下留有50cm空间距离，两侧留有100cm以上空间距离</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同时离地安装高度要合适，以便观察读取LED显示与运维操作</w:t>
      </w:r>
      <w:r>
        <w:rPr>
          <w:rFonts w:hint="eastAsia" w:ascii="宋体" w:hAnsi="宋体" w:eastAsia="宋体" w:cs="宋体"/>
          <w:color w:val="auto"/>
          <w:kern w:val="2"/>
          <w:sz w:val="21"/>
          <w:szCs w:val="21"/>
          <w:highlight w:val="none"/>
        </w:rPr>
        <w:t>。</w:t>
      </w:r>
    </w:p>
    <w:p w14:paraId="069EDAA9">
      <w:pPr>
        <w:widowControl w:val="0"/>
        <w:wordWrap w:val="0"/>
        <w:adjustRightInd/>
        <w:snapToGrid/>
        <w:spacing w:after="0" w:line="288" w:lineRule="auto"/>
        <w:ind w:firstLine="420" w:firstLineChars="200"/>
        <w:jc w:val="both"/>
        <w:rPr>
          <w:rFonts w:hint="eastAsia"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每台</w:t>
      </w:r>
      <w:r>
        <w:rPr>
          <w:rFonts w:hint="eastAsia" w:ascii="宋体" w:hAnsi="宋体" w:eastAsia="宋体" w:cs="宋体"/>
          <w:color w:val="auto"/>
          <w:kern w:val="2"/>
          <w:sz w:val="21"/>
          <w:szCs w:val="21"/>
          <w:highlight w:val="none"/>
        </w:rPr>
        <w:t>并网逆变器</w:t>
      </w:r>
      <w:r>
        <w:rPr>
          <w:rFonts w:hint="eastAsia" w:ascii="宋体" w:hAnsi="宋体" w:eastAsia="宋体" w:cs="宋体"/>
          <w:color w:val="auto"/>
          <w:kern w:val="2"/>
          <w:sz w:val="21"/>
          <w:szCs w:val="21"/>
          <w:highlight w:val="none"/>
          <w:lang w:val="en-US" w:eastAsia="zh-CN"/>
        </w:rPr>
        <w:t>必须配置两具有效期内4kg干粉灭火器和红色不锈钢灭火器箱</w:t>
      </w:r>
      <w:r>
        <w:rPr>
          <w:rFonts w:hint="eastAsia" w:ascii="宋体" w:hAnsi="宋体" w:eastAsia="宋体" w:cs="宋体"/>
          <w:color w:val="auto"/>
          <w:kern w:val="2"/>
          <w:sz w:val="21"/>
          <w:szCs w:val="21"/>
          <w:highlight w:val="none"/>
        </w:rPr>
        <w:t>。</w:t>
      </w:r>
    </w:p>
    <w:p w14:paraId="157D4D28">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）支持RS</w:t>
      </w:r>
      <w:r>
        <w:rPr>
          <w:rFonts w:hint="eastAsia" w:ascii="宋体" w:hAnsi="宋体" w:eastAsia="宋体" w:cs="宋体"/>
          <w:color w:val="auto"/>
          <w:spacing w:val="17"/>
          <w:kern w:val="2"/>
          <w:sz w:val="21"/>
          <w:szCs w:val="21"/>
          <w:highlight w:val="none"/>
        </w:rPr>
        <w:t>4</w:t>
      </w:r>
      <w:r>
        <w:rPr>
          <w:rFonts w:hint="eastAsia" w:ascii="宋体" w:hAnsi="宋体" w:eastAsia="宋体" w:cs="宋体"/>
          <w:color w:val="auto"/>
          <w:spacing w:val="15"/>
          <w:kern w:val="2"/>
          <w:sz w:val="21"/>
          <w:szCs w:val="21"/>
          <w:highlight w:val="none"/>
        </w:rPr>
        <w:t>85、4</w:t>
      </w:r>
      <w:r>
        <w:rPr>
          <w:rFonts w:hint="eastAsia" w:ascii="宋体" w:hAnsi="宋体" w:eastAsia="宋体" w:cs="宋体"/>
          <w:color w:val="auto"/>
          <w:kern w:val="2"/>
          <w:sz w:val="21"/>
          <w:szCs w:val="21"/>
          <w:highlight w:val="none"/>
        </w:rPr>
        <w:t>G</w:t>
      </w:r>
      <w:r>
        <w:rPr>
          <w:rFonts w:hint="eastAsia" w:ascii="宋体" w:hAnsi="宋体" w:eastAsia="宋体" w:cs="宋体"/>
          <w:color w:val="auto"/>
          <w:kern w:val="2"/>
          <w:sz w:val="21"/>
          <w:szCs w:val="21"/>
          <w:highlight w:val="none"/>
          <w:lang w:val="en-US" w:eastAsia="zh-CN"/>
        </w:rPr>
        <w:t>通讯模块</w:t>
      </w:r>
      <w:r>
        <w:rPr>
          <w:rFonts w:hint="eastAsia" w:ascii="宋体" w:hAnsi="宋体" w:eastAsia="宋体" w:cs="宋体"/>
          <w:color w:val="auto"/>
          <w:kern w:val="2"/>
          <w:sz w:val="21"/>
          <w:szCs w:val="21"/>
          <w:highlight w:val="none"/>
        </w:rPr>
        <w:t>通讯，项目通电并网后</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w:t>
      </w:r>
      <w:r>
        <w:rPr>
          <w:rFonts w:hint="eastAsia" w:ascii="宋体" w:hAnsi="宋体" w:eastAsia="宋体" w:cs="宋体"/>
          <w:color w:val="auto"/>
          <w:kern w:val="2"/>
          <w:sz w:val="21"/>
          <w:szCs w:val="21"/>
          <w:highlight w:val="none"/>
          <w:lang w:val="en-US" w:eastAsia="zh-CN"/>
        </w:rPr>
        <w:t>必须</w:t>
      </w:r>
      <w:r>
        <w:rPr>
          <w:rFonts w:hint="eastAsia" w:ascii="宋体" w:hAnsi="宋体" w:eastAsia="宋体" w:cs="宋体"/>
          <w:color w:val="auto"/>
          <w:kern w:val="2"/>
          <w:sz w:val="21"/>
          <w:szCs w:val="21"/>
          <w:highlight w:val="none"/>
        </w:rPr>
        <w:t>负责</w:t>
      </w:r>
      <w:r>
        <w:rPr>
          <w:rFonts w:hint="eastAsia" w:ascii="宋体" w:hAnsi="宋体" w:eastAsia="宋体" w:cs="宋体"/>
          <w:color w:val="auto"/>
          <w:kern w:val="2"/>
          <w:sz w:val="21"/>
          <w:szCs w:val="21"/>
          <w:highlight w:val="none"/>
          <w:lang w:val="en-US" w:eastAsia="zh-CN"/>
        </w:rPr>
        <w:t>为运营部门运维人员</w:t>
      </w:r>
      <w:r>
        <w:rPr>
          <w:rFonts w:hint="eastAsia" w:ascii="宋体" w:hAnsi="宋体" w:eastAsia="宋体" w:cs="宋体"/>
          <w:color w:val="auto"/>
          <w:kern w:val="2"/>
          <w:sz w:val="21"/>
          <w:szCs w:val="21"/>
          <w:highlight w:val="none"/>
        </w:rPr>
        <w:t>注册APP监控软件，并将光伏电站现场实时监测数据联通传送至东莞市新锋新能源有限公司数据控制中心PC端，实现集中监控。</w:t>
      </w:r>
    </w:p>
    <w:p w14:paraId="3094C76D">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12</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并网逆变器的设计与配置必须满足南网及</w:t>
      </w:r>
      <w:r>
        <w:rPr>
          <w:rFonts w:hint="eastAsia" w:ascii="宋体" w:hAnsi="宋体" w:eastAsia="宋体" w:cs="宋体"/>
          <w:color w:val="auto"/>
          <w:kern w:val="2"/>
          <w:sz w:val="21"/>
          <w:szCs w:val="21"/>
          <w:highlight w:val="none"/>
        </w:rPr>
        <w:t>当地供电部门</w:t>
      </w:r>
      <w:r>
        <w:rPr>
          <w:rFonts w:hint="eastAsia" w:ascii="宋体" w:hAnsi="宋体" w:eastAsia="宋体" w:cs="宋体"/>
          <w:color w:val="auto"/>
          <w:kern w:val="2"/>
          <w:sz w:val="21"/>
          <w:szCs w:val="21"/>
          <w:highlight w:val="none"/>
          <w:lang w:val="en-US" w:eastAsia="zh-CN"/>
        </w:rPr>
        <w:t>对</w:t>
      </w:r>
      <w:r>
        <w:rPr>
          <w:rFonts w:hint="eastAsia" w:ascii="宋体" w:hAnsi="宋体" w:eastAsia="宋体" w:cs="宋体"/>
          <w:color w:val="auto"/>
          <w:kern w:val="2"/>
          <w:sz w:val="21"/>
          <w:szCs w:val="21"/>
          <w:highlight w:val="none"/>
        </w:rPr>
        <w:t>分布式光伏发电</w:t>
      </w:r>
      <w:r>
        <w:rPr>
          <w:rFonts w:hint="eastAsia" w:ascii="宋体" w:hAnsi="宋体" w:eastAsia="宋体" w:cs="宋体"/>
          <w:color w:val="auto"/>
          <w:kern w:val="2"/>
          <w:sz w:val="21"/>
          <w:szCs w:val="21"/>
          <w:highlight w:val="none"/>
          <w:lang w:val="en-US" w:eastAsia="zh-CN"/>
        </w:rPr>
        <w:t>项目并网所</w:t>
      </w:r>
      <w:r>
        <w:rPr>
          <w:rFonts w:hint="eastAsia" w:ascii="宋体" w:hAnsi="宋体" w:eastAsia="宋体" w:cs="宋体"/>
          <w:color w:val="auto"/>
          <w:kern w:val="2"/>
          <w:sz w:val="21"/>
          <w:szCs w:val="21"/>
          <w:highlight w:val="none"/>
        </w:rPr>
        <w:t>具备</w:t>
      </w:r>
      <w:r>
        <w:rPr>
          <w:rFonts w:hint="eastAsia" w:ascii="宋体" w:hAnsi="宋体" w:eastAsia="宋体" w:cs="宋体"/>
          <w:color w:val="auto"/>
          <w:kern w:val="2"/>
          <w:sz w:val="21"/>
          <w:szCs w:val="21"/>
          <w:highlight w:val="none"/>
          <w:lang w:val="en-US" w:eastAsia="zh-CN"/>
        </w:rPr>
        <w:t>的</w:t>
      </w:r>
      <w:r>
        <w:rPr>
          <w:rFonts w:hint="eastAsia" w:ascii="宋体" w:hAnsi="宋体" w:eastAsia="宋体" w:cs="宋体"/>
          <w:b/>
          <w:bCs/>
          <w:color w:val="auto"/>
          <w:kern w:val="2"/>
          <w:sz w:val="21"/>
          <w:szCs w:val="21"/>
          <w:highlight w:val="none"/>
        </w:rPr>
        <w:t>“四可”</w:t>
      </w:r>
      <w:r>
        <w:rPr>
          <w:rFonts w:hint="eastAsia" w:ascii="宋体" w:hAnsi="宋体" w:eastAsia="宋体" w:cs="宋体"/>
          <w:color w:val="auto"/>
          <w:kern w:val="2"/>
          <w:sz w:val="21"/>
          <w:szCs w:val="21"/>
          <w:highlight w:val="none"/>
        </w:rPr>
        <w:t>（可观、可测、可调、可控）能力</w:t>
      </w:r>
      <w:r>
        <w:rPr>
          <w:rFonts w:hint="eastAsia" w:ascii="宋体" w:hAnsi="宋体" w:eastAsia="宋体" w:cs="宋体"/>
          <w:color w:val="auto"/>
          <w:kern w:val="2"/>
          <w:sz w:val="21"/>
          <w:szCs w:val="21"/>
          <w:highlight w:val="none"/>
          <w:lang w:val="en-US" w:eastAsia="zh-CN"/>
        </w:rPr>
        <w:t>的要求</w:t>
      </w:r>
      <w:r>
        <w:rPr>
          <w:rFonts w:hint="eastAsia" w:ascii="宋体" w:hAnsi="宋体" w:eastAsia="宋体" w:cs="宋体"/>
          <w:color w:val="auto"/>
          <w:kern w:val="2"/>
          <w:sz w:val="21"/>
          <w:szCs w:val="21"/>
          <w:highlight w:val="none"/>
        </w:rPr>
        <w:t>。</w:t>
      </w:r>
    </w:p>
    <w:p w14:paraId="633B5973">
      <w:pPr>
        <w:widowControl w:val="0"/>
        <w:wordWrap w:val="0"/>
        <w:adjustRightInd/>
        <w:snapToGrid/>
        <w:spacing w:after="0" w:line="288" w:lineRule="auto"/>
        <w:ind w:firstLine="420" w:firstLineChars="200"/>
        <w:jc w:val="both"/>
        <w:rPr>
          <w:color w:val="auto"/>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13</w:t>
      </w:r>
      <w:r>
        <w:rPr>
          <w:rFonts w:hint="eastAsia" w:ascii="宋体" w:hAnsi="宋体" w:eastAsia="宋体" w:cs="宋体"/>
          <w:color w:val="auto"/>
          <w:kern w:val="2"/>
          <w:sz w:val="21"/>
          <w:szCs w:val="21"/>
          <w:highlight w:val="none"/>
        </w:rPr>
        <w:t>）并网逆变器</w:t>
      </w:r>
      <w:r>
        <w:rPr>
          <w:rFonts w:hint="eastAsia" w:ascii="宋体" w:hAnsi="宋体" w:eastAsia="宋体" w:cs="宋体"/>
          <w:color w:val="auto"/>
          <w:kern w:val="2"/>
          <w:sz w:val="21"/>
          <w:szCs w:val="21"/>
          <w:highlight w:val="none"/>
          <w:lang w:val="en-US" w:eastAsia="zh-CN"/>
        </w:rPr>
        <w:t>安装完毕后贴上附有“东莞能源”LOGO的标签</w:t>
      </w:r>
      <w:r>
        <w:rPr>
          <w:rFonts w:hint="eastAsia" w:ascii="宋体" w:hAnsi="宋体" w:eastAsia="宋体" w:cs="宋体"/>
          <w:color w:val="auto"/>
          <w:kern w:val="2"/>
          <w:sz w:val="21"/>
          <w:szCs w:val="21"/>
          <w:highlight w:val="none"/>
        </w:rPr>
        <w:t>。</w:t>
      </w:r>
    </w:p>
    <w:p w14:paraId="6BC15A42">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14</w:t>
      </w:r>
      <w:r>
        <w:rPr>
          <w:rFonts w:hint="eastAsia" w:ascii="宋体" w:hAnsi="宋体" w:eastAsia="宋体" w:cs="宋体"/>
          <w:color w:val="auto"/>
          <w:kern w:val="2"/>
          <w:sz w:val="21"/>
          <w:szCs w:val="21"/>
          <w:highlight w:val="none"/>
        </w:rPr>
        <w:t>）并网逆变器推荐厂家品牌：</w:t>
      </w:r>
      <w:r>
        <w:rPr>
          <w:rFonts w:hint="eastAsia" w:ascii="宋体" w:hAnsi="宋体" w:eastAsia="宋体" w:cs="宋体"/>
          <w:color w:val="auto"/>
          <w:kern w:val="2"/>
          <w:sz w:val="21"/>
          <w:szCs w:val="21"/>
          <w:highlight w:val="none"/>
          <w:lang w:val="en-US" w:eastAsia="zh-CN"/>
        </w:rPr>
        <w:t>优先考虑</w:t>
      </w:r>
      <w:r>
        <w:rPr>
          <w:rFonts w:hint="eastAsia" w:ascii="宋体" w:hAnsi="宋体" w:eastAsia="宋体" w:cs="宋体"/>
          <w:color w:val="auto"/>
          <w:kern w:val="2"/>
          <w:sz w:val="21"/>
          <w:szCs w:val="21"/>
          <w:highlight w:val="none"/>
        </w:rPr>
        <w:t>华为、阳光电源与古瑞瓦特或具备同等质量的品牌。</w:t>
      </w:r>
    </w:p>
    <w:p w14:paraId="75708C10">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rPr>
        <w:t>5.交流汇流箱技术要求</w:t>
      </w:r>
    </w:p>
    <w:p w14:paraId="53CADD39">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（1）产品质保不少于2年，在投标文件中提供质保说明书。</w:t>
      </w:r>
    </w:p>
    <w:p w14:paraId="7D2C4689">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（2）电气元件应使用国际国内知名品牌，汇流箱与电气元件均具备国内3C认证。</w:t>
      </w:r>
    </w:p>
    <w:p w14:paraId="65E099FF">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（3）内置漏电保护和浪涌保护，采用交直II级防雷保护，整体符合国家相关标准。</w:t>
      </w:r>
    </w:p>
    <w:p w14:paraId="6C7EE997">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（4）箱体的防护等级不低于IP65，适合户外安装，满足防水、防尘、防紫外线、防盐雾、耐腐蚀等，安装位置干燥、通风良好。</w:t>
      </w:r>
    </w:p>
    <w:p w14:paraId="647EC2D8">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（5）箱体采用冷扎钢板制作，钢板的厚度≥1.5mm，经过静电喷塑处理，内部全部的金属结构都需经过防腐处理，内外表面平整、光洁，无锈蚀、涂层脱落和磕碰损伤现象。</w:t>
      </w:r>
    </w:p>
    <w:p w14:paraId="2D4DEDFE">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（6）箱体内部结构具有足够的机械强度，保证元器件安装后及操作时无摇晃、不变形；元器件安装走线应整齐、可靠、合理布置；电器间绝缘应符合国家有关标准，进出线必须通过接线端子。</w:t>
      </w:r>
    </w:p>
    <w:p w14:paraId="5D00BA86">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（7）箱体内应该针对接入的设备及线路，拥有明显的电气开断元件，能够确保检修时能够逐级断开系统，每个汇流箱必须给出一次及二次接线图。</w:t>
      </w:r>
    </w:p>
    <w:p w14:paraId="3C1B2A52">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（8）为避免烈日暴晒或雨淋，交流汇流箱须安装遮阳棚</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遮阳棚尺寸超出汇流箱正面、侧面各0.5m，背部增加挡雨板（靠墙安装不需要）</w:t>
      </w:r>
      <w:r>
        <w:rPr>
          <w:rFonts w:hint="eastAsia" w:ascii="宋体" w:hAnsi="宋体" w:eastAsia="宋体" w:cs="宋体"/>
          <w:color w:val="auto"/>
          <w:kern w:val="2"/>
          <w:sz w:val="21"/>
          <w:szCs w:val="21"/>
          <w:highlight w:val="none"/>
        </w:rPr>
        <w:t>。</w:t>
      </w:r>
    </w:p>
    <w:p w14:paraId="07F63FE6">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交流汇流箱</w:t>
      </w:r>
      <w:r>
        <w:rPr>
          <w:rFonts w:hint="eastAsia" w:ascii="宋体" w:hAnsi="宋体" w:eastAsia="宋体" w:cs="宋体"/>
          <w:color w:val="auto"/>
          <w:kern w:val="2"/>
          <w:sz w:val="21"/>
          <w:szCs w:val="21"/>
          <w:highlight w:val="none"/>
        </w:rPr>
        <w:t>的布置要留有足够的空间</w:t>
      </w:r>
      <w:r>
        <w:rPr>
          <w:rFonts w:hint="eastAsia" w:ascii="宋体" w:hAnsi="宋体" w:eastAsia="宋体" w:cs="宋体"/>
          <w:color w:val="auto"/>
          <w:kern w:val="2"/>
          <w:sz w:val="21"/>
          <w:szCs w:val="21"/>
          <w:highlight w:val="none"/>
          <w:lang w:val="en-US" w:eastAsia="zh-CN"/>
        </w:rPr>
        <w:t>同时离地安装高度要合适，以便运维操作</w:t>
      </w:r>
      <w:r>
        <w:rPr>
          <w:rFonts w:hint="eastAsia" w:ascii="宋体" w:hAnsi="宋体" w:eastAsia="宋体" w:cs="宋体"/>
          <w:color w:val="auto"/>
          <w:kern w:val="2"/>
          <w:sz w:val="21"/>
          <w:szCs w:val="21"/>
          <w:highlight w:val="none"/>
        </w:rPr>
        <w:t>。</w:t>
      </w:r>
    </w:p>
    <w:p w14:paraId="2B1FC4EC">
      <w:pPr>
        <w:widowControl w:val="0"/>
        <w:wordWrap w:val="0"/>
        <w:adjustRightInd/>
        <w:snapToGrid/>
        <w:spacing w:after="0" w:line="288" w:lineRule="auto"/>
        <w:ind w:firstLine="420" w:firstLineChars="200"/>
        <w:jc w:val="both"/>
        <w:rPr>
          <w:rFonts w:hint="eastAsia"/>
          <w:color w:val="auto"/>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交流汇流箱安装完毕后贴上附有“东莞能源”LOGO的标签</w:t>
      </w:r>
      <w:r>
        <w:rPr>
          <w:rFonts w:hint="eastAsia" w:ascii="宋体" w:hAnsi="宋体" w:eastAsia="宋体" w:cs="宋体"/>
          <w:color w:val="auto"/>
          <w:kern w:val="2"/>
          <w:sz w:val="21"/>
          <w:szCs w:val="21"/>
          <w:highlight w:val="none"/>
        </w:rPr>
        <w:t>。</w:t>
      </w:r>
    </w:p>
    <w:p w14:paraId="0723C509">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（11）开关、真空断路器推荐厂家品牌：常熟、良信、上海人民或同等及以上的品牌。</w:t>
      </w:r>
    </w:p>
    <w:p w14:paraId="67DEDD44">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rPr>
        <w:t>6.光伏并网柜技术要求</w:t>
      </w:r>
    </w:p>
    <w:p w14:paraId="656CE66E">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（1）产品质保不少于2年，在投标文件中提供质保说明书。</w:t>
      </w:r>
    </w:p>
    <w:p w14:paraId="5E82327C">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（2）电气元件应使用国际国内知名品牌，</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并网柜与电气元件均具备国内3C认证。</w:t>
      </w:r>
    </w:p>
    <w:p w14:paraId="2F0366FA">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并网柜具备被动孤岛检测、有压自动重合闸、失压</w:t>
      </w:r>
      <w:r>
        <w:rPr>
          <w:rFonts w:hint="eastAsia" w:ascii="宋体" w:hAnsi="宋体" w:eastAsia="宋体" w:cs="宋体"/>
          <w:color w:val="auto"/>
          <w:kern w:val="2"/>
          <w:sz w:val="21"/>
          <w:szCs w:val="21"/>
          <w:highlight w:val="none"/>
          <w:lang w:val="en-US" w:eastAsia="zh-CN"/>
        </w:rPr>
        <w:t>脱扣</w:t>
      </w:r>
      <w:r>
        <w:rPr>
          <w:rFonts w:hint="eastAsia" w:ascii="宋体" w:hAnsi="宋体" w:eastAsia="宋体" w:cs="宋体"/>
          <w:color w:val="auto"/>
          <w:kern w:val="2"/>
          <w:sz w:val="21"/>
          <w:szCs w:val="21"/>
          <w:highlight w:val="none"/>
        </w:rPr>
        <w:t>、过欠压保护、过电流保护、防雷保护、短路保护、高低频保护、防孤岛保护等基本功能，</w:t>
      </w:r>
      <w:r>
        <w:rPr>
          <w:rFonts w:hint="eastAsia" w:ascii="宋体" w:hAnsi="宋体" w:eastAsia="宋体" w:cs="宋体"/>
          <w:color w:val="auto"/>
          <w:kern w:val="2"/>
          <w:sz w:val="21"/>
          <w:szCs w:val="21"/>
          <w:highlight w:val="none"/>
          <w:lang w:val="en-US" w:eastAsia="zh-CN"/>
        </w:rPr>
        <w:t>同时需要加装电气连锁</w:t>
      </w:r>
      <w:r>
        <w:rPr>
          <w:rFonts w:hint="eastAsia" w:ascii="宋体" w:hAnsi="宋体" w:eastAsia="宋体" w:cs="宋体"/>
          <w:color w:val="auto"/>
          <w:kern w:val="2"/>
          <w:sz w:val="21"/>
          <w:szCs w:val="21"/>
          <w:highlight w:val="none"/>
        </w:rPr>
        <w:t>。若当地供电部门要求，还需配置逆功率保护。</w:t>
      </w:r>
    </w:p>
    <w:p w14:paraId="0BD82DBC">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并网柜</w:t>
      </w:r>
      <w:r>
        <w:rPr>
          <w:rFonts w:hint="eastAsia" w:ascii="宋体" w:hAnsi="宋体" w:eastAsia="宋体" w:cs="宋体"/>
          <w:color w:val="auto"/>
          <w:kern w:val="2"/>
          <w:sz w:val="21"/>
          <w:szCs w:val="21"/>
          <w:highlight w:val="none"/>
          <w:lang w:val="en-US" w:eastAsia="zh-CN"/>
        </w:rPr>
        <w:t>的设计与配置必须满足南网及</w:t>
      </w:r>
      <w:r>
        <w:rPr>
          <w:rFonts w:hint="eastAsia" w:ascii="宋体" w:hAnsi="宋体" w:eastAsia="宋体" w:cs="宋体"/>
          <w:color w:val="auto"/>
          <w:kern w:val="2"/>
          <w:sz w:val="21"/>
          <w:szCs w:val="21"/>
          <w:highlight w:val="none"/>
        </w:rPr>
        <w:t>当地供电部门</w:t>
      </w:r>
      <w:r>
        <w:rPr>
          <w:rFonts w:hint="eastAsia" w:ascii="宋体" w:hAnsi="宋体" w:eastAsia="宋体" w:cs="宋体"/>
          <w:color w:val="auto"/>
          <w:kern w:val="2"/>
          <w:sz w:val="21"/>
          <w:szCs w:val="21"/>
          <w:highlight w:val="none"/>
          <w:lang w:val="en-US" w:eastAsia="zh-CN"/>
        </w:rPr>
        <w:t>对</w:t>
      </w:r>
      <w:r>
        <w:rPr>
          <w:rFonts w:hint="eastAsia" w:ascii="宋体" w:hAnsi="宋体" w:eastAsia="宋体" w:cs="宋体"/>
          <w:color w:val="auto"/>
          <w:kern w:val="2"/>
          <w:sz w:val="21"/>
          <w:szCs w:val="21"/>
          <w:highlight w:val="none"/>
        </w:rPr>
        <w:t>分布式光伏发电</w:t>
      </w:r>
      <w:r>
        <w:rPr>
          <w:rFonts w:hint="eastAsia" w:ascii="宋体" w:hAnsi="宋体" w:eastAsia="宋体" w:cs="宋体"/>
          <w:color w:val="auto"/>
          <w:kern w:val="2"/>
          <w:sz w:val="21"/>
          <w:szCs w:val="21"/>
          <w:highlight w:val="none"/>
          <w:lang w:val="en-US" w:eastAsia="zh-CN"/>
        </w:rPr>
        <w:t>项目并网所</w:t>
      </w:r>
      <w:r>
        <w:rPr>
          <w:rFonts w:hint="eastAsia" w:ascii="宋体" w:hAnsi="宋体" w:eastAsia="宋体" w:cs="宋体"/>
          <w:color w:val="auto"/>
          <w:kern w:val="2"/>
          <w:sz w:val="21"/>
          <w:szCs w:val="21"/>
          <w:highlight w:val="none"/>
        </w:rPr>
        <w:t>具备</w:t>
      </w:r>
      <w:r>
        <w:rPr>
          <w:rFonts w:hint="eastAsia" w:ascii="宋体" w:hAnsi="宋体" w:eastAsia="宋体" w:cs="宋体"/>
          <w:color w:val="auto"/>
          <w:kern w:val="2"/>
          <w:sz w:val="21"/>
          <w:szCs w:val="21"/>
          <w:highlight w:val="none"/>
          <w:lang w:val="en-US" w:eastAsia="zh-CN"/>
        </w:rPr>
        <w:t>的</w:t>
      </w:r>
      <w:r>
        <w:rPr>
          <w:rFonts w:hint="eastAsia" w:ascii="宋体" w:hAnsi="宋体" w:eastAsia="宋体" w:cs="宋体"/>
          <w:b/>
          <w:bCs/>
          <w:color w:val="auto"/>
          <w:kern w:val="2"/>
          <w:sz w:val="21"/>
          <w:szCs w:val="21"/>
          <w:highlight w:val="none"/>
        </w:rPr>
        <w:t>“四可”</w:t>
      </w:r>
      <w:r>
        <w:rPr>
          <w:rFonts w:hint="eastAsia" w:ascii="宋体" w:hAnsi="宋体" w:eastAsia="宋体" w:cs="宋体"/>
          <w:color w:val="auto"/>
          <w:kern w:val="2"/>
          <w:sz w:val="21"/>
          <w:szCs w:val="21"/>
          <w:highlight w:val="none"/>
        </w:rPr>
        <w:t>（可观、可测、可调、可控）能力</w:t>
      </w:r>
      <w:r>
        <w:rPr>
          <w:rFonts w:hint="eastAsia" w:ascii="宋体" w:hAnsi="宋体" w:eastAsia="宋体" w:cs="宋体"/>
          <w:color w:val="auto"/>
          <w:kern w:val="2"/>
          <w:sz w:val="21"/>
          <w:szCs w:val="21"/>
          <w:highlight w:val="none"/>
          <w:lang w:val="en-US" w:eastAsia="zh-CN"/>
        </w:rPr>
        <w:t>的要求</w:t>
      </w:r>
      <w:r>
        <w:rPr>
          <w:rFonts w:hint="eastAsia" w:ascii="宋体" w:hAnsi="宋体" w:eastAsia="宋体" w:cs="宋体"/>
          <w:color w:val="auto"/>
          <w:kern w:val="2"/>
          <w:sz w:val="21"/>
          <w:szCs w:val="21"/>
          <w:highlight w:val="none"/>
        </w:rPr>
        <w:t>。</w:t>
      </w:r>
    </w:p>
    <w:p w14:paraId="2EF296DE">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必须设置</w:t>
      </w:r>
      <w:r>
        <w:rPr>
          <w:rFonts w:hint="eastAsia" w:ascii="宋体" w:hAnsi="宋体" w:eastAsia="宋体" w:cs="宋体"/>
          <w:b/>
          <w:bCs/>
          <w:color w:val="auto"/>
          <w:kern w:val="2"/>
          <w:sz w:val="21"/>
          <w:szCs w:val="21"/>
          <w:highlight w:val="none"/>
          <w:lang w:val="en-US" w:eastAsia="zh-CN"/>
        </w:rPr>
        <w:t>隔离开关</w:t>
      </w:r>
      <w:r>
        <w:rPr>
          <w:rFonts w:hint="eastAsia" w:ascii="宋体" w:hAnsi="宋体" w:eastAsia="宋体" w:cs="宋体"/>
          <w:color w:val="auto"/>
          <w:kern w:val="2"/>
          <w:sz w:val="21"/>
          <w:szCs w:val="21"/>
          <w:highlight w:val="none"/>
          <w:lang w:val="en-US" w:eastAsia="zh-CN"/>
        </w:rPr>
        <w:t>（设在并网柜市电侧），用于检测断路器被动孤岛检测、有压自动重合闸、失压脱扣等功能</w:t>
      </w:r>
      <w:r>
        <w:rPr>
          <w:rFonts w:hint="eastAsia" w:ascii="宋体" w:hAnsi="宋体" w:eastAsia="宋体" w:cs="宋体"/>
          <w:color w:val="auto"/>
          <w:kern w:val="2"/>
          <w:sz w:val="21"/>
          <w:szCs w:val="21"/>
          <w:highlight w:val="none"/>
        </w:rPr>
        <w:t>。</w:t>
      </w:r>
    </w:p>
    <w:p w14:paraId="303CA867">
      <w:pPr>
        <w:widowControl w:val="0"/>
        <w:wordWrap w:val="0"/>
        <w:adjustRightInd/>
        <w:snapToGrid/>
        <w:spacing w:after="0" w:line="288" w:lineRule="auto"/>
        <w:ind w:firstLine="420" w:firstLineChars="200"/>
        <w:jc w:val="both"/>
        <w:rPr>
          <w:color w:val="auto"/>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必须设置</w:t>
      </w:r>
      <w:r>
        <w:rPr>
          <w:rFonts w:hint="eastAsia" w:ascii="宋体" w:hAnsi="宋体" w:eastAsia="宋体" w:cs="宋体"/>
          <w:b/>
          <w:bCs/>
          <w:color w:val="auto"/>
          <w:kern w:val="2"/>
          <w:sz w:val="21"/>
          <w:szCs w:val="21"/>
          <w:highlight w:val="none"/>
          <w:lang w:val="en-US" w:eastAsia="zh-CN"/>
        </w:rPr>
        <w:t>继电保护装置</w:t>
      </w:r>
      <w:r>
        <w:rPr>
          <w:rFonts w:hint="eastAsia" w:ascii="宋体" w:hAnsi="宋体" w:eastAsia="宋体" w:cs="宋体"/>
          <w:color w:val="auto"/>
          <w:kern w:val="2"/>
          <w:sz w:val="21"/>
          <w:szCs w:val="21"/>
          <w:highlight w:val="none"/>
          <w:lang w:val="en-US" w:eastAsia="zh-CN"/>
        </w:rPr>
        <w:t>，起到限流速断等作用</w:t>
      </w:r>
      <w:r>
        <w:rPr>
          <w:rFonts w:hint="eastAsia" w:ascii="宋体" w:hAnsi="宋体" w:eastAsia="宋体" w:cs="宋体"/>
          <w:color w:val="auto"/>
          <w:kern w:val="2"/>
          <w:sz w:val="21"/>
          <w:szCs w:val="21"/>
          <w:highlight w:val="none"/>
        </w:rPr>
        <w:t>。</w:t>
      </w:r>
    </w:p>
    <w:p w14:paraId="0D8E0910">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7</w:t>
      </w:r>
      <w:r>
        <w:rPr>
          <w:rFonts w:hint="eastAsia" w:ascii="宋体" w:hAnsi="宋体" w:eastAsia="宋体" w:cs="宋体"/>
          <w:color w:val="auto"/>
          <w:kern w:val="2"/>
          <w:sz w:val="21"/>
          <w:szCs w:val="21"/>
          <w:highlight w:val="none"/>
        </w:rPr>
        <w:t>）光伏并网柜可以加装计量仓，计量仓带铅封装置，可以有效防止窃电。计量仓内可以安装计量装置和负控装置(一般当地供电局提供)，能很好的记录发电量情况，计量表具备双向计量功能，计量电表数据均接入到监控系统后台</w:t>
      </w:r>
      <w:r>
        <w:rPr>
          <w:rFonts w:hint="eastAsia" w:ascii="宋体" w:hAnsi="宋体" w:eastAsia="宋体" w:cs="宋体"/>
          <w:color w:val="auto"/>
          <w:kern w:val="2"/>
          <w:sz w:val="21"/>
          <w:szCs w:val="21"/>
          <w:highlight w:val="none"/>
          <w:lang w:eastAsia="zh-CN"/>
        </w:rPr>
        <w:t>，</w:t>
      </w:r>
      <w:r>
        <w:rPr>
          <w:rFonts w:hint="eastAsia" w:ascii="宋体" w:hAnsi="宋体" w:eastAsia="宋体" w:cs="宋体"/>
          <w:b/>
          <w:bCs/>
          <w:color w:val="auto"/>
          <w:kern w:val="2"/>
          <w:sz w:val="21"/>
          <w:szCs w:val="21"/>
          <w:highlight w:val="none"/>
          <w:lang w:eastAsia="zh-CN"/>
        </w:rPr>
        <w:t>注意计量仓观察窗口不得遮挡计量电表</w:t>
      </w:r>
      <w:r>
        <w:rPr>
          <w:rFonts w:hint="eastAsia" w:ascii="宋体" w:hAnsi="宋体" w:eastAsia="宋体" w:cs="宋体"/>
          <w:b/>
          <w:bCs/>
          <w:color w:val="auto"/>
          <w:kern w:val="2"/>
          <w:sz w:val="21"/>
          <w:szCs w:val="21"/>
          <w:highlight w:val="none"/>
        </w:rPr>
        <w:t>。</w:t>
      </w:r>
    </w:p>
    <w:p w14:paraId="69CFB829">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）柜体的防护等级不低于IP30，配电房内安装，柜型按照原有配电房开关柜定做，整体符合国家相关标准</w:t>
      </w:r>
      <w:r>
        <w:rPr>
          <w:rFonts w:hint="eastAsia" w:ascii="宋体" w:hAnsi="宋体" w:eastAsia="宋体" w:cs="宋体"/>
          <w:color w:val="auto"/>
          <w:kern w:val="2"/>
          <w:sz w:val="21"/>
          <w:szCs w:val="21"/>
          <w:highlight w:val="none"/>
          <w:lang w:val="en-US" w:eastAsia="zh-CN"/>
        </w:rPr>
        <w:t>并通过当地供电部门验收</w:t>
      </w:r>
      <w:r>
        <w:rPr>
          <w:rFonts w:hint="eastAsia" w:ascii="宋体" w:hAnsi="宋体" w:eastAsia="宋体" w:cs="宋体"/>
          <w:color w:val="auto"/>
          <w:kern w:val="2"/>
          <w:sz w:val="21"/>
          <w:szCs w:val="21"/>
          <w:highlight w:val="none"/>
        </w:rPr>
        <w:t>。</w:t>
      </w:r>
    </w:p>
    <w:p w14:paraId="7333D790">
      <w:pPr>
        <w:widowControl w:val="0"/>
        <w:wordWrap w:val="0"/>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必须加装</w:t>
      </w:r>
      <w:r>
        <w:rPr>
          <w:rFonts w:hint="eastAsia" w:ascii="宋体" w:hAnsi="宋体" w:eastAsia="宋体" w:cs="宋体"/>
          <w:b/>
          <w:bCs/>
          <w:color w:val="auto"/>
          <w:kern w:val="2"/>
          <w:sz w:val="21"/>
          <w:szCs w:val="21"/>
          <w:highlight w:val="none"/>
          <w:lang w:val="en-US" w:eastAsia="zh-CN"/>
        </w:rPr>
        <w:t>镀锌槽钢底座</w:t>
      </w:r>
      <w:r>
        <w:rPr>
          <w:rFonts w:hint="eastAsia" w:ascii="宋体" w:hAnsi="宋体" w:eastAsia="宋体" w:cs="宋体"/>
          <w:color w:val="auto"/>
          <w:kern w:val="2"/>
          <w:sz w:val="21"/>
          <w:szCs w:val="21"/>
          <w:highlight w:val="none"/>
          <w:lang w:val="en-US" w:eastAsia="zh-CN"/>
        </w:rPr>
        <w:t>，安装处必须</w:t>
      </w:r>
      <w:r>
        <w:rPr>
          <w:rFonts w:hint="eastAsia" w:ascii="宋体" w:hAnsi="宋体" w:eastAsia="宋体" w:cs="宋体"/>
          <w:color w:val="auto"/>
          <w:kern w:val="2"/>
          <w:sz w:val="21"/>
          <w:szCs w:val="21"/>
          <w:highlight w:val="none"/>
        </w:rPr>
        <w:t>留有足够的</w:t>
      </w:r>
      <w:r>
        <w:rPr>
          <w:rFonts w:hint="eastAsia" w:ascii="宋体" w:hAnsi="宋体" w:eastAsia="宋体" w:cs="宋体"/>
          <w:color w:val="auto"/>
          <w:kern w:val="2"/>
          <w:sz w:val="21"/>
          <w:szCs w:val="21"/>
          <w:highlight w:val="none"/>
          <w:lang w:val="en-US" w:eastAsia="zh-CN"/>
        </w:rPr>
        <w:t>运维检修</w:t>
      </w:r>
      <w:r>
        <w:rPr>
          <w:rFonts w:hint="eastAsia" w:ascii="宋体" w:hAnsi="宋体" w:eastAsia="宋体" w:cs="宋体"/>
          <w:color w:val="auto"/>
          <w:kern w:val="2"/>
          <w:sz w:val="21"/>
          <w:szCs w:val="21"/>
          <w:highlight w:val="none"/>
        </w:rPr>
        <w:t>空间</w:t>
      </w:r>
      <w:r>
        <w:rPr>
          <w:rFonts w:hint="eastAsia" w:ascii="宋体" w:hAnsi="宋体" w:eastAsia="宋体" w:cs="宋体"/>
          <w:color w:val="auto"/>
          <w:kern w:val="2"/>
          <w:sz w:val="21"/>
          <w:szCs w:val="21"/>
          <w:highlight w:val="none"/>
          <w:lang w:val="en-US" w:eastAsia="zh-CN"/>
        </w:rPr>
        <w:t>且光线充足，方便后期运维操作</w:t>
      </w:r>
      <w:r>
        <w:rPr>
          <w:rFonts w:hint="eastAsia" w:ascii="宋体" w:hAnsi="宋体" w:eastAsia="宋体" w:cs="宋体"/>
          <w:color w:val="auto"/>
          <w:kern w:val="2"/>
          <w:sz w:val="21"/>
          <w:szCs w:val="21"/>
          <w:highlight w:val="none"/>
        </w:rPr>
        <w:t>。</w:t>
      </w:r>
    </w:p>
    <w:p w14:paraId="350B995E">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）柜体采用冷扎钢板制作，钢板的厚度≥1.5mm，经过静电喷塑处理，内部全部的金属结构都需经过防腐处理，内外表面平整、光洁，无锈蚀、涂层脱落和磕碰损伤现象。</w:t>
      </w:r>
    </w:p>
    <w:p w14:paraId="0B5130FE">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）柜体内部结构具有足够的机械强度，保证元器件安装后及操作时无摇晃、不变形；元器件安装走线应整齐、可靠、合理布置；电器间绝缘应符合国家有关标准，进出线必须通过接线端子。</w:t>
      </w:r>
    </w:p>
    <w:p w14:paraId="78EC31FB">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12</w:t>
      </w:r>
      <w:r>
        <w:rPr>
          <w:rFonts w:hint="eastAsia" w:ascii="宋体" w:hAnsi="宋体" w:eastAsia="宋体" w:cs="宋体"/>
          <w:color w:val="auto"/>
          <w:kern w:val="2"/>
          <w:sz w:val="21"/>
          <w:szCs w:val="21"/>
          <w:highlight w:val="none"/>
        </w:rPr>
        <w:t>）光伏并网柜</w:t>
      </w:r>
      <w:r>
        <w:rPr>
          <w:rFonts w:hint="eastAsia" w:ascii="宋体" w:hAnsi="宋体" w:eastAsia="宋体" w:cs="宋体"/>
          <w:color w:val="auto"/>
          <w:kern w:val="2"/>
          <w:sz w:val="21"/>
          <w:szCs w:val="21"/>
          <w:highlight w:val="none"/>
          <w:lang w:val="en-US" w:eastAsia="zh-CN"/>
        </w:rPr>
        <w:t>每个</w:t>
      </w:r>
      <w:r>
        <w:rPr>
          <w:rFonts w:hint="eastAsia" w:ascii="宋体" w:hAnsi="宋体" w:eastAsia="宋体" w:cs="宋体"/>
          <w:color w:val="auto"/>
          <w:kern w:val="2"/>
          <w:sz w:val="21"/>
          <w:szCs w:val="21"/>
          <w:highlight w:val="none"/>
        </w:rPr>
        <w:t>光伏出线回路</w:t>
      </w:r>
      <w:r>
        <w:rPr>
          <w:rFonts w:hint="eastAsia" w:ascii="宋体" w:hAnsi="宋体" w:eastAsia="宋体" w:cs="宋体"/>
          <w:color w:val="auto"/>
          <w:kern w:val="2"/>
          <w:sz w:val="21"/>
          <w:szCs w:val="21"/>
          <w:highlight w:val="none"/>
          <w:lang w:val="en-US" w:eastAsia="zh-CN"/>
        </w:rPr>
        <w:t>需</w:t>
      </w:r>
      <w:r>
        <w:rPr>
          <w:rFonts w:hint="eastAsia" w:ascii="宋体" w:hAnsi="宋体" w:eastAsia="宋体" w:cs="宋体"/>
          <w:color w:val="auto"/>
          <w:kern w:val="2"/>
          <w:sz w:val="21"/>
          <w:szCs w:val="21"/>
          <w:highlight w:val="none"/>
        </w:rPr>
        <w:t>电流表、电压表。</w:t>
      </w:r>
    </w:p>
    <w:p w14:paraId="3E5A5553">
      <w:pPr>
        <w:widowControl w:val="0"/>
        <w:wordWrap w:val="0"/>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13</w:t>
      </w:r>
      <w:r>
        <w:rPr>
          <w:rFonts w:hint="eastAsia" w:ascii="宋体" w:hAnsi="宋体" w:eastAsia="宋体" w:cs="宋体"/>
          <w:color w:val="auto"/>
          <w:kern w:val="2"/>
          <w:sz w:val="21"/>
          <w:szCs w:val="21"/>
          <w:highlight w:val="none"/>
        </w:rPr>
        <w:t>）单个光伏并网柜并网容量是否能超过400kW请与</w:t>
      </w:r>
      <w:r>
        <w:rPr>
          <w:rFonts w:hint="eastAsia" w:ascii="宋体" w:hAnsi="宋体" w:eastAsia="宋体" w:cs="宋体"/>
          <w:color w:val="auto"/>
          <w:kern w:val="2"/>
          <w:sz w:val="21"/>
          <w:szCs w:val="21"/>
          <w:highlight w:val="none"/>
          <w:lang w:val="en-US" w:eastAsia="zh-CN"/>
        </w:rPr>
        <w:t>当地供电部门</w:t>
      </w:r>
      <w:r>
        <w:rPr>
          <w:rFonts w:hint="eastAsia" w:ascii="宋体" w:hAnsi="宋体" w:eastAsia="宋体" w:cs="宋体"/>
          <w:color w:val="auto"/>
          <w:kern w:val="2"/>
          <w:sz w:val="21"/>
          <w:szCs w:val="21"/>
          <w:highlight w:val="none"/>
        </w:rPr>
        <w:t>确认清楚</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当</w:t>
      </w:r>
      <w:r>
        <w:rPr>
          <w:rFonts w:hint="eastAsia" w:ascii="宋体" w:hAnsi="宋体" w:eastAsia="宋体" w:cs="宋体"/>
          <w:color w:val="auto"/>
          <w:kern w:val="2"/>
          <w:sz w:val="21"/>
          <w:szCs w:val="21"/>
          <w:highlight w:val="none"/>
        </w:rPr>
        <w:t>光伏并网柜并网容量超过</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00kW</w:t>
      </w:r>
      <w:r>
        <w:rPr>
          <w:rFonts w:hint="eastAsia" w:ascii="宋体" w:hAnsi="宋体" w:eastAsia="宋体" w:cs="宋体"/>
          <w:color w:val="auto"/>
          <w:kern w:val="2"/>
          <w:sz w:val="21"/>
          <w:szCs w:val="21"/>
          <w:highlight w:val="none"/>
          <w:lang w:val="en-US" w:eastAsia="zh-CN"/>
        </w:rPr>
        <w:t>时，除铜排拼柜外必须采用封闭式铜母线槽，严禁采用电缆</w:t>
      </w:r>
      <w:r>
        <w:rPr>
          <w:rFonts w:hint="eastAsia" w:ascii="宋体" w:hAnsi="宋体" w:eastAsia="宋体" w:cs="宋体"/>
          <w:color w:val="auto"/>
          <w:kern w:val="2"/>
          <w:sz w:val="21"/>
          <w:szCs w:val="21"/>
          <w:highlight w:val="none"/>
        </w:rPr>
        <w:t>；</w:t>
      </w:r>
    </w:p>
    <w:p w14:paraId="5164B865">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14</w:t>
      </w:r>
      <w:r>
        <w:rPr>
          <w:rFonts w:hint="eastAsia" w:ascii="宋体" w:hAnsi="宋体" w:eastAsia="宋体" w:cs="宋体"/>
          <w:color w:val="auto"/>
          <w:kern w:val="2"/>
          <w:sz w:val="21"/>
          <w:szCs w:val="21"/>
          <w:highlight w:val="none"/>
        </w:rPr>
        <w:t>）柜体内应该针对接入的设备及线路，拥有明显的电气开断元件，能够确保检修时能够逐级断开系统，每个</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并网柜必须给出一次及二次接线图。</w:t>
      </w:r>
    </w:p>
    <w:p w14:paraId="3A8B9D40">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15</w:t>
      </w:r>
      <w:r>
        <w:rPr>
          <w:rFonts w:hint="eastAsia" w:ascii="宋体" w:hAnsi="宋体" w:eastAsia="宋体" w:cs="宋体"/>
          <w:color w:val="auto"/>
          <w:kern w:val="2"/>
          <w:sz w:val="21"/>
          <w:szCs w:val="21"/>
          <w:highlight w:val="none"/>
        </w:rPr>
        <w:t>）有光伏系统接入的配电房需配置含有光伏并网柜的电力系统图版。</w:t>
      </w:r>
    </w:p>
    <w:p w14:paraId="40B06200">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所有电气设备安装完成后，应进行电气交接试验，并形成记录</w:t>
      </w:r>
      <w:r>
        <w:rPr>
          <w:rFonts w:hint="eastAsia" w:ascii="宋体" w:hAnsi="宋体" w:eastAsia="宋体" w:cs="宋体"/>
          <w:color w:val="auto"/>
          <w:kern w:val="2"/>
          <w:sz w:val="21"/>
          <w:szCs w:val="21"/>
          <w:highlight w:val="none"/>
        </w:rPr>
        <w:t>。</w:t>
      </w:r>
    </w:p>
    <w:p w14:paraId="024142AF">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17</w:t>
      </w:r>
      <w:r>
        <w:rPr>
          <w:rFonts w:hint="eastAsia" w:ascii="宋体" w:hAnsi="宋体" w:eastAsia="宋体" w:cs="宋体"/>
          <w:color w:val="auto"/>
          <w:kern w:val="2"/>
          <w:sz w:val="21"/>
          <w:szCs w:val="21"/>
          <w:highlight w:val="none"/>
        </w:rPr>
        <w:t>）</w:t>
      </w:r>
      <w:r>
        <w:rPr>
          <w:rFonts w:hint="eastAsia" w:ascii="宋体" w:hAnsi="宋体" w:eastAsia="宋体" w:cs="Times New Roman"/>
          <w:b w:val="0"/>
          <w:bCs w:val="0"/>
          <w:color w:val="auto"/>
          <w:kern w:val="2"/>
          <w:sz w:val="21"/>
          <w:szCs w:val="24"/>
          <w:highlight w:val="none"/>
        </w:rPr>
        <w:t>光伏并网柜</w:t>
      </w:r>
      <w:r>
        <w:rPr>
          <w:rFonts w:hint="eastAsia" w:ascii="宋体" w:hAnsi="宋体" w:eastAsia="宋体" w:cs="宋体"/>
          <w:color w:val="auto"/>
          <w:kern w:val="2"/>
          <w:sz w:val="21"/>
          <w:szCs w:val="21"/>
          <w:highlight w:val="none"/>
          <w:lang w:val="en-US" w:eastAsia="zh-CN"/>
        </w:rPr>
        <w:t>安装完毕后贴上附有“东莞能源”LOGO的标签</w:t>
      </w:r>
      <w:r>
        <w:rPr>
          <w:rFonts w:hint="eastAsia" w:ascii="宋体" w:hAnsi="宋体" w:eastAsia="宋体" w:cs="宋体"/>
          <w:color w:val="auto"/>
          <w:kern w:val="2"/>
          <w:sz w:val="21"/>
          <w:szCs w:val="21"/>
          <w:highlight w:val="none"/>
        </w:rPr>
        <w:t>。</w:t>
      </w:r>
    </w:p>
    <w:p w14:paraId="539BA7AA">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18</w:t>
      </w:r>
      <w:r>
        <w:rPr>
          <w:rFonts w:hint="eastAsia" w:ascii="宋体" w:hAnsi="宋体" w:eastAsia="宋体" w:cs="宋体"/>
          <w:color w:val="auto"/>
          <w:kern w:val="2"/>
          <w:sz w:val="21"/>
          <w:szCs w:val="21"/>
          <w:highlight w:val="none"/>
        </w:rPr>
        <w:t>）项目进行停电、并网作业时，</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应通知并网柜厂家技术人员到场，防止项目由于并网柜设备参数设置问题无法按时并网。</w:t>
      </w:r>
    </w:p>
    <w:p w14:paraId="5C151981">
      <w:pPr>
        <w:widowControl w:val="0"/>
        <w:wordWrap w:val="0"/>
        <w:adjustRightInd/>
        <w:snapToGrid/>
        <w:spacing w:after="0" w:line="288" w:lineRule="auto"/>
        <w:ind w:firstLine="420" w:firstLineChars="200"/>
        <w:jc w:val="both"/>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rPr>
        <w:t>（19）开关、真空断路器推荐厂家品牌：常熟、良信、上海人民或具备同等质量的品牌</w:t>
      </w:r>
      <w:r>
        <w:rPr>
          <w:rFonts w:hint="eastAsia" w:ascii="宋体" w:hAnsi="宋体" w:eastAsia="宋体" w:cs="宋体"/>
          <w:b w:val="0"/>
          <w:bCs w:val="0"/>
          <w:color w:val="auto"/>
          <w:kern w:val="2"/>
          <w:sz w:val="21"/>
          <w:szCs w:val="21"/>
          <w:highlight w:val="none"/>
          <w:lang w:val="en-US" w:eastAsia="zh-CN" w:bidi="ar-SA"/>
        </w:rPr>
        <w:t>。</w:t>
      </w:r>
    </w:p>
    <w:p w14:paraId="14AA47E6">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rPr>
        <w:t>7.</w:t>
      </w:r>
      <w:r>
        <w:rPr>
          <w:rFonts w:hint="eastAsia" w:ascii="宋体" w:hAnsi="宋体" w:eastAsia="宋体" w:cs="Times New Roman"/>
          <w:b/>
          <w:bCs/>
          <w:color w:val="auto"/>
          <w:kern w:val="2"/>
          <w:sz w:val="21"/>
          <w:szCs w:val="24"/>
          <w:highlight w:val="none"/>
          <w:lang w:val="en-US" w:eastAsia="zh-CN"/>
        </w:rPr>
        <w:t>直流</w:t>
      </w:r>
      <w:r>
        <w:rPr>
          <w:rFonts w:hint="eastAsia" w:ascii="宋体" w:hAnsi="宋体" w:eastAsia="宋体" w:cs="Times New Roman"/>
          <w:b/>
          <w:bCs/>
          <w:color w:val="auto"/>
          <w:kern w:val="2"/>
          <w:sz w:val="21"/>
          <w:szCs w:val="24"/>
          <w:highlight w:val="none"/>
        </w:rPr>
        <w:t>电缆</w:t>
      </w:r>
      <w:r>
        <w:rPr>
          <w:rFonts w:hint="eastAsia" w:ascii="宋体" w:hAnsi="宋体" w:eastAsia="宋体" w:cs="Times New Roman"/>
          <w:b/>
          <w:bCs/>
          <w:color w:val="auto"/>
          <w:kern w:val="2"/>
          <w:sz w:val="21"/>
          <w:szCs w:val="24"/>
          <w:highlight w:val="none"/>
          <w:lang w:eastAsia="zh-CN"/>
        </w:rPr>
        <w:t>、</w:t>
      </w:r>
      <w:r>
        <w:rPr>
          <w:rFonts w:hint="eastAsia" w:ascii="宋体" w:hAnsi="宋体" w:eastAsia="宋体" w:cs="Times New Roman"/>
          <w:b/>
          <w:bCs/>
          <w:color w:val="auto"/>
          <w:kern w:val="2"/>
          <w:sz w:val="21"/>
          <w:szCs w:val="24"/>
          <w:highlight w:val="none"/>
          <w:lang w:val="en-US" w:eastAsia="zh-CN"/>
        </w:rPr>
        <w:t>交流电缆</w:t>
      </w:r>
      <w:r>
        <w:rPr>
          <w:rFonts w:hint="eastAsia" w:ascii="宋体" w:hAnsi="宋体" w:eastAsia="宋体" w:cs="Times New Roman"/>
          <w:b/>
          <w:bCs/>
          <w:color w:val="auto"/>
          <w:kern w:val="2"/>
          <w:sz w:val="21"/>
          <w:szCs w:val="24"/>
          <w:highlight w:val="none"/>
        </w:rPr>
        <w:t>技术要求</w:t>
      </w:r>
    </w:p>
    <w:p w14:paraId="3831BD8F">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（1）本项目涉及的所有</w:t>
      </w:r>
      <w:r>
        <w:rPr>
          <w:rFonts w:hint="eastAsia" w:ascii="宋体" w:hAnsi="宋体" w:eastAsia="宋体" w:cs="宋体"/>
          <w:color w:val="auto"/>
          <w:kern w:val="2"/>
          <w:sz w:val="21"/>
          <w:szCs w:val="21"/>
          <w:highlight w:val="none"/>
          <w:lang w:val="en-US" w:eastAsia="zh-CN"/>
        </w:rPr>
        <w:t>线</w:t>
      </w:r>
      <w:r>
        <w:rPr>
          <w:rFonts w:hint="eastAsia" w:ascii="宋体" w:hAnsi="宋体" w:eastAsia="宋体" w:cs="宋体"/>
          <w:color w:val="auto"/>
          <w:kern w:val="2"/>
          <w:sz w:val="21"/>
          <w:szCs w:val="21"/>
          <w:highlight w:val="none"/>
        </w:rPr>
        <w:t>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包含但不限于直流电缆、交流电缆、电源线、信号线等</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均属投标单位</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范围。</w:t>
      </w:r>
    </w:p>
    <w:p w14:paraId="1C1D2F3C">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）直流侧电缆要以减少线损并防止外界干扰的原则选型，选用双绝缘防紫外线阻燃铜芯光伏专用电缆，电缆性能符合GB/T18950-2003性能测试的要求；交流侧需要考虑敷设的形式和安全来选择，采用</w:t>
      </w:r>
      <w:r>
        <w:rPr>
          <w:rFonts w:hint="eastAsia" w:ascii="宋体" w:hAnsi="宋体" w:eastAsia="宋体" w:cs="宋体"/>
          <w:color w:val="auto"/>
          <w:kern w:val="2"/>
          <w:sz w:val="21"/>
          <w:szCs w:val="21"/>
          <w:highlight w:val="none"/>
          <w:lang w:val="en-US" w:eastAsia="zh-CN"/>
        </w:rPr>
        <w:t>5芯</w:t>
      </w:r>
      <w:r>
        <w:rPr>
          <w:rFonts w:hint="eastAsia" w:ascii="宋体" w:hAnsi="宋体" w:eastAsia="宋体" w:cs="宋体"/>
          <w:color w:val="auto"/>
          <w:kern w:val="2"/>
          <w:sz w:val="21"/>
          <w:szCs w:val="21"/>
          <w:highlight w:val="none"/>
        </w:rPr>
        <w:t>阻燃</w:t>
      </w:r>
      <w:r>
        <w:rPr>
          <w:rFonts w:hint="eastAsia" w:ascii="宋体" w:hAnsi="宋体" w:eastAsia="宋体" w:cs="宋体"/>
          <w:color w:val="auto"/>
          <w:kern w:val="2"/>
          <w:sz w:val="21"/>
          <w:szCs w:val="21"/>
          <w:highlight w:val="none"/>
          <w:lang w:val="en-US" w:eastAsia="zh-CN"/>
        </w:rPr>
        <w:t>绝缘护套</w:t>
      </w:r>
      <w:r>
        <w:rPr>
          <w:rFonts w:hint="eastAsia" w:ascii="宋体" w:hAnsi="宋体" w:eastAsia="宋体" w:cs="宋体"/>
          <w:color w:val="auto"/>
          <w:kern w:val="2"/>
          <w:sz w:val="21"/>
          <w:szCs w:val="21"/>
          <w:highlight w:val="none"/>
        </w:rPr>
        <w:t>铜芯电缆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若</w:t>
      </w:r>
      <w:r>
        <w:rPr>
          <w:rFonts w:hint="eastAsia" w:ascii="宋体" w:hAnsi="宋体" w:eastAsia="宋体" w:cs="宋体"/>
          <w:b/>
          <w:bCs/>
          <w:color w:val="auto"/>
          <w:kern w:val="2"/>
          <w:sz w:val="21"/>
          <w:szCs w:val="21"/>
          <w:highlight w:val="none"/>
          <w:lang w:val="en-US" w:eastAsia="zh-CN"/>
        </w:rPr>
        <w:t>项目涉及埋管电缆须采用铠装</w:t>
      </w:r>
      <w:r>
        <w:rPr>
          <w:rFonts w:hint="eastAsia" w:ascii="宋体" w:hAnsi="宋体" w:eastAsia="宋体" w:cs="宋体"/>
          <w:color w:val="auto"/>
          <w:kern w:val="2"/>
          <w:sz w:val="21"/>
          <w:szCs w:val="21"/>
          <w:highlight w:val="none"/>
        </w:rPr>
        <w:t>。</w:t>
      </w:r>
    </w:p>
    <w:p w14:paraId="1792ECAC">
      <w:pPr>
        <w:widowControl w:val="0"/>
        <w:wordWrap w:val="0"/>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）直流部分和交流低压部分的总线路损耗应控制在2%以内。</w:t>
      </w:r>
    </w:p>
    <w:p w14:paraId="2C518ACC">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）光伏线缆MC4插头制作应严格按规范进行，所有</w:t>
      </w:r>
      <w:r>
        <w:rPr>
          <w:rFonts w:hint="eastAsia" w:ascii="宋体" w:hAnsi="宋体" w:eastAsia="宋体" w:cs="宋体"/>
          <w:color w:val="auto"/>
          <w:kern w:val="2"/>
          <w:sz w:val="21"/>
          <w:szCs w:val="21"/>
          <w:highlight w:val="none"/>
          <w:lang w:val="en-US" w:eastAsia="zh-CN"/>
        </w:rPr>
        <w:t>直流</w:t>
      </w:r>
      <w:r>
        <w:rPr>
          <w:rFonts w:hint="eastAsia" w:ascii="宋体" w:hAnsi="宋体" w:eastAsia="宋体" w:cs="宋体"/>
          <w:color w:val="auto"/>
          <w:kern w:val="2"/>
          <w:sz w:val="21"/>
          <w:szCs w:val="21"/>
          <w:highlight w:val="none"/>
        </w:rPr>
        <w:t>电缆</w:t>
      </w:r>
      <w:r>
        <w:rPr>
          <w:rFonts w:hint="eastAsia" w:ascii="宋体" w:hAnsi="宋体" w:eastAsia="宋体" w:cs="宋体"/>
          <w:color w:val="auto"/>
          <w:kern w:val="2"/>
          <w:sz w:val="21"/>
          <w:szCs w:val="21"/>
          <w:highlight w:val="none"/>
          <w:lang w:val="en-US" w:eastAsia="zh-CN"/>
        </w:rPr>
        <w:t>做好套管或其他防护措施，防止直流</w:t>
      </w:r>
      <w:r>
        <w:rPr>
          <w:rFonts w:hint="eastAsia" w:ascii="宋体" w:hAnsi="宋体" w:eastAsia="宋体" w:cs="宋体"/>
          <w:color w:val="auto"/>
          <w:kern w:val="2"/>
          <w:sz w:val="21"/>
          <w:szCs w:val="21"/>
          <w:highlight w:val="none"/>
        </w:rPr>
        <w:t>电缆裸</w:t>
      </w:r>
      <w:r>
        <w:rPr>
          <w:rFonts w:hint="eastAsia" w:ascii="宋体" w:hAnsi="宋体" w:eastAsia="宋体" w:cs="宋体"/>
          <w:color w:val="auto"/>
          <w:kern w:val="2"/>
          <w:sz w:val="21"/>
          <w:szCs w:val="21"/>
          <w:highlight w:val="none"/>
          <w:lang w:val="en-US" w:eastAsia="zh-CN"/>
        </w:rPr>
        <w:t>露</w:t>
      </w:r>
      <w:r>
        <w:rPr>
          <w:rFonts w:hint="eastAsia" w:ascii="宋体" w:hAnsi="宋体" w:eastAsia="宋体" w:cs="宋体"/>
          <w:color w:val="auto"/>
          <w:kern w:val="2"/>
          <w:sz w:val="21"/>
          <w:szCs w:val="21"/>
          <w:highlight w:val="none"/>
        </w:rPr>
        <w:t>。</w:t>
      </w:r>
    </w:p>
    <w:p w14:paraId="3B362F89">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交直流电缆、</w:t>
      </w:r>
      <w:r>
        <w:rPr>
          <w:rFonts w:hint="eastAsia" w:ascii="宋体" w:hAnsi="宋体" w:eastAsia="宋体" w:cs="宋体"/>
          <w:color w:val="auto"/>
          <w:kern w:val="2"/>
          <w:sz w:val="21"/>
          <w:szCs w:val="21"/>
          <w:highlight w:val="none"/>
        </w:rPr>
        <w:t>配线</w:t>
      </w:r>
      <w:r>
        <w:rPr>
          <w:rFonts w:hint="eastAsia" w:ascii="宋体" w:hAnsi="宋体" w:eastAsia="宋体" w:cs="宋体"/>
          <w:color w:val="auto"/>
          <w:kern w:val="2"/>
          <w:sz w:val="21"/>
          <w:szCs w:val="21"/>
          <w:highlight w:val="none"/>
          <w:lang w:val="en-US" w:eastAsia="zh-CN"/>
        </w:rPr>
        <w:t>线管和桥架</w:t>
      </w:r>
      <w:r>
        <w:rPr>
          <w:rFonts w:hint="eastAsia" w:ascii="宋体" w:hAnsi="宋体" w:eastAsia="宋体" w:cs="宋体"/>
          <w:color w:val="auto"/>
          <w:kern w:val="2"/>
          <w:sz w:val="21"/>
          <w:szCs w:val="21"/>
          <w:highlight w:val="none"/>
        </w:rPr>
        <w:t>在建筑物</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光伏棚结构</w:t>
      </w:r>
      <w:r>
        <w:rPr>
          <w:rFonts w:hint="eastAsia" w:ascii="宋体" w:hAnsi="宋体" w:eastAsia="宋体" w:cs="宋体"/>
          <w:color w:val="auto"/>
          <w:kern w:val="2"/>
          <w:sz w:val="21"/>
          <w:szCs w:val="21"/>
          <w:highlight w:val="none"/>
        </w:rPr>
        <w:t>上的布置应美观，与整个建筑</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棚架</w:t>
      </w:r>
      <w:r>
        <w:rPr>
          <w:rFonts w:hint="eastAsia" w:ascii="宋体" w:hAnsi="宋体" w:eastAsia="宋体" w:cs="宋体"/>
          <w:color w:val="auto"/>
          <w:kern w:val="2"/>
          <w:sz w:val="21"/>
          <w:szCs w:val="21"/>
          <w:highlight w:val="none"/>
        </w:rPr>
        <w:t>协调一致，布线应隐蔽，从底部不能明显的看到线缆。各方阵的线缆便于连接，并有足够的强度，线缆连接附件应防水、抗老化。</w:t>
      </w:r>
    </w:p>
    <w:p w14:paraId="36281674">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）各类线缆通过TUV、UL、VDE 认证，能满足室外30年的使用年限。</w:t>
      </w:r>
    </w:p>
    <w:p w14:paraId="16CCA3EC">
      <w:pPr>
        <w:widowControl w:val="0"/>
        <w:wordWrap w:val="0"/>
        <w:adjustRightInd/>
        <w:snapToGrid/>
        <w:spacing w:after="0" w:line="288" w:lineRule="auto"/>
        <w:ind w:firstLine="420" w:firstLineChars="200"/>
        <w:jc w:val="both"/>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（7）所有线缆敷设完成后，应进行直流电阻、绝缘电阻、直流耐压/交流耐压试验，并形成记录。</w:t>
      </w:r>
    </w:p>
    <w:p w14:paraId="309CC4D7">
      <w:pPr>
        <w:widowControl w:val="0"/>
        <w:wordWrap w:val="0"/>
        <w:adjustRightInd/>
        <w:snapToGrid/>
        <w:spacing w:after="0" w:line="288" w:lineRule="auto"/>
        <w:ind w:firstLine="420" w:firstLineChars="200"/>
        <w:jc w:val="both"/>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（8）交直流电缆设计标好型号规格及长度，留有转弯、电缆头等预留长度，满足实际敷设需求。</w:t>
      </w:r>
    </w:p>
    <w:p w14:paraId="061F54D7">
      <w:pPr>
        <w:widowControl w:val="0"/>
        <w:wordWrap w:val="0"/>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lang w:val="en-US" w:eastAsia="zh-CN"/>
        </w:rPr>
        <w:t>（9）交直流电缆推荐厂家品牌：深圳市东佳信电线电缆、深圳市成天泰电缆、广州南洋电缆、广东新亚光电缆、东莞市民兴电缆、江苏上上电缆、远东电缆或具备同等质量的品牌</w:t>
      </w:r>
      <w:r>
        <w:rPr>
          <w:rFonts w:hint="eastAsia" w:ascii="宋体" w:hAnsi="宋体" w:eastAsia="宋体" w:cs="宋体"/>
          <w:b w:val="0"/>
          <w:bCs w:val="0"/>
          <w:color w:val="auto"/>
          <w:kern w:val="2"/>
          <w:sz w:val="21"/>
          <w:szCs w:val="21"/>
          <w:highlight w:val="none"/>
          <w:lang w:val="en-US" w:eastAsia="zh-CN" w:bidi="ar-SA"/>
        </w:rPr>
        <w:t>。</w:t>
      </w:r>
    </w:p>
    <w:p w14:paraId="7DCE074E">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lang w:val="en-US" w:eastAsia="zh-CN"/>
        </w:rPr>
        <w:t>8</w:t>
      </w:r>
      <w:r>
        <w:rPr>
          <w:rFonts w:hint="eastAsia" w:ascii="宋体" w:hAnsi="宋体" w:eastAsia="宋体" w:cs="Times New Roman"/>
          <w:b/>
          <w:bCs/>
          <w:color w:val="auto"/>
          <w:kern w:val="2"/>
          <w:sz w:val="21"/>
          <w:szCs w:val="24"/>
          <w:highlight w:val="none"/>
        </w:rPr>
        <w:t>.电缆桥架</w:t>
      </w:r>
      <w:r>
        <w:rPr>
          <w:rFonts w:hint="eastAsia" w:ascii="宋体" w:hAnsi="宋体" w:eastAsia="宋体" w:cs="Times New Roman"/>
          <w:b/>
          <w:bCs/>
          <w:color w:val="auto"/>
          <w:kern w:val="2"/>
          <w:sz w:val="21"/>
          <w:szCs w:val="24"/>
          <w:highlight w:val="none"/>
          <w:lang w:eastAsia="zh-CN"/>
        </w:rPr>
        <w:t>、</w:t>
      </w:r>
      <w:r>
        <w:rPr>
          <w:rFonts w:hint="eastAsia" w:ascii="宋体" w:hAnsi="宋体" w:eastAsia="宋体" w:cs="Times New Roman"/>
          <w:b/>
          <w:bCs/>
          <w:color w:val="auto"/>
          <w:kern w:val="2"/>
          <w:sz w:val="21"/>
          <w:szCs w:val="24"/>
          <w:highlight w:val="none"/>
          <w:lang w:val="en-US" w:eastAsia="zh-CN"/>
        </w:rPr>
        <w:t>电缆管道</w:t>
      </w:r>
      <w:r>
        <w:rPr>
          <w:rFonts w:hint="eastAsia" w:ascii="宋体" w:hAnsi="宋体" w:eastAsia="宋体" w:cs="Times New Roman"/>
          <w:b/>
          <w:bCs/>
          <w:color w:val="auto"/>
          <w:kern w:val="2"/>
          <w:sz w:val="21"/>
          <w:szCs w:val="24"/>
          <w:highlight w:val="none"/>
        </w:rPr>
        <w:t>技术要求</w:t>
      </w:r>
    </w:p>
    <w:p w14:paraId="69081493">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（1）本项目涉及的所有电缆走廊</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包含但不限于电缆桥架、破复路面开挖埋管、顶管、电缆井等</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均属投标单位</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范围。</w:t>
      </w:r>
    </w:p>
    <w:p w14:paraId="7B2C32CC">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（2）所有电缆桥架必须采用</w:t>
      </w:r>
      <w:r>
        <w:rPr>
          <w:rFonts w:hint="eastAsia" w:ascii="宋体" w:hAnsi="宋体" w:eastAsia="宋体" w:cs="宋体"/>
          <w:b/>
          <w:bCs/>
          <w:color w:val="auto"/>
          <w:kern w:val="2"/>
          <w:sz w:val="21"/>
          <w:szCs w:val="21"/>
          <w:highlight w:val="none"/>
          <w:lang w:val="en-US" w:eastAsia="zh-CN"/>
        </w:rPr>
        <w:t>锌铝镁槽式桥架</w:t>
      </w:r>
      <w:r>
        <w:rPr>
          <w:rFonts w:hint="eastAsia" w:ascii="宋体" w:hAnsi="宋体" w:eastAsia="宋体" w:cs="宋体"/>
          <w:color w:val="auto"/>
          <w:kern w:val="2"/>
          <w:sz w:val="21"/>
          <w:szCs w:val="21"/>
          <w:highlight w:val="none"/>
        </w:rPr>
        <w:t>，壁厚不少于国标要求，每隔一定距离（支架间距不大于1500mm）必须加装镀锌金属托架（抱箍）固定并做好防锈处理，避免桥架上下部分变形与移位。桥架结合处用非自攻螺钉连接，所有联接件为</w:t>
      </w:r>
      <w:r>
        <w:rPr>
          <w:rFonts w:hint="eastAsia" w:ascii="宋体" w:hAnsi="宋体" w:eastAsia="宋体" w:cs="宋体"/>
          <w:color w:val="auto"/>
          <w:kern w:val="2"/>
          <w:sz w:val="21"/>
          <w:szCs w:val="21"/>
          <w:highlight w:val="none"/>
          <w:lang w:val="en-US" w:eastAsia="zh-CN"/>
        </w:rPr>
        <w:t>镀锌</w:t>
      </w:r>
      <w:r>
        <w:rPr>
          <w:rFonts w:hint="eastAsia" w:ascii="宋体" w:hAnsi="宋体" w:eastAsia="宋体" w:cs="宋体"/>
          <w:color w:val="auto"/>
          <w:kern w:val="2"/>
          <w:sz w:val="21"/>
          <w:szCs w:val="21"/>
          <w:highlight w:val="none"/>
        </w:rPr>
        <w:t>材料</w:t>
      </w:r>
      <w:r>
        <w:rPr>
          <w:rFonts w:hint="eastAsia" w:ascii="宋体" w:hAnsi="宋体" w:eastAsia="宋体" w:cs="宋体"/>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lang w:eastAsia="zh-CN"/>
        </w:rPr>
        <w:t>安装螺栓选用不锈钢304及以上材质</w:t>
      </w:r>
      <w:r>
        <w:rPr>
          <w:rFonts w:hint="eastAsia" w:ascii="宋体" w:hAnsi="宋体" w:eastAsia="宋体" w:cs="宋体"/>
          <w:color w:val="auto"/>
          <w:kern w:val="2"/>
          <w:sz w:val="21"/>
          <w:szCs w:val="21"/>
          <w:highlight w:val="none"/>
        </w:rPr>
        <w:t>。所有电缆桥架均密闭，不能看到电缆及接头外露，且保证桥架内的通风、散热，电缆在桥架里占的空间不超过40%。</w:t>
      </w:r>
    </w:p>
    <w:p w14:paraId="1BA8EB3D">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）桥架与桥架之间必须用不少于4mm2的铜线绝缘接地线跨接</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重点注意桥架地线跨接不可连在连接件处</w:t>
      </w:r>
      <w:r>
        <w:rPr>
          <w:rFonts w:hint="eastAsia" w:ascii="宋体" w:hAnsi="宋体" w:eastAsia="宋体" w:cs="宋体"/>
          <w:color w:val="auto"/>
          <w:kern w:val="2"/>
          <w:sz w:val="21"/>
          <w:szCs w:val="21"/>
          <w:highlight w:val="none"/>
          <w:lang w:eastAsia="zh-CN"/>
        </w:rPr>
        <w:t>；</w:t>
      </w:r>
    </w:p>
    <w:p w14:paraId="33943B04">
      <w:pPr>
        <w:widowControl w:val="0"/>
        <w:wordWrap w:val="0"/>
        <w:adjustRightInd/>
        <w:snapToGrid/>
        <w:spacing w:after="0" w:line="288" w:lineRule="auto"/>
        <w:ind w:firstLine="420" w:firstLineChars="200"/>
        <w:jc w:val="both"/>
        <w:rPr>
          <w:rFonts w:hint="eastAsia"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）汇流箱和</w:t>
      </w:r>
      <w:r>
        <w:rPr>
          <w:rFonts w:hint="eastAsia" w:ascii="宋体" w:hAnsi="宋体" w:eastAsia="宋体" w:cs="宋体"/>
          <w:color w:val="auto"/>
          <w:kern w:val="2"/>
          <w:sz w:val="21"/>
          <w:szCs w:val="21"/>
          <w:highlight w:val="none"/>
          <w:lang w:val="en-US" w:eastAsia="zh-CN"/>
        </w:rPr>
        <w:t>并网</w:t>
      </w:r>
      <w:r>
        <w:rPr>
          <w:rFonts w:hint="eastAsia" w:ascii="宋体" w:hAnsi="宋体" w:eastAsia="宋体" w:cs="宋体"/>
          <w:color w:val="auto"/>
          <w:kern w:val="2"/>
          <w:sz w:val="21"/>
          <w:szCs w:val="21"/>
          <w:highlight w:val="none"/>
        </w:rPr>
        <w:t>逆变器线缆进出线也需考虑转弯半径，预留操作空间</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w:t>
      </w:r>
      <w:r>
        <w:rPr>
          <w:rFonts w:hint="eastAsia" w:ascii="宋体" w:hAnsi="宋体" w:eastAsia="宋体" w:cs="宋体"/>
          <w:color w:val="auto"/>
          <w:kern w:val="2"/>
          <w:sz w:val="21"/>
          <w:szCs w:val="21"/>
          <w:highlight w:val="none"/>
          <w:lang w:eastAsia="zh-CN"/>
        </w:rPr>
        <w:t>PVC管进入桥架</w:t>
      </w:r>
      <w:r>
        <w:rPr>
          <w:rFonts w:hint="eastAsia" w:ascii="宋体" w:hAnsi="宋体" w:eastAsia="宋体" w:cs="宋体"/>
          <w:b/>
          <w:bCs/>
          <w:color w:val="auto"/>
          <w:kern w:val="2"/>
          <w:sz w:val="21"/>
          <w:szCs w:val="21"/>
          <w:highlight w:val="none"/>
          <w:lang w:eastAsia="zh-CN"/>
        </w:rPr>
        <w:t>采用杯梳固定</w:t>
      </w:r>
      <w:r>
        <w:rPr>
          <w:rFonts w:hint="eastAsia" w:ascii="宋体" w:hAnsi="宋体" w:eastAsia="宋体" w:cs="宋体"/>
          <w:color w:val="auto"/>
          <w:kern w:val="2"/>
          <w:sz w:val="21"/>
          <w:szCs w:val="21"/>
          <w:highlight w:val="none"/>
          <w:lang w:eastAsia="zh-CN"/>
        </w:rPr>
        <w:t>，电缆进入桥架请做好保护</w:t>
      </w:r>
      <w:r>
        <w:rPr>
          <w:rFonts w:hint="eastAsia" w:ascii="宋体" w:hAnsi="宋体" w:eastAsia="宋体" w:cs="宋体"/>
          <w:color w:val="auto"/>
          <w:kern w:val="2"/>
          <w:sz w:val="21"/>
          <w:szCs w:val="21"/>
          <w:highlight w:val="none"/>
        </w:rPr>
        <w:t>。</w:t>
      </w:r>
    </w:p>
    <w:p w14:paraId="55A6CAAA">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）所有电缆</w:t>
      </w:r>
      <w:r>
        <w:rPr>
          <w:rFonts w:hint="eastAsia" w:ascii="宋体" w:hAnsi="宋体" w:eastAsia="宋体" w:cs="宋体"/>
          <w:color w:val="auto"/>
          <w:kern w:val="2"/>
          <w:sz w:val="21"/>
          <w:szCs w:val="21"/>
          <w:highlight w:val="none"/>
          <w:lang w:val="en-US" w:eastAsia="zh-CN"/>
        </w:rPr>
        <w:t>管道</w:t>
      </w:r>
      <w:r>
        <w:rPr>
          <w:rFonts w:hint="eastAsia" w:ascii="宋体" w:hAnsi="宋体" w:eastAsia="宋体" w:cs="宋体"/>
          <w:color w:val="auto"/>
          <w:kern w:val="2"/>
          <w:sz w:val="21"/>
          <w:szCs w:val="21"/>
          <w:highlight w:val="none"/>
        </w:rPr>
        <w:t>均采用</w:t>
      </w:r>
      <w:r>
        <w:rPr>
          <w:rFonts w:hint="eastAsia" w:ascii="宋体" w:hAnsi="宋体" w:eastAsia="宋体" w:cs="宋体"/>
          <w:color w:val="auto"/>
          <w:kern w:val="2"/>
          <w:sz w:val="21"/>
          <w:szCs w:val="21"/>
          <w:highlight w:val="none"/>
          <w:lang w:val="en-US" w:eastAsia="zh-CN"/>
        </w:rPr>
        <w:t>套电缆保护管埋管</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严禁采用电缆直埋，</w:t>
      </w:r>
      <w:r>
        <w:rPr>
          <w:rFonts w:hint="eastAsia" w:ascii="宋体" w:hAnsi="宋体" w:eastAsia="宋体" w:cs="宋体"/>
          <w:color w:val="auto"/>
          <w:kern w:val="2"/>
          <w:sz w:val="21"/>
          <w:szCs w:val="21"/>
          <w:highlight w:val="none"/>
        </w:rPr>
        <w:t>所有</w:t>
      </w:r>
      <w:r>
        <w:rPr>
          <w:rFonts w:hint="eastAsia" w:ascii="宋体" w:hAnsi="宋体" w:eastAsia="宋体" w:cs="宋体"/>
          <w:color w:val="auto"/>
          <w:kern w:val="2"/>
          <w:sz w:val="21"/>
          <w:szCs w:val="21"/>
          <w:highlight w:val="none"/>
          <w:lang w:val="en-US" w:eastAsia="zh-CN"/>
        </w:rPr>
        <w:t>电缆保护管</w:t>
      </w:r>
      <w:r>
        <w:rPr>
          <w:rFonts w:hint="eastAsia" w:ascii="宋体" w:hAnsi="宋体" w:eastAsia="宋体" w:cs="宋体"/>
          <w:color w:val="auto"/>
          <w:kern w:val="2"/>
          <w:sz w:val="21"/>
          <w:szCs w:val="21"/>
          <w:highlight w:val="none"/>
        </w:rPr>
        <w:t>应采用HDPE管，</w:t>
      </w:r>
      <w:r>
        <w:rPr>
          <w:rFonts w:hint="eastAsia" w:ascii="宋体" w:hAnsi="宋体" w:eastAsia="宋体" w:cs="宋体"/>
          <w:color w:val="auto"/>
          <w:kern w:val="2"/>
          <w:sz w:val="21"/>
          <w:szCs w:val="21"/>
          <w:highlight w:val="none"/>
          <w:lang w:val="en-US" w:eastAsia="zh-CN"/>
        </w:rPr>
        <w:t>管道直径不低于电缆直径1.5倍，增加</w:t>
      </w:r>
      <w:r>
        <w:rPr>
          <w:rFonts w:hint="eastAsia" w:ascii="宋体" w:hAnsi="宋体" w:eastAsia="宋体" w:cs="宋体"/>
          <w:color w:val="auto"/>
          <w:kern w:val="2"/>
          <w:sz w:val="21"/>
          <w:szCs w:val="21"/>
          <w:highlight w:val="none"/>
        </w:rPr>
        <w:t>C15混凝土垫层</w:t>
      </w:r>
      <w:r>
        <w:rPr>
          <w:rFonts w:hint="eastAsia" w:ascii="宋体" w:hAnsi="宋体" w:eastAsia="宋体" w:cs="宋体"/>
          <w:color w:val="auto"/>
          <w:kern w:val="2"/>
          <w:sz w:val="21"/>
          <w:szCs w:val="21"/>
          <w:highlight w:val="none"/>
          <w:lang w:val="en-US" w:eastAsia="zh-CN"/>
        </w:rPr>
        <w:t>并进行混凝土包封，按C30</w:t>
      </w:r>
      <w:r>
        <w:rPr>
          <w:rFonts w:hint="eastAsia" w:ascii="宋体" w:hAnsi="宋体" w:eastAsia="宋体" w:cs="宋体"/>
          <w:color w:val="auto"/>
          <w:kern w:val="2"/>
          <w:sz w:val="21"/>
          <w:szCs w:val="21"/>
          <w:highlight w:val="none"/>
        </w:rPr>
        <w:t>混凝土</w:t>
      </w:r>
      <w:r>
        <w:rPr>
          <w:rFonts w:hint="eastAsia" w:ascii="宋体" w:hAnsi="宋体" w:eastAsia="宋体" w:cs="宋体"/>
          <w:color w:val="auto"/>
          <w:kern w:val="2"/>
          <w:sz w:val="21"/>
          <w:szCs w:val="21"/>
          <w:highlight w:val="none"/>
          <w:lang w:val="en-US" w:eastAsia="zh-CN"/>
        </w:rPr>
        <w:t>进行路面恢复至与路面平齐，管道每隔50米和转弯处设电缆井，每隔15米左右设置电缆标志牌</w:t>
      </w:r>
      <w:r>
        <w:rPr>
          <w:rFonts w:hint="eastAsia" w:ascii="宋体" w:hAnsi="宋体" w:eastAsia="宋体" w:cs="宋体"/>
          <w:color w:val="auto"/>
          <w:kern w:val="2"/>
          <w:sz w:val="21"/>
          <w:szCs w:val="21"/>
          <w:highlight w:val="none"/>
        </w:rPr>
        <w:t>。</w:t>
      </w:r>
    </w:p>
    <w:p w14:paraId="7BA550D1">
      <w:pPr>
        <w:widowControl w:val="0"/>
        <w:wordWrap w:val="0"/>
        <w:adjustRightInd/>
        <w:snapToGrid/>
        <w:spacing w:after="0" w:line="288" w:lineRule="auto"/>
        <w:ind w:firstLine="420" w:firstLineChars="200"/>
        <w:jc w:val="both"/>
        <w:rPr>
          <w:rFonts w:hint="eastAsia"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）所有</w:t>
      </w:r>
      <w:r>
        <w:rPr>
          <w:rFonts w:hint="eastAsia" w:ascii="宋体" w:hAnsi="宋体" w:eastAsia="宋体" w:cs="宋体"/>
          <w:color w:val="auto"/>
          <w:kern w:val="2"/>
          <w:sz w:val="21"/>
          <w:szCs w:val="21"/>
          <w:highlight w:val="none"/>
          <w:lang w:val="en-US" w:eastAsia="zh-CN"/>
        </w:rPr>
        <w:t>电缆井四周需预埋镀锌角铁包边，内空深度不低于600mm，且电缆井内具备排水措施，以防止积水，井盖板统一采用预制镀锌包边砼盖板并设置电缆标志牌</w:t>
      </w:r>
      <w:r>
        <w:rPr>
          <w:rFonts w:hint="eastAsia" w:ascii="宋体" w:hAnsi="宋体" w:eastAsia="宋体" w:cs="宋体"/>
          <w:color w:val="auto"/>
          <w:kern w:val="2"/>
          <w:sz w:val="21"/>
          <w:szCs w:val="21"/>
          <w:highlight w:val="none"/>
        </w:rPr>
        <w:t>。</w:t>
      </w:r>
    </w:p>
    <w:p w14:paraId="0AC7C035">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7</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位于经常有车辆出入得场所，所有电缆管道、电缆井应按行车标准进行设计并安装（有车辆经过的道路电缆井盖厚度不少得于150mm）</w:t>
      </w:r>
      <w:r>
        <w:rPr>
          <w:rFonts w:hint="eastAsia" w:ascii="宋体" w:hAnsi="宋体" w:eastAsia="宋体" w:cs="宋体"/>
          <w:color w:val="auto"/>
          <w:kern w:val="2"/>
          <w:sz w:val="21"/>
          <w:szCs w:val="21"/>
          <w:highlight w:val="none"/>
        </w:rPr>
        <w:t>。</w:t>
      </w:r>
    </w:p>
    <w:p w14:paraId="19179AED">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lang w:val="en-US" w:eastAsia="zh-CN"/>
        </w:rPr>
        <w:t>9</w:t>
      </w:r>
      <w:r>
        <w:rPr>
          <w:rFonts w:hint="eastAsia" w:ascii="宋体" w:hAnsi="宋体" w:eastAsia="宋体" w:cs="Times New Roman"/>
          <w:b/>
          <w:bCs/>
          <w:color w:val="auto"/>
          <w:kern w:val="2"/>
          <w:sz w:val="21"/>
          <w:szCs w:val="24"/>
          <w:highlight w:val="none"/>
        </w:rPr>
        <w:t>.防雷系统</w:t>
      </w:r>
      <w:r>
        <w:rPr>
          <w:rFonts w:hint="eastAsia" w:ascii="宋体" w:hAnsi="宋体" w:eastAsia="宋体" w:cs="Times New Roman"/>
          <w:b/>
          <w:bCs/>
          <w:color w:val="auto"/>
          <w:kern w:val="2"/>
          <w:sz w:val="21"/>
          <w:szCs w:val="24"/>
          <w:highlight w:val="none"/>
          <w:lang w:eastAsia="zh-CN"/>
        </w:rPr>
        <w:t>、</w:t>
      </w:r>
      <w:r>
        <w:rPr>
          <w:rFonts w:hint="eastAsia" w:ascii="宋体" w:hAnsi="宋体" w:eastAsia="宋体" w:cs="Times New Roman"/>
          <w:b/>
          <w:bCs/>
          <w:color w:val="auto"/>
          <w:kern w:val="2"/>
          <w:sz w:val="21"/>
          <w:szCs w:val="24"/>
          <w:highlight w:val="none"/>
          <w:lang w:val="en-US" w:eastAsia="zh-CN"/>
        </w:rPr>
        <w:t>接地</w:t>
      </w:r>
      <w:r>
        <w:rPr>
          <w:rFonts w:hint="eastAsia" w:ascii="宋体" w:hAnsi="宋体" w:eastAsia="宋体" w:cs="Times New Roman"/>
          <w:b/>
          <w:bCs/>
          <w:color w:val="auto"/>
          <w:kern w:val="2"/>
          <w:sz w:val="21"/>
          <w:szCs w:val="24"/>
          <w:highlight w:val="none"/>
        </w:rPr>
        <w:t>系统技术要求</w:t>
      </w:r>
    </w:p>
    <w:p w14:paraId="078CB279">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（1）光伏系统</w:t>
      </w:r>
      <w:r>
        <w:rPr>
          <w:rFonts w:hint="eastAsia" w:ascii="宋体" w:hAnsi="宋体" w:eastAsia="宋体" w:cs="宋体"/>
          <w:color w:val="auto"/>
          <w:kern w:val="2"/>
          <w:sz w:val="21"/>
          <w:szCs w:val="21"/>
          <w:highlight w:val="none"/>
          <w:lang w:val="en-US" w:eastAsia="zh-CN"/>
        </w:rPr>
        <w:t>应独立</w:t>
      </w:r>
      <w:r>
        <w:rPr>
          <w:rFonts w:hint="eastAsia" w:ascii="宋体" w:hAnsi="宋体" w:eastAsia="宋体" w:cs="宋体"/>
          <w:color w:val="auto"/>
          <w:kern w:val="2"/>
          <w:sz w:val="21"/>
          <w:szCs w:val="21"/>
          <w:highlight w:val="none"/>
        </w:rPr>
        <w:t>设计</w:t>
      </w:r>
      <w:r>
        <w:rPr>
          <w:rFonts w:hint="eastAsia" w:ascii="宋体" w:hAnsi="宋体" w:eastAsia="宋体" w:cs="宋体"/>
          <w:color w:val="auto"/>
          <w:kern w:val="2"/>
          <w:sz w:val="21"/>
          <w:szCs w:val="21"/>
          <w:highlight w:val="none"/>
          <w:lang w:val="en-US" w:eastAsia="zh-CN"/>
        </w:rPr>
        <w:t>防雷接地系统</w:t>
      </w:r>
      <w:r>
        <w:rPr>
          <w:rFonts w:hint="eastAsia" w:ascii="宋体" w:hAnsi="宋体" w:eastAsia="宋体" w:cs="宋体"/>
          <w:color w:val="auto"/>
          <w:kern w:val="2"/>
          <w:sz w:val="21"/>
          <w:szCs w:val="21"/>
          <w:highlight w:val="none"/>
        </w:rPr>
        <w:t>,满足雷电防护分区、分级确定的防雷等级要求。各连接点的连接电阻应小于4Ω。接地网的制作应符合国家相关规范要求。屋顶必须有等电位接地地网作为接地连接。</w:t>
      </w:r>
    </w:p>
    <w:p w14:paraId="3025B6DE">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（2）提供的并网逆变器安全可靠，能确保25年内有效防止光伏组件PID现象的发生。</w:t>
      </w:r>
    </w:p>
    <w:p w14:paraId="4B6F799D">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（3）带边框的光伏组件防雷接地要牢靠，并网逆变器将外壳可靠接地，避雷扁</w:t>
      </w:r>
      <w:r>
        <w:rPr>
          <w:rFonts w:hint="eastAsia" w:ascii="宋体" w:hAnsi="宋体" w:eastAsia="宋体" w:cs="宋体"/>
          <w:color w:val="auto"/>
          <w:kern w:val="2"/>
          <w:sz w:val="21"/>
          <w:szCs w:val="21"/>
          <w:highlight w:val="none"/>
          <w:lang w:val="en-US" w:eastAsia="zh-CN"/>
        </w:rPr>
        <w:t>铁</w:t>
      </w:r>
      <w:r>
        <w:rPr>
          <w:rFonts w:hint="eastAsia" w:ascii="宋体" w:hAnsi="宋体" w:eastAsia="宋体" w:cs="宋体"/>
          <w:color w:val="auto"/>
          <w:kern w:val="2"/>
          <w:sz w:val="21"/>
          <w:szCs w:val="21"/>
          <w:highlight w:val="none"/>
        </w:rPr>
        <w:t>、接地线及接地级要符合规范要求，保障每年防雷接地检测合格。</w:t>
      </w:r>
    </w:p>
    <w:p w14:paraId="3648A88B">
      <w:pPr>
        <w:widowControl w:val="0"/>
        <w:wordWrap w:val="0"/>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屋面至地面段</w:t>
      </w:r>
      <w:r>
        <w:rPr>
          <w:rFonts w:hint="eastAsia" w:ascii="宋体" w:hAnsi="宋体" w:eastAsia="宋体" w:cs="宋体"/>
          <w:color w:val="auto"/>
          <w:kern w:val="2"/>
          <w:sz w:val="21"/>
          <w:szCs w:val="21"/>
          <w:highlight w:val="none"/>
        </w:rPr>
        <w:t>避雷</w:t>
      </w:r>
      <w:r>
        <w:rPr>
          <w:rFonts w:hint="eastAsia" w:ascii="宋体" w:hAnsi="宋体" w:eastAsia="宋体" w:cs="宋体"/>
          <w:color w:val="auto"/>
          <w:kern w:val="2"/>
          <w:sz w:val="21"/>
          <w:szCs w:val="21"/>
          <w:highlight w:val="none"/>
          <w:lang w:val="en-US" w:eastAsia="zh-CN"/>
        </w:rPr>
        <w:t>接地网统一采用40×4热镀锌扁钢，连接处严禁采用螺栓固定，接地引下线处2m采用线槽进行包装，避免行人触碰；</w:t>
      </w:r>
      <w:r>
        <w:rPr>
          <w:rFonts w:hint="eastAsia" w:ascii="宋体" w:hAnsi="宋体" w:eastAsia="宋体" w:cs="宋体"/>
          <w:b/>
          <w:bCs/>
          <w:color w:val="auto"/>
          <w:kern w:val="2"/>
          <w:sz w:val="21"/>
          <w:szCs w:val="21"/>
          <w:highlight w:val="none"/>
          <w:lang w:val="en-US" w:eastAsia="zh-CN"/>
        </w:rPr>
        <w:t>垂直</w:t>
      </w:r>
      <w:r>
        <w:rPr>
          <w:rFonts w:hint="eastAsia" w:ascii="宋体" w:hAnsi="宋体" w:eastAsia="宋体" w:cs="宋体"/>
          <w:b/>
          <w:bCs/>
          <w:color w:val="auto"/>
          <w:kern w:val="2"/>
          <w:sz w:val="21"/>
          <w:szCs w:val="21"/>
          <w:highlight w:val="none"/>
        </w:rPr>
        <w:t>接地</w:t>
      </w:r>
      <w:r>
        <w:rPr>
          <w:rFonts w:hint="eastAsia" w:ascii="宋体" w:hAnsi="宋体" w:eastAsia="宋体" w:cs="宋体"/>
          <w:b/>
          <w:bCs/>
          <w:color w:val="auto"/>
          <w:kern w:val="2"/>
          <w:sz w:val="21"/>
          <w:szCs w:val="21"/>
          <w:highlight w:val="none"/>
          <w:lang w:val="en-US" w:eastAsia="zh-CN"/>
        </w:rPr>
        <w:t>极统一采用锥式石墨烯</w:t>
      </w:r>
      <w:r>
        <w:rPr>
          <w:rFonts w:hint="eastAsia" w:ascii="宋体" w:hAnsi="宋体" w:eastAsia="宋体" w:cs="宋体"/>
          <w:b/>
          <w:bCs/>
          <w:color w:val="auto"/>
          <w:kern w:val="2"/>
          <w:sz w:val="21"/>
          <w:szCs w:val="21"/>
          <w:highlight w:val="none"/>
        </w:rPr>
        <w:t>接地</w:t>
      </w:r>
      <w:r>
        <w:rPr>
          <w:rFonts w:hint="eastAsia" w:ascii="宋体" w:hAnsi="宋体" w:eastAsia="宋体" w:cs="宋体"/>
          <w:b/>
          <w:bCs/>
          <w:color w:val="auto"/>
          <w:kern w:val="2"/>
          <w:sz w:val="21"/>
          <w:szCs w:val="21"/>
          <w:highlight w:val="none"/>
          <w:lang w:val="en-US" w:eastAsia="zh-CN"/>
        </w:rPr>
        <w:t>极</w:t>
      </w:r>
      <w:r>
        <w:rPr>
          <w:rFonts w:hint="eastAsia" w:ascii="宋体" w:hAnsi="宋体" w:eastAsia="宋体" w:cs="宋体"/>
          <w:color w:val="auto"/>
          <w:kern w:val="2"/>
          <w:sz w:val="21"/>
          <w:szCs w:val="21"/>
          <w:highlight w:val="none"/>
          <w:lang w:val="en-US" w:eastAsia="zh-CN"/>
        </w:rPr>
        <w:t>，埋地深度不少于1.5m，数量不少于3根，间隔不少于5m</w:t>
      </w:r>
      <w:r>
        <w:rPr>
          <w:rFonts w:hint="eastAsia" w:ascii="宋体" w:hAnsi="宋体" w:eastAsia="宋体" w:cs="宋体"/>
          <w:color w:val="auto"/>
          <w:kern w:val="2"/>
          <w:sz w:val="21"/>
          <w:szCs w:val="21"/>
          <w:highlight w:val="none"/>
        </w:rPr>
        <w:t>。</w:t>
      </w:r>
    </w:p>
    <w:p w14:paraId="03D8E3D1">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）光伏组件与光伏组件之间做好</w:t>
      </w:r>
      <w:r>
        <w:rPr>
          <w:rFonts w:hint="eastAsia" w:ascii="宋体" w:hAnsi="宋体" w:eastAsia="宋体" w:cs="宋体"/>
          <w:b/>
          <w:bCs/>
          <w:color w:val="auto"/>
          <w:kern w:val="2"/>
          <w:sz w:val="21"/>
          <w:szCs w:val="21"/>
          <w:highlight w:val="none"/>
        </w:rPr>
        <w:t>防雷</w:t>
      </w:r>
      <w:r>
        <w:rPr>
          <w:rFonts w:hint="eastAsia" w:ascii="宋体" w:hAnsi="宋体" w:eastAsia="宋体" w:cs="宋体"/>
          <w:b/>
          <w:bCs/>
          <w:color w:val="auto"/>
          <w:kern w:val="2"/>
          <w:sz w:val="21"/>
          <w:szCs w:val="21"/>
          <w:highlight w:val="none"/>
          <w:lang w:val="en-US" w:eastAsia="zh-CN"/>
        </w:rPr>
        <w:t>穿刺垫片</w:t>
      </w:r>
      <w:r>
        <w:rPr>
          <w:rFonts w:hint="eastAsia" w:ascii="宋体" w:hAnsi="宋体" w:eastAsia="宋体" w:cs="宋体"/>
          <w:b w:val="0"/>
          <w:bCs w:val="0"/>
          <w:color w:val="auto"/>
          <w:kern w:val="2"/>
          <w:sz w:val="21"/>
          <w:szCs w:val="21"/>
          <w:highlight w:val="none"/>
          <w:lang w:val="en-US" w:eastAsia="zh-CN"/>
        </w:rPr>
        <w:t>（不锈钢304材质）</w:t>
      </w:r>
      <w:r>
        <w:rPr>
          <w:rFonts w:hint="eastAsia" w:ascii="宋体" w:hAnsi="宋体" w:eastAsia="宋体" w:cs="宋体"/>
          <w:color w:val="auto"/>
          <w:kern w:val="2"/>
          <w:sz w:val="21"/>
          <w:szCs w:val="21"/>
          <w:highlight w:val="none"/>
          <w:lang w:val="en-US" w:eastAsia="zh-CN"/>
        </w:rPr>
        <w:t>接地跨接</w:t>
      </w:r>
      <w:r>
        <w:rPr>
          <w:rFonts w:hint="eastAsia" w:ascii="宋体" w:hAnsi="宋体" w:eastAsia="宋体" w:cs="宋体"/>
          <w:color w:val="auto"/>
          <w:kern w:val="2"/>
          <w:sz w:val="21"/>
          <w:szCs w:val="21"/>
          <w:highlight w:val="none"/>
        </w:rPr>
        <w:t>。</w:t>
      </w:r>
    </w:p>
    <w:p w14:paraId="028222AC">
      <w:pPr>
        <w:widowControl w:val="0"/>
        <w:wordWrap w:val="0"/>
        <w:adjustRightInd/>
        <w:snapToGrid/>
        <w:spacing w:after="0" w:line="288" w:lineRule="auto"/>
        <w:ind w:firstLine="420" w:firstLineChars="200"/>
        <w:jc w:val="both"/>
        <w:rPr>
          <w:color w:val="auto"/>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）光伏组件与导轨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排水槽</w:t>
      </w:r>
      <w:r>
        <w:rPr>
          <w:rFonts w:hint="eastAsia" w:ascii="宋体" w:hAnsi="宋体" w:eastAsia="宋体" w:cs="宋体"/>
          <w:color w:val="auto"/>
          <w:kern w:val="2"/>
          <w:sz w:val="21"/>
          <w:szCs w:val="21"/>
          <w:highlight w:val="none"/>
        </w:rPr>
        <w:t>之间</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排水槽与光伏结构棚架之间、桥架与桥架之间</w:t>
      </w:r>
      <w:r>
        <w:rPr>
          <w:rFonts w:hint="eastAsia" w:ascii="宋体" w:hAnsi="宋体" w:eastAsia="宋体" w:cs="宋体"/>
          <w:color w:val="auto"/>
          <w:kern w:val="2"/>
          <w:sz w:val="21"/>
          <w:szCs w:val="21"/>
          <w:highlight w:val="none"/>
        </w:rPr>
        <w:t>做好</w:t>
      </w:r>
      <w:r>
        <w:rPr>
          <w:rFonts w:hint="eastAsia" w:ascii="宋体" w:hAnsi="宋体" w:eastAsia="宋体" w:cs="宋体"/>
          <w:color w:val="auto"/>
          <w:kern w:val="2"/>
          <w:sz w:val="21"/>
          <w:szCs w:val="21"/>
          <w:highlight w:val="none"/>
          <w:lang w:val="en-US" w:eastAsia="zh-CN"/>
        </w:rPr>
        <w:t>不少于4mm2的铜线绝缘</w:t>
      </w:r>
      <w:r>
        <w:rPr>
          <w:rFonts w:hint="eastAsia" w:ascii="宋体" w:hAnsi="宋体" w:eastAsia="宋体" w:cs="宋体"/>
          <w:color w:val="auto"/>
          <w:kern w:val="2"/>
          <w:sz w:val="21"/>
          <w:szCs w:val="21"/>
          <w:highlight w:val="none"/>
        </w:rPr>
        <w:t>接地线</w:t>
      </w:r>
      <w:r>
        <w:rPr>
          <w:rFonts w:hint="eastAsia" w:ascii="宋体" w:hAnsi="宋体" w:eastAsia="宋体" w:cs="宋体"/>
          <w:color w:val="auto"/>
          <w:kern w:val="2"/>
          <w:sz w:val="21"/>
          <w:szCs w:val="21"/>
          <w:highlight w:val="none"/>
          <w:lang w:val="en-US" w:eastAsia="zh-CN"/>
        </w:rPr>
        <w:t>跨接</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等电位连接与接地。</w:t>
      </w:r>
    </w:p>
    <w:p w14:paraId="0CE4D5D4">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7</w:t>
      </w:r>
      <w:r>
        <w:rPr>
          <w:rFonts w:hint="eastAsia" w:ascii="宋体" w:hAnsi="宋体" w:eastAsia="宋体" w:cs="宋体"/>
          <w:color w:val="auto"/>
          <w:kern w:val="2"/>
          <w:sz w:val="21"/>
          <w:szCs w:val="21"/>
          <w:highlight w:val="none"/>
        </w:rPr>
        <w:t>）光伏组件作为建筑一部分，本身要具备很好的防雷措施，与建筑物的防雷带</w:t>
      </w:r>
      <w:r>
        <w:rPr>
          <w:rFonts w:hint="eastAsia" w:ascii="宋体" w:hAnsi="宋体" w:eastAsia="宋体" w:cs="宋体"/>
          <w:color w:val="auto"/>
          <w:kern w:val="2"/>
          <w:sz w:val="21"/>
          <w:szCs w:val="21"/>
          <w:highlight w:val="none"/>
          <w:lang w:val="en-US" w:eastAsia="zh-CN"/>
        </w:rPr>
        <w:t>必须进行可靠连接（或与增设的防雷接闪网、接闪带可靠连接）</w:t>
      </w:r>
      <w:r>
        <w:rPr>
          <w:rFonts w:hint="eastAsia" w:ascii="宋体" w:hAnsi="宋体" w:eastAsia="宋体" w:cs="宋体"/>
          <w:color w:val="auto"/>
          <w:kern w:val="2"/>
          <w:sz w:val="21"/>
          <w:szCs w:val="21"/>
          <w:highlight w:val="none"/>
        </w:rPr>
        <w:t>。在并网逆变器、交流汇流箱，光伏并网柜都应该有分级别的防雷防浪涌保护模块，保护相关的电气设备和线路。</w:t>
      </w:r>
    </w:p>
    <w:p w14:paraId="662F89C6">
      <w:pPr>
        <w:widowControl w:val="0"/>
        <w:wordWrap w:val="0"/>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安装组件的屋面，必须设置接闪网、接闪带进行保护，并应在整个屋面组成不大于20m×20m或24 m×16m的网格。</w:t>
      </w:r>
    </w:p>
    <w:p w14:paraId="25DFE3C8">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）防雷设施安装必须符合《建筑物防雷设计规范》GB50057</w:t>
      </w:r>
      <w:r>
        <w:rPr>
          <w:rFonts w:hint="eastAsia" w:ascii="宋体" w:hAnsi="宋体" w:eastAsia="宋体" w:cs="宋体"/>
          <w:color w:val="auto"/>
          <w:kern w:val="2"/>
          <w:sz w:val="21"/>
          <w:szCs w:val="21"/>
          <w:highlight w:val="none"/>
          <w:lang w:eastAsia="zh-CN"/>
        </w:rPr>
        <w:t>、《民用建筑电气设计标准》GB51348</w:t>
      </w:r>
      <w:r>
        <w:rPr>
          <w:rFonts w:hint="eastAsia" w:ascii="宋体" w:hAnsi="宋体" w:eastAsia="宋体" w:cs="宋体"/>
          <w:color w:val="auto"/>
          <w:kern w:val="2"/>
          <w:sz w:val="21"/>
          <w:szCs w:val="21"/>
          <w:highlight w:val="none"/>
        </w:rPr>
        <w:t>及国家相关规范要求。</w:t>
      </w:r>
    </w:p>
    <w:p w14:paraId="37A78861">
      <w:pPr>
        <w:widowControl w:val="0"/>
        <w:wordWrap w:val="0"/>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）彩钢瓦屋面要求在</w:t>
      </w:r>
      <w:r>
        <w:rPr>
          <w:rFonts w:hint="eastAsia" w:ascii="宋体" w:hAnsi="宋体" w:eastAsia="宋体" w:cs="宋体"/>
          <w:color w:val="auto"/>
          <w:kern w:val="2"/>
          <w:sz w:val="21"/>
          <w:szCs w:val="21"/>
          <w:highlight w:val="none"/>
          <w:lang w:val="en-US" w:eastAsia="zh-CN"/>
        </w:rPr>
        <w:t>焊接防雷网时</w:t>
      </w:r>
      <w:r>
        <w:rPr>
          <w:rFonts w:hint="eastAsia" w:ascii="宋体" w:hAnsi="宋体" w:eastAsia="宋体" w:cs="宋体"/>
          <w:color w:val="auto"/>
          <w:kern w:val="2"/>
          <w:sz w:val="21"/>
          <w:szCs w:val="21"/>
          <w:highlight w:val="none"/>
        </w:rPr>
        <w:t>，应在底部铺满防火隔热板，防止燃烧物溅落至彩钢瓦屋面，烧坏屋顶。</w:t>
      </w:r>
    </w:p>
    <w:p w14:paraId="40795657">
      <w:pPr>
        <w:widowControl w:val="0"/>
        <w:adjustRightInd/>
        <w:snapToGrid/>
        <w:spacing w:after="0" w:line="360" w:lineRule="auto"/>
        <w:jc w:val="both"/>
        <w:rPr>
          <w:rFonts w:ascii="宋体" w:hAnsi="宋体" w:eastAsia="宋体" w:cs="Times New Roman"/>
          <w:b/>
          <w:bCs/>
          <w:color w:val="auto"/>
          <w:kern w:val="2"/>
          <w:sz w:val="21"/>
          <w:szCs w:val="24"/>
          <w:highlight w:val="none"/>
        </w:rPr>
      </w:pPr>
      <w:r>
        <w:rPr>
          <w:rFonts w:hint="eastAsia" w:ascii="宋体" w:hAnsi="宋体" w:eastAsia="宋体" w:cs="Times New Roman"/>
          <w:b/>
          <w:bCs/>
          <w:color w:val="auto"/>
          <w:kern w:val="2"/>
          <w:sz w:val="21"/>
          <w:szCs w:val="24"/>
          <w:highlight w:val="none"/>
          <w:lang w:val="en-US" w:eastAsia="zh-CN"/>
        </w:rPr>
        <w:t>10</w:t>
      </w:r>
      <w:r>
        <w:rPr>
          <w:rFonts w:hint="eastAsia" w:ascii="宋体" w:hAnsi="宋体" w:eastAsia="宋体" w:cs="Times New Roman"/>
          <w:b/>
          <w:bCs/>
          <w:color w:val="auto"/>
          <w:kern w:val="2"/>
          <w:sz w:val="21"/>
          <w:szCs w:val="24"/>
          <w:highlight w:val="none"/>
        </w:rPr>
        <w:t>.视频监控系统技术要求</w:t>
      </w:r>
    </w:p>
    <w:p w14:paraId="0C9EA7F7">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（1）投标单位提供整套光伏项目的智能型综合自动化系统，实时监测系统的运行情况；该系统集电站设备</w:t>
      </w:r>
      <w:r>
        <w:rPr>
          <w:rFonts w:hint="eastAsia" w:ascii="宋体" w:hAnsi="宋体" w:eastAsia="宋体" w:cs="宋体"/>
          <w:color w:val="auto"/>
          <w:kern w:val="2"/>
          <w:sz w:val="21"/>
          <w:szCs w:val="21"/>
          <w:highlight w:val="none"/>
          <w:lang w:val="en-US" w:eastAsia="zh-CN"/>
        </w:rPr>
        <w:t>视频</w:t>
      </w:r>
      <w:r>
        <w:rPr>
          <w:rFonts w:hint="eastAsia" w:ascii="宋体" w:hAnsi="宋体" w:eastAsia="宋体" w:cs="宋体"/>
          <w:color w:val="auto"/>
          <w:kern w:val="2"/>
          <w:sz w:val="21"/>
          <w:szCs w:val="21"/>
          <w:highlight w:val="none"/>
        </w:rPr>
        <w:t>监控、电站发电量整体分析、生产报表等于一体，使光伏电站实现安全、规范、高效、智能的运行，保证电站获得持续稳定的发电收益。本项目中系统监控管理由中标方提供，中标方负责安装调试及配合业主后期维护。</w:t>
      </w:r>
    </w:p>
    <w:p w14:paraId="098250DD">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视频监控</w:t>
      </w:r>
      <w:r>
        <w:rPr>
          <w:rFonts w:hint="eastAsia" w:ascii="宋体" w:hAnsi="宋体" w:eastAsia="宋体" w:cs="宋体"/>
          <w:color w:val="auto"/>
          <w:kern w:val="2"/>
          <w:sz w:val="21"/>
          <w:szCs w:val="21"/>
          <w:highlight w:val="none"/>
        </w:rPr>
        <w:t>采用高清光口网络摄像机加光口高速摄像机的模式，</w:t>
      </w:r>
      <w:r>
        <w:rPr>
          <w:rFonts w:hint="eastAsia" w:ascii="宋体" w:hAnsi="宋体" w:eastAsia="宋体" w:cs="宋体"/>
          <w:color w:val="auto"/>
          <w:kern w:val="2"/>
          <w:sz w:val="21"/>
          <w:szCs w:val="21"/>
          <w:highlight w:val="none"/>
          <w:lang w:val="en-US" w:eastAsia="zh-CN"/>
        </w:rPr>
        <w:t>投资方</w:t>
      </w:r>
      <w:r>
        <w:rPr>
          <w:rFonts w:hint="eastAsia" w:ascii="宋体" w:hAnsi="宋体" w:eastAsia="宋体" w:cs="宋体"/>
          <w:color w:val="auto"/>
          <w:kern w:val="2"/>
          <w:sz w:val="21"/>
          <w:szCs w:val="21"/>
          <w:highlight w:val="none"/>
        </w:rPr>
        <w:t>能通过投标单位提供的网络地址</w:t>
      </w:r>
      <w:r>
        <w:rPr>
          <w:rFonts w:hint="eastAsia" w:ascii="宋体" w:hAnsi="宋体" w:eastAsia="宋体" w:cs="宋体"/>
          <w:color w:val="auto"/>
          <w:kern w:val="2"/>
          <w:sz w:val="21"/>
          <w:szCs w:val="21"/>
          <w:highlight w:val="none"/>
          <w:lang w:val="en-US" w:eastAsia="zh-CN"/>
        </w:rPr>
        <w:t>或软件</w:t>
      </w:r>
      <w:r>
        <w:rPr>
          <w:rFonts w:hint="eastAsia" w:ascii="宋体" w:hAnsi="宋体" w:eastAsia="宋体" w:cs="宋体"/>
          <w:color w:val="auto"/>
          <w:kern w:val="2"/>
          <w:sz w:val="21"/>
          <w:szCs w:val="21"/>
          <w:highlight w:val="none"/>
        </w:rPr>
        <w:t>对</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电站</w:t>
      </w:r>
      <w:r>
        <w:rPr>
          <w:rFonts w:hint="eastAsia" w:ascii="宋体" w:hAnsi="宋体" w:eastAsia="宋体" w:cs="宋体"/>
          <w:color w:val="auto"/>
          <w:kern w:val="2"/>
          <w:sz w:val="21"/>
          <w:szCs w:val="21"/>
          <w:highlight w:val="none"/>
          <w:lang w:val="en-US" w:eastAsia="zh-CN"/>
        </w:rPr>
        <w:t>进行实时</w:t>
      </w:r>
      <w:r>
        <w:rPr>
          <w:rFonts w:hint="eastAsia" w:ascii="宋体" w:hAnsi="宋体" w:eastAsia="宋体" w:cs="宋体"/>
          <w:color w:val="auto"/>
          <w:kern w:val="2"/>
          <w:sz w:val="21"/>
          <w:szCs w:val="21"/>
          <w:highlight w:val="none"/>
        </w:rPr>
        <w:t>远程监控，图像分辨率达到1280*960以上，镜头变倍≥20 倍光学变焦，能够分辨出设备的外观及运行状态、识别出人员车辆等，防护等级要求达到IP67，TVS 8000V防雷、防浪涌、防突波，具有红外夜视功能，夜视距离≥150 米，使用先进的压缩编码技术，视频图像直接在前端进行压缩，通过网络传输回电站监控室，避免外界电磁场对图像的影响。</w:t>
      </w:r>
    </w:p>
    <w:p w14:paraId="15013D4A">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视频监控</w:t>
      </w:r>
      <w:r>
        <w:rPr>
          <w:rFonts w:hint="eastAsia" w:ascii="宋体" w:hAnsi="宋体" w:eastAsia="宋体" w:cs="宋体"/>
          <w:color w:val="auto"/>
          <w:kern w:val="2"/>
          <w:sz w:val="21"/>
          <w:szCs w:val="21"/>
          <w:highlight w:val="none"/>
        </w:rPr>
        <w:t>系统既支持</w:t>
      </w:r>
      <w:r>
        <w:rPr>
          <w:rFonts w:hint="eastAsia" w:ascii="宋体" w:hAnsi="宋体" w:eastAsia="宋体" w:cs="宋体"/>
          <w:color w:val="auto"/>
          <w:kern w:val="2"/>
          <w:sz w:val="21"/>
          <w:szCs w:val="21"/>
          <w:highlight w:val="none"/>
          <w:lang w:val="en-US" w:eastAsia="zh-CN"/>
        </w:rPr>
        <w:t>光伏电</w:t>
      </w:r>
      <w:r>
        <w:rPr>
          <w:rFonts w:hint="eastAsia" w:ascii="宋体" w:hAnsi="宋体" w:eastAsia="宋体" w:cs="宋体"/>
          <w:color w:val="auto"/>
          <w:kern w:val="2"/>
          <w:sz w:val="21"/>
          <w:szCs w:val="21"/>
          <w:highlight w:val="none"/>
        </w:rPr>
        <w:t>站全景展示又能进行细节展示，对于重要设备还具有从多个摄像机进行多角度监视的功能</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w:t>
      </w:r>
      <w:r>
        <w:rPr>
          <w:rFonts w:hint="eastAsia" w:ascii="宋体" w:hAnsi="宋体" w:eastAsia="宋体" w:cs="宋体"/>
          <w:color w:val="auto"/>
          <w:kern w:val="2"/>
          <w:sz w:val="21"/>
          <w:szCs w:val="21"/>
          <w:highlight w:val="none"/>
        </w:rPr>
        <w:t>实时图像自动复位，即可对发电阵列内可旋转的摄像机设定默认监视位置，正常状态下摄像机保持默认位置；在控制完成后自动恢复到默认监视位置。</w:t>
      </w:r>
    </w:p>
    <w:p w14:paraId="6476940F">
      <w:pPr>
        <w:widowControl w:val="0"/>
        <w:wordWrap w:val="0"/>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）项目通电并网后</w:t>
      </w:r>
      <w:r>
        <w:rPr>
          <w:rFonts w:hint="eastAsia" w:ascii="宋体" w:hAnsi="宋体" w:eastAsia="宋体" w:cs="宋体"/>
          <w:color w:val="auto"/>
          <w:kern w:val="2"/>
          <w:sz w:val="21"/>
          <w:szCs w:val="21"/>
          <w:highlight w:val="none"/>
          <w:lang w:val="en-US" w:eastAsia="zh-CN"/>
        </w:rPr>
        <w:t>承包</w:t>
      </w:r>
      <w:r>
        <w:rPr>
          <w:rFonts w:hint="eastAsia" w:ascii="宋体" w:hAnsi="宋体" w:eastAsia="宋体" w:cs="宋体"/>
          <w:color w:val="auto"/>
          <w:kern w:val="2"/>
          <w:sz w:val="21"/>
          <w:szCs w:val="21"/>
          <w:highlight w:val="none"/>
        </w:rPr>
        <w:t>单位</w:t>
      </w:r>
      <w:r>
        <w:rPr>
          <w:rFonts w:hint="eastAsia" w:ascii="宋体" w:hAnsi="宋体" w:eastAsia="宋体" w:cs="宋体"/>
          <w:color w:val="auto"/>
          <w:kern w:val="2"/>
          <w:sz w:val="21"/>
          <w:szCs w:val="21"/>
          <w:highlight w:val="none"/>
          <w:lang w:val="en-US" w:eastAsia="zh-CN"/>
        </w:rPr>
        <w:t>必须</w:t>
      </w:r>
      <w:r>
        <w:rPr>
          <w:rFonts w:hint="eastAsia" w:ascii="宋体" w:hAnsi="宋体" w:eastAsia="宋体" w:cs="宋体"/>
          <w:color w:val="auto"/>
          <w:kern w:val="2"/>
          <w:sz w:val="21"/>
          <w:szCs w:val="21"/>
          <w:highlight w:val="none"/>
        </w:rPr>
        <w:t>负责</w:t>
      </w:r>
      <w:r>
        <w:rPr>
          <w:rFonts w:hint="eastAsia" w:ascii="宋体" w:hAnsi="宋体" w:eastAsia="宋体" w:cs="宋体"/>
          <w:color w:val="auto"/>
          <w:kern w:val="2"/>
          <w:sz w:val="21"/>
          <w:szCs w:val="21"/>
          <w:highlight w:val="none"/>
          <w:lang w:val="en-US" w:eastAsia="zh-CN"/>
        </w:rPr>
        <w:t>为安全运维部技术员</w:t>
      </w:r>
      <w:r>
        <w:rPr>
          <w:rFonts w:hint="eastAsia" w:ascii="宋体" w:hAnsi="宋体" w:eastAsia="宋体" w:cs="宋体"/>
          <w:color w:val="auto"/>
          <w:kern w:val="2"/>
          <w:sz w:val="21"/>
          <w:szCs w:val="21"/>
          <w:highlight w:val="none"/>
        </w:rPr>
        <w:t>注册APP</w:t>
      </w:r>
      <w:r>
        <w:rPr>
          <w:rFonts w:hint="eastAsia" w:ascii="宋体" w:hAnsi="宋体" w:eastAsia="宋体" w:cs="宋体"/>
          <w:color w:val="auto"/>
          <w:kern w:val="2"/>
          <w:sz w:val="21"/>
          <w:szCs w:val="21"/>
          <w:highlight w:val="none"/>
          <w:lang w:val="en-US" w:eastAsia="zh-CN"/>
        </w:rPr>
        <w:t>视频</w:t>
      </w:r>
      <w:r>
        <w:rPr>
          <w:rFonts w:hint="eastAsia" w:ascii="宋体" w:hAnsi="宋体" w:eastAsia="宋体" w:cs="宋体"/>
          <w:color w:val="auto"/>
          <w:kern w:val="2"/>
          <w:sz w:val="21"/>
          <w:szCs w:val="21"/>
          <w:highlight w:val="none"/>
        </w:rPr>
        <w:t>监控软件，并将光伏电站现场实时监测数据联通传送至</w:t>
      </w:r>
      <w:r>
        <w:rPr>
          <w:rFonts w:hint="eastAsia" w:ascii="宋体" w:hAnsi="宋体" w:eastAsia="宋体" w:cs="宋体"/>
          <w:color w:val="auto"/>
          <w:kern w:val="2"/>
          <w:sz w:val="21"/>
          <w:szCs w:val="21"/>
          <w:highlight w:val="none"/>
          <w:lang w:val="en-US" w:eastAsia="zh-CN"/>
        </w:rPr>
        <w:t>东莞市新锋新能源有限公司</w:t>
      </w:r>
      <w:r>
        <w:rPr>
          <w:rFonts w:hint="eastAsia" w:ascii="宋体" w:hAnsi="宋体" w:eastAsia="宋体" w:cs="宋体"/>
          <w:color w:val="auto"/>
          <w:kern w:val="2"/>
          <w:sz w:val="21"/>
          <w:szCs w:val="21"/>
          <w:highlight w:val="none"/>
        </w:rPr>
        <w:t>数据控制中心PC端，实现集中监控</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具体要求如下：</w:t>
      </w:r>
    </w:p>
    <w:tbl>
      <w:tblPr>
        <w:tblStyle w:val="80"/>
        <w:tblW w:w="504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43"/>
        <w:gridCol w:w="2190"/>
        <w:gridCol w:w="5149"/>
      </w:tblGrid>
      <w:tr w14:paraId="63B9F3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23" w:hRule="atLeast"/>
          <w:jc w:val="center"/>
        </w:trPr>
        <w:tc>
          <w:tcPr>
            <w:tcW w:w="622" w:type="pct"/>
            <w:vAlign w:val="center"/>
          </w:tcPr>
          <w:p w14:paraId="3AC30981">
            <w:pPr>
              <w:widowControl w:val="0"/>
              <w:adjustRightInd/>
              <w:snapToGrid/>
              <w:spacing w:after="0" w:line="288" w:lineRule="auto"/>
              <w:jc w:val="center"/>
              <w:rPr>
                <w:rFonts w:ascii="宋体" w:hAnsi="宋体" w:eastAsia="宋体" w:cs="宋体"/>
                <w:b/>
                <w:bCs/>
                <w:color w:val="auto"/>
                <w:kern w:val="2"/>
                <w:sz w:val="21"/>
                <w:szCs w:val="21"/>
                <w:highlight w:val="none"/>
              </w:rPr>
            </w:pPr>
            <w:r>
              <w:rPr>
                <w:rFonts w:ascii="宋体" w:hAnsi="宋体" w:eastAsia="宋体" w:cs="宋体"/>
                <w:b/>
                <w:bCs/>
                <w:color w:val="auto"/>
                <w:spacing w:val="-5"/>
                <w:kern w:val="2"/>
                <w:sz w:val="21"/>
                <w:szCs w:val="21"/>
                <w:highlight w:val="none"/>
              </w:rPr>
              <w:t>区</w:t>
            </w:r>
            <w:r>
              <w:rPr>
                <w:rFonts w:ascii="宋体" w:hAnsi="宋体" w:eastAsia="宋体" w:cs="宋体"/>
                <w:b/>
                <w:bCs/>
                <w:color w:val="auto"/>
                <w:spacing w:val="-3"/>
                <w:kern w:val="2"/>
                <w:sz w:val="21"/>
                <w:szCs w:val="21"/>
                <w:highlight w:val="none"/>
              </w:rPr>
              <w:t>域</w:t>
            </w:r>
          </w:p>
        </w:tc>
        <w:tc>
          <w:tcPr>
            <w:tcW w:w="1306" w:type="pct"/>
            <w:vAlign w:val="center"/>
          </w:tcPr>
          <w:p w14:paraId="59DFCE6A">
            <w:pPr>
              <w:widowControl w:val="0"/>
              <w:adjustRightInd/>
              <w:snapToGrid/>
              <w:spacing w:after="0" w:line="288" w:lineRule="auto"/>
              <w:jc w:val="center"/>
              <w:rPr>
                <w:rFonts w:ascii="宋体" w:hAnsi="宋体" w:eastAsia="宋体" w:cs="宋体"/>
                <w:b/>
                <w:bCs/>
                <w:color w:val="auto"/>
                <w:kern w:val="2"/>
                <w:sz w:val="21"/>
                <w:szCs w:val="21"/>
                <w:highlight w:val="none"/>
              </w:rPr>
            </w:pPr>
            <w:r>
              <w:rPr>
                <w:rFonts w:ascii="宋体" w:hAnsi="宋体" w:eastAsia="宋体" w:cs="宋体"/>
                <w:b/>
                <w:bCs/>
                <w:color w:val="auto"/>
                <w:spacing w:val="8"/>
                <w:kern w:val="2"/>
                <w:sz w:val="21"/>
                <w:szCs w:val="21"/>
                <w:highlight w:val="none"/>
              </w:rPr>
              <w:t>摄像头数量</w:t>
            </w:r>
          </w:p>
        </w:tc>
        <w:tc>
          <w:tcPr>
            <w:tcW w:w="3071" w:type="pct"/>
            <w:vAlign w:val="center"/>
          </w:tcPr>
          <w:p w14:paraId="2E15B2DA">
            <w:pPr>
              <w:widowControl w:val="0"/>
              <w:adjustRightInd/>
              <w:snapToGrid/>
              <w:spacing w:after="0" w:line="288" w:lineRule="auto"/>
              <w:jc w:val="center"/>
              <w:rPr>
                <w:rFonts w:ascii="宋体" w:hAnsi="宋体" w:eastAsia="宋体" w:cs="宋体"/>
                <w:b/>
                <w:bCs/>
                <w:color w:val="auto"/>
                <w:kern w:val="2"/>
                <w:sz w:val="21"/>
                <w:szCs w:val="21"/>
                <w:highlight w:val="none"/>
              </w:rPr>
            </w:pPr>
            <w:r>
              <w:rPr>
                <w:rFonts w:hint="eastAsia" w:ascii="宋体" w:hAnsi="宋体" w:eastAsia="宋体" w:cs="宋体"/>
                <w:b/>
                <w:bCs/>
                <w:color w:val="auto"/>
                <w:spacing w:val="4"/>
                <w:kern w:val="2"/>
                <w:sz w:val="21"/>
                <w:szCs w:val="21"/>
                <w:highlight w:val="none"/>
                <w:lang w:val="en-US" w:eastAsia="zh-CN"/>
              </w:rPr>
              <w:t>技术</w:t>
            </w:r>
          </w:p>
        </w:tc>
      </w:tr>
      <w:tr w14:paraId="05FEA8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3" w:hRule="atLeast"/>
          <w:jc w:val="center"/>
        </w:trPr>
        <w:tc>
          <w:tcPr>
            <w:tcW w:w="622" w:type="pct"/>
            <w:vAlign w:val="center"/>
          </w:tcPr>
          <w:p w14:paraId="5AE92DD0">
            <w:pPr>
              <w:widowControl w:val="0"/>
              <w:adjustRightInd/>
              <w:snapToGrid/>
              <w:spacing w:after="0" w:line="288" w:lineRule="auto"/>
              <w:jc w:val="center"/>
              <w:rPr>
                <w:rFonts w:hint="eastAsia" w:ascii="宋体" w:hAnsi="宋体" w:eastAsia="宋体" w:cs="宋体"/>
                <w:color w:val="auto"/>
                <w:spacing w:val="4"/>
                <w:kern w:val="2"/>
                <w:sz w:val="21"/>
                <w:szCs w:val="21"/>
                <w:highlight w:val="none"/>
                <w:lang w:val="en-US" w:eastAsia="zh-CN"/>
              </w:rPr>
            </w:pPr>
            <w:r>
              <w:rPr>
                <w:rFonts w:hint="eastAsia" w:ascii="宋体" w:hAnsi="宋体" w:eastAsia="宋体" w:cs="宋体"/>
                <w:color w:val="auto"/>
                <w:spacing w:val="4"/>
                <w:kern w:val="2"/>
                <w:sz w:val="21"/>
                <w:szCs w:val="21"/>
                <w:highlight w:val="none"/>
                <w:lang w:val="en-US" w:eastAsia="zh-CN"/>
              </w:rPr>
              <w:t>光伏</w:t>
            </w:r>
          </w:p>
          <w:p w14:paraId="2D0C6187">
            <w:pPr>
              <w:widowControl w:val="0"/>
              <w:adjustRightInd/>
              <w:snapToGrid/>
              <w:spacing w:after="0" w:line="288" w:lineRule="auto"/>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spacing w:val="4"/>
                <w:kern w:val="2"/>
                <w:sz w:val="21"/>
                <w:szCs w:val="21"/>
                <w:highlight w:val="none"/>
                <w:lang w:val="en-US" w:eastAsia="zh-CN"/>
              </w:rPr>
              <w:t>组件</w:t>
            </w:r>
          </w:p>
        </w:tc>
        <w:tc>
          <w:tcPr>
            <w:tcW w:w="1306" w:type="pct"/>
            <w:vMerge w:val="restart"/>
            <w:vAlign w:val="center"/>
          </w:tcPr>
          <w:p w14:paraId="793290F3">
            <w:pPr>
              <w:widowControl w:val="0"/>
              <w:adjustRightInd/>
              <w:snapToGrid/>
              <w:spacing w:after="0" w:line="288" w:lineRule="auto"/>
              <w:jc w:val="center"/>
              <w:rPr>
                <w:rFonts w:ascii="宋体" w:hAnsi="宋体" w:eastAsia="宋体" w:cs="宋体"/>
                <w:color w:val="auto"/>
                <w:kern w:val="2"/>
                <w:sz w:val="21"/>
                <w:szCs w:val="21"/>
                <w:highlight w:val="none"/>
              </w:rPr>
            </w:pPr>
          </w:p>
          <w:p w14:paraId="64E2FC31">
            <w:pPr>
              <w:widowControl w:val="0"/>
              <w:adjustRightInd/>
              <w:snapToGrid/>
              <w:spacing w:after="0" w:line="288" w:lineRule="auto"/>
              <w:jc w:val="left"/>
              <w:rPr>
                <w:rFonts w:hint="eastAsia" w:ascii="宋体" w:hAnsi="宋体" w:eastAsia="宋体" w:cs="宋体"/>
                <w:color w:val="auto"/>
                <w:kern w:val="2"/>
                <w:sz w:val="21"/>
                <w:szCs w:val="21"/>
                <w:highlight w:val="none"/>
                <w:lang w:eastAsia="zh-CN"/>
              </w:rPr>
            </w:pPr>
            <w:r>
              <w:rPr>
                <w:rFonts w:ascii="宋体" w:hAnsi="宋体" w:eastAsia="宋体" w:cs="宋体"/>
                <w:color w:val="auto"/>
                <w:spacing w:val="-4"/>
                <w:kern w:val="2"/>
                <w:sz w:val="21"/>
                <w:szCs w:val="21"/>
                <w:highlight w:val="none"/>
              </w:rPr>
              <w:t>1.</w:t>
            </w:r>
            <w:r>
              <w:rPr>
                <w:rFonts w:hint="eastAsia" w:ascii="宋体" w:hAnsi="宋体" w:eastAsia="宋体" w:cs="宋体"/>
                <w:color w:val="auto"/>
                <w:kern w:val="2"/>
                <w:sz w:val="21"/>
                <w:szCs w:val="21"/>
                <w:highlight w:val="none"/>
              </w:rPr>
              <w:t>根据现场及业主意见调整</w:t>
            </w:r>
            <w:r>
              <w:rPr>
                <w:rFonts w:hint="eastAsia" w:ascii="宋体" w:hAnsi="宋体" w:eastAsia="宋体" w:cs="宋体"/>
                <w:color w:val="auto"/>
                <w:kern w:val="2"/>
                <w:sz w:val="21"/>
                <w:szCs w:val="21"/>
                <w:highlight w:val="none"/>
                <w:lang w:eastAsia="zh-CN"/>
              </w:rPr>
              <w:t>；</w:t>
            </w:r>
          </w:p>
          <w:p w14:paraId="6A27002F">
            <w:pPr>
              <w:widowControl w:val="0"/>
              <w:adjustRightInd/>
              <w:snapToGrid/>
              <w:spacing w:after="0" w:line="288" w:lineRule="auto"/>
              <w:ind w:right="203"/>
              <w:jc w:val="both"/>
              <w:rPr>
                <w:rFonts w:hint="eastAsia" w:ascii="宋体" w:hAnsi="宋体" w:eastAsia="宋体" w:cs="宋体"/>
                <w:color w:val="auto"/>
                <w:spacing w:val="8"/>
                <w:kern w:val="2"/>
                <w:sz w:val="21"/>
                <w:szCs w:val="21"/>
                <w:highlight w:val="none"/>
                <w:lang w:eastAsia="zh-CN"/>
              </w:rPr>
            </w:pPr>
            <w:r>
              <w:rPr>
                <w:rFonts w:hint="eastAsia" w:ascii="宋体" w:hAnsi="宋体" w:eastAsia="宋体" w:cs="宋体"/>
                <w:color w:val="auto"/>
                <w:spacing w:val="8"/>
                <w:kern w:val="2"/>
                <w:sz w:val="21"/>
                <w:szCs w:val="21"/>
                <w:highlight w:val="none"/>
                <w:lang w:val="en-US" w:eastAsia="zh-CN"/>
              </w:rPr>
              <w:t>2</w:t>
            </w:r>
            <w:r>
              <w:rPr>
                <w:rFonts w:ascii="宋体" w:hAnsi="宋体" w:eastAsia="宋体" w:cs="宋体"/>
                <w:color w:val="auto"/>
                <w:spacing w:val="8"/>
                <w:kern w:val="2"/>
                <w:sz w:val="21"/>
                <w:szCs w:val="21"/>
                <w:highlight w:val="none"/>
              </w:rPr>
              <w:t>.</w:t>
            </w:r>
            <w:r>
              <w:rPr>
                <w:rFonts w:hint="eastAsia" w:ascii="宋体" w:hAnsi="宋体" w:eastAsia="宋体" w:cs="宋体"/>
                <w:color w:val="auto"/>
                <w:spacing w:val="8"/>
                <w:kern w:val="2"/>
                <w:sz w:val="21"/>
                <w:szCs w:val="21"/>
                <w:highlight w:val="none"/>
              </w:rPr>
              <w:t>视频监控画面必须覆盖所有光伏</w:t>
            </w:r>
            <w:r>
              <w:rPr>
                <w:rFonts w:hint="eastAsia" w:ascii="宋体" w:hAnsi="宋体" w:eastAsia="宋体" w:cs="宋体"/>
                <w:color w:val="auto"/>
                <w:spacing w:val="8"/>
                <w:kern w:val="2"/>
                <w:sz w:val="21"/>
                <w:szCs w:val="21"/>
                <w:highlight w:val="none"/>
                <w:lang w:val="en-US" w:eastAsia="zh-CN"/>
              </w:rPr>
              <w:t>组件</w:t>
            </w:r>
            <w:r>
              <w:rPr>
                <w:rFonts w:hint="eastAsia" w:ascii="宋体" w:hAnsi="宋体" w:eastAsia="宋体" w:cs="宋体"/>
                <w:color w:val="auto"/>
                <w:spacing w:val="8"/>
                <w:kern w:val="2"/>
                <w:sz w:val="21"/>
                <w:szCs w:val="21"/>
                <w:highlight w:val="none"/>
              </w:rPr>
              <w:t>、逆变器区域，不得存在盲区</w:t>
            </w:r>
            <w:r>
              <w:rPr>
                <w:rFonts w:hint="eastAsia" w:ascii="宋体" w:hAnsi="宋体" w:eastAsia="宋体" w:cs="宋体"/>
                <w:color w:val="auto"/>
                <w:spacing w:val="8"/>
                <w:kern w:val="2"/>
                <w:sz w:val="21"/>
                <w:szCs w:val="21"/>
                <w:highlight w:val="none"/>
                <w:lang w:eastAsia="zh-CN"/>
              </w:rPr>
              <w:t>；</w:t>
            </w:r>
          </w:p>
          <w:p w14:paraId="0F38A58F">
            <w:pPr>
              <w:widowControl w:val="0"/>
              <w:adjustRightInd/>
              <w:snapToGrid/>
              <w:spacing w:after="0" w:line="288" w:lineRule="auto"/>
              <w:jc w:val="center"/>
              <w:rPr>
                <w:rFonts w:ascii="宋体" w:hAnsi="宋体" w:eastAsia="宋体" w:cs="宋体"/>
                <w:color w:val="auto"/>
                <w:kern w:val="2"/>
                <w:sz w:val="21"/>
                <w:szCs w:val="21"/>
                <w:highlight w:val="none"/>
              </w:rPr>
            </w:pPr>
          </w:p>
        </w:tc>
        <w:tc>
          <w:tcPr>
            <w:tcW w:w="3071" w:type="pct"/>
            <w:vMerge w:val="restart"/>
            <w:tcBorders>
              <w:bottom w:val="nil"/>
            </w:tcBorders>
            <w:vAlign w:val="center"/>
          </w:tcPr>
          <w:p w14:paraId="08BB29C7">
            <w:pPr>
              <w:pageBreakBefore w:val="0"/>
              <w:widowControl w:val="0"/>
              <w:kinsoku/>
              <w:overflowPunct/>
              <w:topLinePunct w:val="0"/>
              <w:autoSpaceDE/>
              <w:autoSpaceDN/>
              <w:bidi w:val="0"/>
              <w:adjustRightInd/>
              <w:snapToGrid/>
              <w:spacing w:after="0" w:line="400" w:lineRule="exact"/>
              <w:ind w:right="203"/>
              <w:jc w:val="both"/>
              <w:textAlignment w:val="auto"/>
              <w:rPr>
                <w:rFonts w:ascii="宋体" w:hAnsi="宋体" w:eastAsia="宋体" w:cs="宋体"/>
                <w:color w:val="auto"/>
                <w:spacing w:val="-2"/>
                <w:kern w:val="2"/>
                <w:sz w:val="21"/>
                <w:szCs w:val="21"/>
                <w:highlight w:val="none"/>
              </w:rPr>
            </w:pPr>
            <w:r>
              <w:rPr>
                <w:rFonts w:ascii="宋体" w:hAnsi="宋体" w:eastAsia="宋体" w:cs="宋体"/>
                <w:color w:val="auto"/>
                <w:spacing w:val="-4"/>
                <w:kern w:val="2"/>
                <w:sz w:val="21"/>
                <w:szCs w:val="21"/>
                <w:highlight w:val="none"/>
              </w:rPr>
              <w:t>1.</w:t>
            </w:r>
            <w:r>
              <w:rPr>
                <w:rFonts w:hint="eastAsia" w:ascii="宋体" w:hAnsi="宋体" w:eastAsia="宋体" w:cs="宋体"/>
                <w:color w:val="auto"/>
                <w:spacing w:val="-4"/>
                <w:kern w:val="2"/>
                <w:sz w:val="21"/>
                <w:szCs w:val="21"/>
                <w:highlight w:val="none"/>
                <w:lang w:val="en-US" w:eastAsia="zh-CN"/>
              </w:rPr>
              <w:t>支持</w:t>
            </w:r>
            <w:r>
              <w:rPr>
                <w:rFonts w:hint="eastAsia" w:ascii="宋体" w:hAnsi="宋体" w:eastAsia="宋体" w:cs="宋体"/>
                <w:color w:val="auto"/>
                <w:spacing w:val="-2"/>
                <w:kern w:val="2"/>
                <w:sz w:val="21"/>
                <w:szCs w:val="21"/>
                <w:highlight w:val="none"/>
                <w:lang w:val="en-US" w:eastAsia="zh-CN"/>
              </w:rPr>
              <w:t>1年移动数据流量包</w:t>
            </w:r>
            <w:r>
              <w:rPr>
                <w:rFonts w:ascii="宋体" w:hAnsi="宋体" w:eastAsia="宋体" w:cs="宋体"/>
                <w:color w:val="auto"/>
                <w:spacing w:val="-2"/>
                <w:kern w:val="2"/>
                <w:sz w:val="21"/>
                <w:szCs w:val="21"/>
                <w:highlight w:val="none"/>
              </w:rPr>
              <w:t>；</w:t>
            </w:r>
          </w:p>
          <w:p w14:paraId="7738CFE1">
            <w:pPr>
              <w:pageBreakBefore w:val="0"/>
              <w:widowControl w:val="0"/>
              <w:kinsoku/>
              <w:overflowPunct/>
              <w:topLinePunct w:val="0"/>
              <w:autoSpaceDE/>
              <w:autoSpaceDN/>
              <w:bidi w:val="0"/>
              <w:adjustRightInd/>
              <w:snapToGrid/>
              <w:spacing w:after="0" w:line="400" w:lineRule="exact"/>
              <w:ind w:right="203"/>
              <w:jc w:val="both"/>
              <w:textAlignment w:val="auto"/>
              <w:rPr>
                <w:rFonts w:hint="eastAsia" w:ascii="宋体" w:hAnsi="宋体" w:eastAsia="宋体" w:cs="宋体"/>
                <w:color w:val="auto"/>
                <w:kern w:val="2"/>
                <w:sz w:val="21"/>
                <w:szCs w:val="21"/>
                <w:highlight w:val="none"/>
                <w:lang w:eastAsia="zh-CN"/>
              </w:rPr>
            </w:pPr>
            <w:r>
              <w:rPr>
                <w:rFonts w:ascii="宋体" w:hAnsi="宋体" w:eastAsia="宋体" w:cs="宋体"/>
                <w:color w:val="auto"/>
                <w:spacing w:val="1"/>
                <w:kern w:val="2"/>
                <w:sz w:val="21"/>
                <w:szCs w:val="21"/>
                <w:highlight w:val="none"/>
              </w:rPr>
              <w:t>2.支持手机远程监控，</w:t>
            </w:r>
            <w:r>
              <w:rPr>
                <w:rFonts w:hint="eastAsia" w:ascii="宋体" w:hAnsi="宋体" w:eastAsia="宋体" w:cs="宋体"/>
                <w:color w:val="auto"/>
                <w:kern w:val="2"/>
                <w:sz w:val="21"/>
                <w:szCs w:val="21"/>
                <w:highlight w:val="none"/>
              </w:rPr>
              <w:t>所有监控数据要</w:t>
            </w:r>
            <w:r>
              <w:rPr>
                <w:rFonts w:hint="eastAsia" w:ascii="宋体" w:hAnsi="宋体" w:eastAsia="宋体" w:cs="宋体"/>
                <w:color w:val="auto"/>
                <w:kern w:val="2"/>
                <w:sz w:val="21"/>
                <w:szCs w:val="21"/>
                <w:highlight w:val="none"/>
                <w:lang w:val="en-US" w:eastAsia="zh-CN"/>
              </w:rPr>
              <w:t>本地储存，硬盘容量要满足视频回放1</w:t>
            </w:r>
            <w:r>
              <w:rPr>
                <w:rFonts w:hint="eastAsia" w:ascii="宋体" w:hAnsi="宋体" w:eastAsia="宋体" w:cs="宋体"/>
                <w:color w:val="auto"/>
                <w:kern w:val="2"/>
                <w:sz w:val="21"/>
                <w:szCs w:val="21"/>
                <w:highlight w:val="none"/>
              </w:rPr>
              <w:t>个月以上</w:t>
            </w:r>
            <w:r>
              <w:rPr>
                <w:rFonts w:hint="eastAsia" w:ascii="宋体" w:hAnsi="宋体" w:eastAsia="宋体" w:cs="宋体"/>
                <w:color w:val="auto"/>
                <w:kern w:val="2"/>
                <w:sz w:val="21"/>
                <w:szCs w:val="21"/>
                <w:highlight w:val="none"/>
                <w:lang w:eastAsia="zh-CN"/>
              </w:rPr>
              <w:t>；</w:t>
            </w:r>
          </w:p>
          <w:p w14:paraId="4D9BD545">
            <w:pPr>
              <w:widowControl w:val="0"/>
              <w:adjustRightInd/>
              <w:snapToGrid/>
              <w:spacing w:after="0" w:line="288" w:lineRule="auto"/>
              <w:ind w:right="203"/>
              <w:jc w:val="both"/>
              <w:rPr>
                <w:rFonts w:ascii="宋体" w:hAnsi="宋体" w:eastAsia="宋体" w:cs="宋体"/>
                <w:color w:val="auto"/>
                <w:spacing w:val="8"/>
                <w:kern w:val="2"/>
                <w:sz w:val="21"/>
                <w:szCs w:val="21"/>
                <w:highlight w:val="none"/>
              </w:rPr>
            </w:pPr>
            <w:r>
              <w:rPr>
                <w:rFonts w:ascii="宋体" w:hAnsi="宋体" w:eastAsia="宋体" w:cs="宋体"/>
                <w:color w:val="auto"/>
                <w:spacing w:val="11"/>
                <w:kern w:val="2"/>
                <w:sz w:val="21"/>
                <w:szCs w:val="21"/>
                <w:highlight w:val="none"/>
              </w:rPr>
              <w:t>3</w:t>
            </w:r>
            <w:r>
              <w:rPr>
                <w:rFonts w:ascii="宋体" w:hAnsi="宋体" w:eastAsia="宋体" w:cs="宋体"/>
                <w:color w:val="auto"/>
                <w:spacing w:val="8"/>
                <w:kern w:val="2"/>
                <w:sz w:val="21"/>
                <w:szCs w:val="21"/>
                <w:highlight w:val="none"/>
              </w:rPr>
              <w:t>.</w:t>
            </w:r>
            <w:r>
              <w:rPr>
                <w:rFonts w:hint="eastAsia" w:ascii="宋体" w:hAnsi="宋体" w:eastAsia="宋体" w:cs="宋体"/>
                <w:color w:val="auto"/>
                <w:spacing w:val="8"/>
                <w:kern w:val="2"/>
                <w:sz w:val="21"/>
                <w:szCs w:val="21"/>
                <w:highlight w:val="none"/>
                <w:lang w:val="en-US" w:eastAsia="zh-CN"/>
              </w:rPr>
              <w:t>视频</w:t>
            </w:r>
            <w:r>
              <w:rPr>
                <w:rFonts w:hint="eastAsia" w:ascii="宋体" w:hAnsi="宋体" w:eastAsia="宋体" w:cs="宋体"/>
                <w:color w:val="auto"/>
                <w:kern w:val="2"/>
                <w:sz w:val="21"/>
                <w:szCs w:val="21"/>
                <w:highlight w:val="none"/>
              </w:rPr>
              <w:t>摄像头为高清、</w:t>
            </w:r>
            <w:r>
              <w:rPr>
                <w:rFonts w:ascii="宋体" w:hAnsi="宋体" w:eastAsia="宋体" w:cs="宋体"/>
                <w:color w:val="auto"/>
                <w:spacing w:val="8"/>
                <w:kern w:val="2"/>
                <w:sz w:val="21"/>
                <w:szCs w:val="21"/>
                <w:highlight w:val="none"/>
              </w:rPr>
              <w:t>具有夜视功能，支持移动侦测报警</w:t>
            </w:r>
            <w:r>
              <w:rPr>
                <w:rFonts w:hint="eastAsia" w:ascii="宋体" w:hAnsi="宋体" w:eastAsia="宋体" w:cs="宋体"/>
                <w:color w:val="auto"/>
                <w:spacing w:val="8"/>
                <w:kern w:val="2"/>
                <w:sz w:val="21"/>
                <w:szCs w:val="21"/>
                <w:highlight w:val="none"/>
              </w:rPr>
              <w:t>；</w:t>
            </w:r>
          </w:p>
          <w:p w14:paraId="187D6D42">
            <w:pPr>
              <w:widowControl w:val="0"/>
              <w:adjustRightInd/>
              <w:snapToGrid/>
              <w:spacing w:after="0" w:line="288" w:lineRule="auto"/>
              <w:ind w:right="203"/>
              <w:jc w:val="both"/>
              <w:rPr>
                <w:rFonts w:hint="eastAsia" w:ascii="宋体" w:hAnsi="宋体" w:eastAsia="宋体" w:cs="宋体"/>
                <w:color w:val="auto"/>
                <w:spacing w:val="8"/>
                <w:kern w:val="2"/>
                <w:sz w:val="21"/>
                <w:szCs w:val="21"/>
                <w:highlight w:val="none"/>
                <w:lang w:eastAsia="zh-CN"/>
              </w:rPr>
            </w:pPr>
            <w:r>
              <w:rPr>
                <w:rFonts w:hint="eastAsia" w:ascii="宋体" w:hAnsi="宋体" w:eastAsia="宋体" w:cs="宋体"/>
                <w:color w:val="auto"/>
                <w:spacing w:val="8"/>
                <w:kern w:val="2"/>
                <w:sz w:val="21"/>
                <w:szCs w:val="21"/>
                <w:highlight w:val="none"/>
                <w:lang w:val="en-US" w:eastAsia="zh-CN"/>
              </w:rPr>
              <w:t>4</w:t>
            </w:r>
            <w:r>
              <w:rPr>
                <w:rFonts w:ascii="宋体" w:hAnsi="宋体" w:eastAsia="宋体" w:cs="宋体"/>
                <w:color w:val="auto"/>
                <w:spacing w:val="8"/>
                <w:kern w:val="2"/>
                <w:sz w:val="21"/>
                <w:szCs w:val="21"/>
                <w:highlight w:val="none"/>
              </w:rPr>
              <w:t>.</w:t>
            </w:r>
            <w:r>
              <w:rPr>
                <w:rFonts w:hint="eastAsia" w:ascii="宋体" w:hAnsi="宋体" w:eastAsia="宋体" w:cs="宋体"/>
                <w:color w:val="auto"/>
                <w:spacing w:val="8"/>
                <w:kern w:val="2"/>
                <w:sz w:val="21"/>
                <w:szCs w:val="21"/>
                <w:highlight w:val="none"/>
              </w:rPr>
              <w:t>视频监控</w:t>
            </w:r>
            <w:r>
              <w:rPr>
                <w:rFonts w:hint="eastAsia" w:ascii="宋体" w:hAnsi="宋体" w:eastAsia="宋体" w:cs="宋体"/>
                <w:color w:val="auto"/>
                <w:kern w:val="2"/>
                <w:sz w:val="21"/>
                <w:szCs w:val="21"/>
                <w:highlight w:val="none"/>
              </w:rPr>
              <w:t>电源需引自市电</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spacing w:val="8"/>
                <w:kern w:val="2"/>
                <w:sz w:val="21"/>
                <w:szCs w:val="21"/>
                <w:highlight w:val="none"/>
                <w:lang w:val="en-US" w:eastAsia="zh-CN"/>
              </w:rPr>
              <w:t>若配置室外立杆需可靠接地并不造成光伏组件阴影遮挡</w:t>
            </w:r>
            <w:r>
              <w:rPr>
                <w:rFonts w:hint="eastAsia" w:ascii="宋体" w:hAnsi="宋体" w:eastAsia="宋体" w:cs="宋体"/>
                <w:color w:val="auto"/>
                <w:spacing w:val="8"/>
                <w:kern w:val="2"/>
                <w:sz w:val="21"/>
                <w:szCs w:val="21"/>
                <w:highlight w:val="none"/>
                <w:lang w:eastAsia="zh-CN"/>
              </w:rPr>
              <w:t>；</w:t>
            </w:r>
          </w:p>
          <w:p w14:paraId="6FF8346B">
            <w:pPr>
              <w:widowControl w:val="0"/>
              <w:adjustRightInd/>
              <w:snapToGrid/>
              <w:spacing w:after="0" w:line="288" w:lineRule="auto"/>
              <w:ind w:right="203"/>
              <w:jc w:val="both"/>
              <w:rPr>
                <w:rFonts w:hint="eastAsia" w:ascii="宋体" w:hAnsi="宋体" w:eastAsia="宋体" w:cs="宋体"/>
                <w:color w:val="auto"/>
                <w:spacing w:val="8"/>
                <w:kern w:val="2"/>
                <w:sz w:val="21"/>
                <w:szCs w:val="21"/>
                <w:highlight w:val="none"/>
                <w:lang w:eastAsia="zh-CN"/>
              </w:rPr>
            </w:pPr>
            <w:r>
              <w:rPr>
                <w:rFonts w:hint="eastAsia" w:ascii="宋体" w:hAnsi="宋体" w:eastAsia="宋体" w:cs="宋体"/>
                <w:color w:val="auto"/>
                <w:spacing w:val="8"/>
                <w:kern w:val="2"/>
                <w:sz w:val="21"/>
                <w:szCs w:val="21"/>
                <w:highlight w:val="none"/>
                <w:lang w:val="en-US" w:eastAsia="zh-CN"/>
              </w:rPr>
              <w:t>5</w:t>
            </w:r>
            <w:r>
              <w:rPr>
                <w:rFonts w:ascii="宋体" w:hAnsi="宋体" w:eastAsia="宋体" w:cs="宋体"/>
                <w:color w:val="auto"/>
                <w:spacing w:val="8"/>
                <w:kern w:val="2"/>
                <w:sz w:val="21"/>
                <w:szCs w:val="21"/>
                <w:highlight w:val="none"/>
              </w:rPr>
              <w:t>.</w:t>
            </w:r>
            <w:r>
              <w:rPr>
                <w:rFonts w:hint="eastAsia" w:ascii="宋体" w:hAnsi="宋体" w:eastAsia="宋体" w:cs="宋体"/>
                <w:color w:val="auto"/>
                <w:kern w:val="2"/>
                <w:sz w:val="21"/>
                <w:szCs w:val="21"/>
                <w:highlight w:val="none"/>
              </w:rPr>
              <w:t>所有摄像头均可360</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kern w:val="2"/>
                <w:sz w:val="21"/>
                <w:szCs w:val="21"/>
                <w:highlight w:val="none"/>
              </w:rPr>
              <w:t>自由转动巡检</w:t>
            </w:r>
            <w:r>
              <w:rPr>
                <w:rFonts w:hint="eastAsia" w:ascii="宋体" w:hAnsi="宋体" w:eastAsia="宋体" w:cs="宋体"/>
                <w:color w:val="auto"/>
                <w:spacing w:val="8"/>
                <w:kern w:val="2"/>
                <w:sz w:val="21"/>
                <w:szCs w:val="21"/>
                <w:highlight w:val="none"/>
                <w:lang w:eastAsia="zh-CN"/>
              </w:rPr>
              <w:t>；</w:t>
            </w:r>
          </w:p>
          <w:p w14:paraId="1AB0B981">
            <w:pPr>
              <w:widowControl w:val="0"/>
              <w:wordWrap w:val="0"/>
              <w:adjustRightInd/>
              <w:snapToGrid/>
              <w:spacing w:after="0" w:line="288" w:lineRule="auto"/>
              <w:jc w:val="both"/>
              <w:rPr>
                <w:rFonts w:hint="eastAsia"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spacing w:val="8"/>
                <w:kern w:val="2"/>
                <w:sz w:val="21"/>
                <w:szCs w:val="21"/>
                <w:highlight w:val="none"/>
              </w:rPr>
              <w:t>视频监控</w:t>
            </w:r>
            <w:r>
              <w:rPr>
                <w:rFonts w:hint="eastAsia" w:ascii="宋体" w:hAnsi="宋体" w:eastAsia="宋体" w:cs="宋体"/>
                <w:color w:val="auto"/>
                <w:kern w:val="2"/>
                <w:sz w:val="21"/>
                <w:szCs w:val="21"/>
                <w:highlight w:val="none"/>
                <w:lang w:val="en-US" w:eastAsia="zh-CN"/>
              </w:rPr>
              <w:t>推荐厂家品牌：海康威视、大华科技或具备同等质量的品牌</w:t>
            </w:r>
            <w:r>
              <w:rPr>
                <w:rFonts w:hint="eastAsia" w:ascii="宋体" w:hAnsi="宋体" w:eastAsia="宋体" w:cs="宋体"/>
                <w:b w:val="0"/>
                <w:bCs w:val="0"/>
                <w:color w:val="auto"/>
                <w:kern w:val="2"/>
                <w:sz w:val="21"/>
                <w:szCs w:val="21"/>
                <w:highlight w:val="none"/>
                <w:lang w:val="en-US" w:eastAsia="zh-CN" w:bidi="ar-SA"/>
              </w:rPr>
              <w:t>。</w:t>
            </w:r>
          </w:p>
        </w:tc>
      </w:tr>
      <w:tr w14:paraId="69874D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38" w:hRule="atLeast"/>
          <w:jc w:val="center"/>
        </w:trPr>
        <w:tc>
          <w:tcPr>
            <w:tcW w:w="622" w:type="pct"/>
            <w:vAlign w:val="center"/>
          </w:tcPr>
          <w:p w14:paraId="39E74CB4">
            <w:pPr>
              <w:widowControl w:val="0"/>
              <w:adjustRightInd/>
              <w:snapToGrid/>
              <w:spacing w:after="0" w:line="288" w:lineRule="auto"/>
              <w:jc w:val="center"/>
              <w:rPr>
                <w:rFonts w:hint="eastAsia" w:ascii="宋体" w:hAnsi="宋体" w:eastAsia="宋体" w:cs="宋体"/>
                <w:color w:val="auto"/>
                <w:spacing w:val="7"/>
                <w:kern w:val="2"/>
                <w:sz w:val="21"/>
                <w:szCs w:val="21"/>
                <w:highlight w:val="none"/>
                <w:lang w:val="en-US" w:eastAsia="zh-CN"/>
              </w:rPr>
            </w:pPr>
            <w:r>
              <w:rPr>
                <w:rFonts w:hint="eastAsia" w:ascii="宋体" w:hAnsi="宋体" w:eastAsia="宋体" w:cs="宋体"/>
                <w:color w:val="auto"/>
                <w:spacing w:val="7"/>
                <w:kern w:val="2"/>
                <w:sz w:val="21"/>
                <w:szCs w:val="21"/>
                <w:highlight w:val="none"/>
                <w:lang w:val="en-US" w:eastAsia="zh-CN"/>
              </w:rPr>
              <w:t>并网</w:t>
            </w:r>
          </w:p>
          <w:p w14:paraId="3AE0466A">
            <w:pPr>
              <w:widowControl w:val="0"/>
              <w:adjustRightInd/>
              <w:snapToGrid/>
              <w:spacing w:after="0" w:line="288" w:lineRule="auto"/>
              <w:jc w:val="center"/>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spacing w:val="7"/>
                <w:kern w:val="2"/>
                <w:sz w:val="21"/>
                <w:szCs w:val="21"/>
                <w:highlight w:val="none"/>
                <w:lang w:val="en-US" w:eastAsia="zh-CN"/>
              </w:rPr>
              <w:t>逆变器</w:t>
            </w:r>
          </w:p>
        </w:tc>
        <w:tc>
          <w:tcPr>
            <w:tcW w:w="1306" w:type="pct"/>
            <w:vMerge w:val="continue"/>
            <w:vAlign w:val="center"/>
          </w:tcPr>
          <w:p w14:paraId="776A6CAF">
            <w:pPr>
              <w:widowControl w:val="0"/>
              <w:adjustRightInd/>
              <w:snapToGrid/>
              <w:spacing w:after="0" w:line="288" w:lineRule="auto"/>
              <w:jc w:val="center"/>
              <w:rPr>
                <w:rFonts w:ascii="宋体" w:hAnsi="宋体" w:eastAsia="宋体" w:cs="宋体"/>
                <w:color w:val="auto"/>
                <w:kern w:val="2"/>
                <w:sz w:val="21"/>
                <w:szCs w:val="21"/>
                <w:highlight w:val="none"/>
              </w:rPr>
            </w:pPr>
          </w:p>
        </w:tc>
        <w:tc>
          <w:tcPr>
            <w:tcW w:w="3071" w:type="pct"/>
            <w:vMerge w:val="continue"/>
            <w:tcBorders>
              <w:top w:val="nil"/>
            </w:tcBorders>
            <w:vAlign w:val="center"/>
          </w:tcPr>
          <w:p w14:paraId="0B39BED7">
            <w:pPr>
              <w:widowControl w:val="0"/>
              <w:adjustRightInd/>
              <w:snapToGrid/>
              <w:spacing w:after="0" w:line="288" w:lineRule="auto"/>
              <w:jc w:val="center"/>
              <w:rPr>
                <w:rFonts w:ascii="Arial" w:hAnsi="Calibri" w:eastAsia="宋体" w:cs="Times New Roman"/>
                <w:color w:val="auto"/>
                <w:kern w:val="2"/>
                <w:sz w:val="21"/>
                <w:szCs w:val="21"/>
                <w:highlight w:val="none"/>
              </w:rPr>
            </w:pPr>
          </w:p>
        </w:tc>
      </w:tr>
    </w:tbl>
    <w:p w14:paraId="200821DB">
      <w:pPr>
        <w:widowControl w:val="0"/>
        <w:wordWrap w:val="0"/>
        <w:adjustRightInd/>
        <w:snapToGrid/>
        <w:spacing w:after="0" w:line="288" w:lineRule="auto"/>
        <w:ind w:firstLine="420" w:firstLineChars="200"/>
        <w:jc w:val="both"/>
        <w:rPr>
          <w:rFonts w:hint="eastAsia" w:ascii="宋体" w:hAnsi="宋体" w:eastAsia="宋体" w:cs="Times New Roman"/>
          <w:b/>
          <w:bCs/>
          <w:color w:val="auto"/>
          <w:kern w:val="2"/>
          <w:sz w:val="21"/>
          <w:szCs w:val="24"/>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承包单位须在</w:t>
      </w:r>
      <w:r>
        <w:rPr>
          <w:rFonts w:hint="eastAsia" w:ascii="宋体" w:hAnsi="宋体" w:eastAsia="宋体" w:cs="宋体"/>
          <w:color w:val="auto"/>
          <w:kern w:val="2"/>
          <w:sz w:val="21"/>
          <w:szCs w:val="21"/>
          <w:highlight w:val="none"/>
        </w:rPr>
        <w:t>项目进场施工</w:t>
      </w:r>
      <w:r>
        <w:rPr>
          <w:rFonts w:hint="eastAsia" w:ascii="宋体" w:hAnsi="宋体" w:eastAsia="宋体" w:cs="宋体"/>
          <w:color w:val="auto"/>
          <w:kern w:val="2"/>
          <w:sz w:val="21"/>
          <w:szCs w:val="21"/>
          <w:highlight w:val="none"/>
          <w:lang w:val="en-US" w:eastAsia="zh-CN"/>
        </w:rPr>
        <w:t>后</w:t>
      </w:r>
      <w:r>
        <w:rPr>
          <w:rFonts w:hint="eastAsia" w:ascii="宋体" w:hAnsi="宋体" w:eastAsia="宋体" w:cs="宋体"/>
          <w:color w:val="auto"/>
          <w:kern w:val="2"/>
          <w:sz w:val="21"/>
          <w:szCs w:val="21"/>
          <w:highlight w:val="none"/>
        </w:rPr>
        <w:t>7天内</w:t>
      </w:r>
      <w:r>
        <w:rPr>
          <w:rFonts w:hint="eastAsia" w:ascii="宋体" w:hAnsi="宋体" w:eastAsia="宋体" w:cs="宋体"/>
          <w:color w:val="auto"/>
          <w:kern w:val="2"/>
          <w:sz w:val="21"/>
          <w:szCs w:val="21"/>
          <w:highlight w:val="none"/>
          <w:lang w:val="en-US" w:eastAsia="zh-CN"/>
        </w:rPr>
        <w:t>按以上要求</w:t>
      </w:r>
      <w:r>
        <w:rPr>
          <w:rFonts w:hint="eastAsia" w:ascii="宋体" w:hAnsi="宋体" w:eastAsia="宋体" w:cs="宋体"/>
          <w:color w:val="auto"/>
          <w:kern w:val="2"/>
          <w:sz w:val="21"/>
          <w:szCs w:val="21"/>
          <w:highlight w:val="none"/>
        </w:rPr>
        <w:t>完成所有区域视频监控</w:t>
      </w:r>
      <w:r>
        <w:rPr>
          <w:rFonts w:hint="eastAsia" w:ascii="宋体" w:hAnsi="宋体" w:eastAsia="宋体" w:cs="宋体"/>
          <w:color w:val="auto"/>
          <w:kern w:val="2"/>
          <w:sz w:val="21"/>
          <w:szCs w:val="21"/>
          <w:highlight w:val="none"/>
          <w:lang w:val="en-US" w:eastAsia="zh-CN"/>
        </w:rPr>
        <w:t>的</w:t>
      </w:r>
      <w:r>
        <w:rPr>
          <w:rFonts w:hint="eastAsia" w:ascii="宋体" w:hAnsi="宋体" w:eastAsia="宋体" w:cs="宋体"/>
          <w:color w:val="auto"/>
          <w:kern w:val="2"/>
          <w:sz w:val="21"/>
          <w:szCs w:val="21"/>
          <w:highlight w:val="none"/>
        </w:rPr>
        <w:t>安装</w:t>
      </w:r>
      <w:r>
        <w:rPr>
          <w:rFonts w:hint="eastAsia" w:ascii="宋体" w:hAnsi="宋体" w:eastAsia="宋体" w:cs="宋体"/>
          <w:color w:val="auto"/>
          <w:kern w:val="2"/>
          <w:sz w:val="21"/>
          <w:szCs w:val="21"/>
          <w:highlight w:val="none"/>
          <w:lang w:val="en-US" w:eastAsia="zh-CN"/>
        </w:rPr>
        <w:t>投运</w:t>
      </w:r>
      <w:r>
        <w:rPr>
          <w:rFonts w:hint="eastAsia" w:ascii="宋体" w:hAnsi="宋体" w:eastAsia="宋体" w:cs="宋体"/>
          <w:color w:val="auto"/>
          <w:kern w:val="2"/>
          <w:sz w:val="21"/>
          <w:szCs w:val="21"/>
          <w:highlight w:val="none"/>
        </w:rPr>
        <w:t>和移交，确保视频监控系统正常运行。</w:t>
      </w:r>
    </w:p>
    <w:p w14:paraId="109C39DF">
      <w:pPr>
        <w:widowControl w:val="0"/>
        <w:numPr>
          <w:ilvl w:val="0"/>
          <w:numId w:val="2"/>
        </w:numPr>
        <w:adjustRightInd/>
        <w:snapToGrid/>
        <w:spacing w:after="0" w:line="360" w:lineRule="auto"/>
        <w:jc w:val="both"/>
        <w:rPr>
          <w:rFonts w:hint="eastAsia" w:ascii="宋体" w:hAnsi="宋体" w:eastAsia="宋体" w:cs="Times New Roman"/>
          <w:b/>
          <w:bCs/>
          <w:color w:val="auto"/>
          <w:kern w:val="2"/>
          <w:sz w:val="21"/>
          <w:szCs w:val="24"/>
          <w:highlight w:val="none"/>
          <w:lang w:val="en-US" w:eastAsia="zh-CN"/>
        </w:rPr>
      </w:pPr>
      <w:r>
        <w:rPr>
          <w:rFonts w:hint="eastAsia" w:ascii="宋体" w:hAnsi="宋体" w:eastAsia="宋体" w:cs="Times New Roman"/>
          <w:b/>
          <w:bCs/>
          <w:color w:val="auto"/>
          <w:kern w:val="2"/>
          <w:sz w:val="21"/>
          <w:szCs w:val="24"/>
          <w:highlight w:val="none"/>
          <w:lang w:val="en-US" w:eastAsia="zh-CN"/>
        </w:rPr>
        <w:t>红外远程抄表系统</w:t>
      </w:r>
    </w:p>
    <w:p w14:paraId="3126D492">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（1）系统结构</w:t>
      </w:r>
    </w:p>
    <w:p w14:paraId="75296CFD">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红外远程抄表系统包括红外探头、数据采集器和智能云平台。</w:t>
      </w:r>
    </w:p>
    <w:p w14:paraId="468C1CD0">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（2）红外探头</w:t>
      </w:r>
    </w:p>
    <w:p w14:paraId="05CEB171">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将外置红外</w:t>
      </w:r>
      <w:r>
        <w:rPr>
          <w:rFonts w:hint="eastAsia" w:ascii="宋体" w:hAnsi="宋体" w:eastAsia="宋体" w:cs="宋体"/>
          <w:color w:val="auto"/>
          <w:kern w:val="2"/>
          <w:sz w:val="21"/>
          <w:szCs w:val="21"/>
          <w:highlight w:val="none"/>
          <w:lang w:val="en-US" w:eastAsia="zh-CN"/>
        </w:rPr>
        <w:t>远程</w:t>
      </w:r>
      <w:r>
        <w:rPr>
          <w:rFonts w:hint="default" w:ascii="宋体" w:hAnsi="宋体" w:eastAsia="宋体" w:cs="宋体"/>
          <w:color w:val="auto"/>
          <w:kern w:val="2"/>
          <w:sz w:val="21"/>
          <w:szCs w:val="21"/>
          <w:highlight w:val="none"/>
          <w:lang w:val="en-US" w:eastAsia="zh-CN"/>
        </w:rPr>
        <w:t>抄表器固定在电能表附近，通过与电能表的红外光口实现近距离红外通信，定时读取智能电表的参数信息；</w:t>
      </w:r>
    </w:p>
    <w:p w14:paraId="3D6584AC">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（3）数据采集器</w:t>
      </w:r>
    </w:p>
    <w:p w14:paraId="483C2A87">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采用 4G 无线通信方式，可采集南网电表的电能数据、电压、电流、功率因数等电参数数据，适合各种具备红外通信接口的电表等仪表的抄表场景。</w:t>
      </w:r>
    </w:p>
    <w:p w14:paraId="676C140A">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（4）智能云平台</w:t>
      </w:r>
    </w:p>
    <w:p w14:paraId="355D43C2">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能够接入我司“光伏数字化运营管理平台”满足数据采集条件和确保数据准确率、及时率，通过数据采集器将数据上传至管理平台，用户可以通过APP或WEB平台访问查询电量信息。</w:t>
      </w:r>
    </w:p>
    <w:p w14:paraId="20BC4072">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① 支持抄读正反向有功无功电能、分时电能等电表开放数据；</w:t>
      </w:r>
    </w:p>
    <w:p w14:paraId="499F2579">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② 与电力公司度数保持高度一致，无误差；</w:t>
      </w:r>
    </w:p>
    <w:p w14:paraId="2B233B42">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③ 工业级器件选型，满足-25℃～+85℃的恶劣工作环境；</w:t>
      </w:r>
    </w:p>
    <w:p w14:paraId="4F2C8174">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④ 抗干扰能力强，与电表一对一抄读，无误读、串读等导致数据异常的情况；</w:t>
      </w:r>
    </w:p>
    <w:p w14:paraId="7110F092">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⑤ 一台采集器支持连接多个红外抄表探头，实现自发自用场景下发电侧电表与并网侧电表同时采集；</w:t>
      </w:r>
    </w:p>
    <w:p w14:paraId="4165DEC2">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⑥ 采集抄读标配吸盘天线，信号微弱地区可加强信号；</w:t>
      </w:r>
    </w:p>
    <w:p w14:paraId="5670C0E3">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⑦ 数据采集器即插即用，实现远程抄表；</w:t>
      </w:r>
    </w:p>
    <w:p w14:paraId="459DFA53">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default" w:ascii="宋体" w:hAnsi="宋体" w:eastAsia="宋体" w:cs="宋体"/>
          <w:color w:val="auto"/>
          <w:kern w:val="2"/>
          <w:sz w:val="21"/>
          <w:szCs w:val="21"/>
          <w:highlight w:val="none"/>
          <w:lang w:val="en-US" w:eastAsia="zh-CN"/>
        </w:rPr>
        <w:t>⑧ 安装模式方便灵活，探头和电表红外口之间无遮挡即可实现采集。</w:t>
      </w:r>
    </w:p>
    <w:p w14:paraId="67D0C6A3">
      <w:pPr>
        <w:keepNext/>
        <w:keepLines/>
        <w:widowControl w:val="0"/>
        <w:adjustRightInd/>
        <w:snapToGrid/>
        <w:spacing w:after="0" w:line="360" w:lineRule="auto"/>
        <w:jc w:val="both"/>
        <w:outlineLvl w:val="3"/>
        <w:rPr>
          <w:rFonts w:hint="eastAsia" w:ascii="Calibri Light" w:hAnsi="Calibri Light" w:eastAsia="宋体" w:cs="Times New Roman"/>
          <w:b/>
          <w:bCs/>
          <w:color w:val="auto"/>
          <w:kern w:val="2"/>
          <w:sz w:val="24"/>
          <w:szCs w:val="28"/>
          <w:highlight w:val="none"/>
          <w:lang w:val="en-US" w:eastAsia="zh-CN"/>
        </w:rPr>
      </w:pPr>
      <w:bookmarkStart w:id="17" w:name="_Toc31433"/>
      <w:r>
        <w:rPr>
          <w:rFonts w:hint="eastAsia" w:ascii="Calibri Light" w:hAnsi="Calibri Light" w:eastAsia="宋体" w:cs="Times New Roman"/>
          <w:b/>
          <w:bCs/>
          <w:color w:val="auto"/>
          <w:kern w:val="2"/>
          <w:sz w:val="24"/>
          <w:szCs w:val="28"/>
          <w:highlight w:val="none"/>
          <w:lang w:val="en-US" w:eastAsia="zh-CN"/>
        </w:rPr>
        <w:t>三、技术要求</w:t>
      </w:r>
      <w:bookmarkEnd w:id="17"/>
    </w:p>
    <w:p w14:paraId="2ACD7D8D">
      <w:pPr>
        <w:widowControl w:val="0"/>
        <w:wordWrap w:val="0"/>
        <w:adjustRightInd/>
        <w:snapToGrid/>
        <w:spacing w:after="0" w:line="288" w:lineRule="auto"/>
        <w:jc w:val="both"/>
        <w:rPr>
          <w:rFonts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1. 执行的标准和规范</w:t>
      </w:r>
    </w:p>
    <w:p w14:paraId="5AAECB4D">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《光伏发电工程验收规范》 GB 50796-2012</w:t>
      </w:r>
    </w:p>
    <w:p w14:paraId="74775614">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《屋面工程质量验收规范》 GB 50207-2012</w:t>
      </w:r>
    </w:p>
    <w:p w14:paraId="6B999492">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《建筑结构加固工程施工质量验收规范》 GB 50550-2010</w:t>
      </w:r>
    </w:p>
    <w:p w14:paraId="0A5037C7">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《建筑工程施工质量验收统一标准》 GB 50300-2013</w:t>
      </w:r>
    </w:p>
    <w:p w14:paraId="34D0B026">
      <w:pPr>
        <w:widowControl w:val="0"/>
        <w:wordWrap w:val="0"/>
        <w:adjustRightInd/>
        <w:snapToGrid/>
        <w:spacing w:after="0" w:line="288" w:lineRule="auto"/>
        <w:jc w:val="both"/>
        <w:rPr>
          <w:rFonts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2. 施工组织布署</w:t>
      </w:r>
    </w:p>
    <w:p w14:paraId="471F490C">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（1）建立项目管理组织机构，健全安全质量保证体系。</w:t>
      </w:r>
    </w:p>
    <w:p w14:paraId="7A8B63A2">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（2）组织建设所用的机械、劳动力等保障资源，以满足建设进度的要求。</w:t>
      </w:r>
    </w:p>
    <w:p w14:paraId="4EAC9E9E">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（3）采购项目所需的组件等设备、支架等材料。</w:t>
      </w:r>
    </w:p>
    <w:p w14:paraId="4D55AA08">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（4）项目</w:t>
      </w:r>
      <w:r>
        <w:rPr>
          <w:rFonts w:hint="eastAsia" w:ascii="宋体" w:hAnsi="宋体" w:eastAsia="宋体" w:cs="宋体"/>
          <w:color w:val="auto"/>
          <w:kern w:val="2"/>
          <w:sz w:val="21"/>
          <w:szCs w:val="21"/>
          <w:highlight w:val="none"/>
          <w:lang w:val="en-US" w:eastAsia="zh-CN"/>
        </w:rPr>
        <w:t>按照</w:t>
      </w:r>
      <w:r>
        <w:rPr>
          <w:rFonts w:hint="eastAsia" w:ascii="宋体" w:hAnsi="宋体" w:eastAsia="宋体" w:cs="宋体"/>
          <w:color w:val="auto"/>
          <w:kern w:val="2"/>
          <w:sz w:val="21"/>
          <w:szCs w:val="21"/>
          <w:highlight w:val="none"/>
        </w:rPr>
        <w:t>图纸、</w:t>
      </w:r>
      <w:r>
        <w:rPr>
          <w:rFonts w:hint="eastAsia" w:ascii="宋体" w:hAnsi="宋体" w:eastAsia="宋体" w:cs="宋体"/>
          <w:color w:val="auto"/>
          <w:kern w:val="2"/>
          <w:sz w:val="21"/>
          <w:szCs w:val="21"/>
          <w:highlight w:val="none"/>
          <w:lang w:eastAsia="zh-CN"/>
        </w:rPr>
        <w:t>安装调试</w:t>
      </w:r>
      <w:r>
        <w:rPr>
          <w:rFonts w:hint="eastAsia" w:ascii="宋体" w:hAnsi="宋体" w:eastAsia="宋体" w:cs="宋体"/>
          <w:color w:val="auto"/>
          <w:kern w:val="2"/>
          <w:sz w:val="21"/>
          <w:szCs w:val="21"/>
          <w:highlight w:val="none"/>
        </w:rPr>
        <w:t>方案满足项目建设要求。</w:t>
      </w:r>
    </w:p>
    <w:p w14:paraId="70B4B8FB">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项目开工前购买工程一切险（含第三者责任险）、</w:t>
      </w:r>
      <w:r>
        <w:rPr>
          <w:rFonts w:hint="eastAsia" w:ascii="宋体" w:hAnsi="宋体" w:eastAsia="宋体" w:cs="宋体"/>
          <w:color w:val="auto"/>
          <w:kern w:val="2"/>
          <w:sz w:val="21"/>
          <w:szCs w:val="21"/>
          <w:highlight w:val="none"/>
        </w:rPr>
        <w:t>团体人身意外伤害保险。</w:t>
      </w:r>
    </w:p>
    <w:p w14:paraId="67A7029A">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项目开工前项目主出口处及每栋建筑施工点都须设置“五牌一图”</w:t>
      </w:r>
      <w:r>
        <w:rPr>
          <w:rFonts w:hint="eastAsia" w:ascii="宋体" w:hAnsi="宋体" w:eastAsia="宋体" w:cs="宋体"/>
          <w:color w:val="auto"/>
          <w:kern w:val="2"/>
          <w:sz w:val="21"/>
          <w:szCs w:val="21"/>
          <w:highlight w:val="none"/>
        </w:rPr>
        <w:t>。</w:t>
      </w:r>
    </w:p>
    <w:p w14:paraId="6728C409">
      <w:pPr>
        <w:widowControl w:val="0"/>
        <w:wordWrap w:val="0"/>
        <w:adjustRightInd/>
        <w:snapToGrid/>
        <w:spacing w:after="0" w:line="288" w:lineRule="auto"/>
        <w:jc w:val="both"/>
        <w:rPr>
          <w:rFonts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3. 质量要求</w:t>
      </w:r>
    </w:p>
    <w:p w14:paraId="0FB913EC">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（1）达到国家或</w:t>
      </w:r>
      <w:r>
        <w:rPr>
          <w:rFonts w:hint="eastAsia" w:ascii="宋体" w:hAnsi="宋体" w:eastAsia="宋体" w:cs="宋体"/>
          <w:color w:val="auto"/>
          <w:kern w:val="2"/>
          <w:sz w:val="21"/>
          <w:szCs w:val="21"/>
          <w:highlight w:val="none"/>
          <w:lang w:val="en-US" w:eastAsia="zh-CN"/>
        </w:rPr>
        <w:t>光伏、电力</w:t>
      </w:r>
      <w:r>
        <w:rPr>
          <w:rFonts w:hint="eastAsia" w:ascii="宋体" w:hAnsi="宋体" w:eastAsia="宋体" w:cs="宋体"/>
          <w:color w:val="auto"/>
          <w:kern w:val="2"/>
          <w:sz w:val="21"/>
          <w:szCs w:val="21"/>
          <w:highlight w:val="none"/>
        </w:rPr>
        <w:t>行业质量检验评定的</w:t>
      </w:r>
      <w:r>
        <w:rPr>
          <w:rFonts w:hint="eastAsia" w:ascii="宋体" w:hAnsi="宋体" w:eastAsia="宋体" w:cs="宋体"/>
          <w:color w:val="auto"/>
          <w:kern w:val="2"/>
          <w:sz w:val="21"/>
          <w:szCs w:val="21"/>
          <w:highlight w:val="none"/>
          <w:u w:val="single"/>
        </w:rPr>
        <w:t xml:space="preserve"> 合格 </w:t>
      </w:r>
      <w:r>
        <w:rPr>
          <w:rFonts w:hint="eastAsia" w:ascii="宋体" w:hAnsi="宋体" w:eastAsia="宋体" w:cs="宋体"/>
          <w:color w:val="auto"/>
          <w:kern w:val="2"/>
          <w:sz w:val="21"/>
          <w:szCs w:val="21"/>
          <w:highlight w:val="none"/>
        </w:rPr>
        <w:t>标准。</w:t>
      </w:r>
    </w:p>
    <w:p w14:paraId="5BD99706">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（2）建立健全质量保证体系，并保证其正常运作。</w:t>
      </w:r>
    </w:p>
    <w:p w14:paraId="7945D3B7">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（3）加强</w:t>
      </w:r>
      <w:r>
        <w:rPr>
          <w:rFonts w:hint="eastAsia" w:ascii="宋体" w:hAnsi="宋体" w:eastAsia="宋体" w:cs="宋体"/>
          <w:color w:val="auto"/>
          <w:kern w:val="2"/>
          <w:sz w:val="21"/>
          <w:szCs w:val="21"/>
          <w:highlight w:val="none"/>
          <w:lang w:eastAsia="zh-CN"/>
        </w:rPr>
        <w:t>安装调试</w:t>
      </w:r>
      <w:r>
        <w:rPr>
          <w:rFonts w:hint="eastAsia" w:ascii="宋体" w:hAnsi="宋体" w:eastAsia="宋体" w:cs="宋体"/>
          <w:color w:val="auto"/>
          <w:kern w:val="2"/>
          <w:sz w:val="21"/>
          <w:szCs w:val="21"/>
          <w:highlight w:val="none"/>
        </w:rPr>
        <w:t>过程控制，设专人对</w:t>
      </w:r>
      <w:r>
        <w:rPr>
          <w:rFonts w:hint="eastAsia" w:ascii="宋体" w:hAnsi="宋体" w:eastAsia="宋体" w:cs="宋体"/>
          <w:color w:val="auto"/>
          <w:kern w:val="2"/>
          <w:sz w:val="21"/>
          <w:szCs w:val="21"/>
          <w:highlight w:val="none"/>
          <w:lang w:eastAsia="zh-CN"/>
        </w:rPr>
        <w:t>安装</w:t>
      </w:r>
      <w:r>
        <w:rPr>
          <w:rFonts w:hint="eastAsia" w:ascii="宋体" w:hAnsi="宋体" w:eastAsia="宋体" w:cs="宋体"/>
          <w:color w:val="auto"/>
          <w:kern w:val="2"/>
          <w:sz w:val="21"/>
          <w:szCs w:val="21"/>
          <w:highlight w:val="none"/>
        </w:rPr>
        <w:t>质量进行跟踪检查。</w:t>
      </w:r>
    </w:p>
    <w:p w14:paraId="03D4B256">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（4）对</w:t>
      </w:r>
      <w:r>
        <w:rPr>
          <w:rFonts w:hint="eastAsia" w:ascii="宋体" w:hAnsi="宋体" w:eastAsia="宋体" w:cs="宋体"/>
          <w:color w:val="auto"/>
          <w:kern w:val="2"/>
          <w:sz w:val="21"/>
          <w:szCs w:val="21"/>
          <w:highlight w:val="none"/>
          <w:lang w:eastAsia="zh-CN"/>
        </w:rPr>
        <w:t>项目</w:t>
      </w:r>
      <w:r>
        <w:rPr>
          <w:rFonts w:hint="eastAsia" w:ascii="宋体" w:hAnsi="宋体" w:eastAsia="宋体" w:cs="宋体"/>
          <w:color w:val="auto"/>
          <w:kern w:val="2"/>
          <w:sz w:val="21"/>
          <w:szCs w:val="21"/>
          <w:highlight w:val="none"/>
        </w:rPr>
        <w:t>质量的检查严格执行三检制（自检、互检、专检）。</w:t>
      </w:r>
    </w:p>
    <w:p w14:paraId="5F7D1D10">
      <w:pPr>
        <w:widowControl w:val="0"/>
        <w:wordWrap w:val="0"/>
        <w:adjustRightInd/>
        <w:snapToGrid/>
        <w:spacing w:after="0" w:line="288" w:lineRule="auto"/>
        <w:jc w:val="both"/>
        <w:rPr>
          <w:rFonts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4. 安全保证措施</w:t>
      </w:r>
    </w:p>
    <w:p w14:paraId="4E8B1962">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（1）建立安全生产体系，制定详细的安全保证措施，加强安全管理，保证安全生产无事故。</w:t>
      </w:r>
    </w:p>
    <w:p w14:paraId="1C9EECC9">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的布置符合防火、防爆、防雷电等安全规定及文明施工的要求。</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生活办公用房、仓库、材料堆放场按批准的总平面布置图进行布置。</w:t>
      </w:r>
    </w:p>
    <w:p w14:paraId="4DCA260A">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（3）现场道路保持畅通，危险地点悬挂安全警示标牌，</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设置安全宣传标语。</w:t>
      </w:r>
    </w:p>
    <w:p w14:paraId="306C9E4D">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（4）各类房屋、库棚、料场等安全消防距离符合有关规定，现场易燃杂物随时清理，严禁在有火种的场所或其近旁堆放易燃物品。</w:t>
      </w:r>
    </w:p>
    <w:p w14:paraId="1AFC3DB2">
      <w:pPr>
        <w:widowControl w:val="0"/>
        <w:tabs>
          <w:tab w:val="left" w:pos="360"/>
        </w:tabs>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rPr>
        <w:t>）成品保护</w:t>
      </w:r>
      <w:r>
        <w:rPr>
          <w:rFonts w:hint="eastAsia" w:ascii="宋体" w:hAnsi="宋体" w:eastAsia="宋体" w:cs="宋体"/>
          <w:color w:val="auto"/>
          <w:kern w:val="2"/>
          <w:sz w:val="21"/>
          <w:szCs w:val="21"/>
          <w:highlight w:val="none"/>
          <w:lang w:val="en-US" w:eastAsia="zh-CN"/>
        </w:rPr>
        <w:t>措施</w:t>
      </w:r>
      <w:r>
        <w:rPr>
          <w:rFonts w:hint="eastAsia" w:ascii="宋体" w:hAnsi="宋体" w:eastAsia="宋体" w:cs="宋体"/>
          <w:color w:val="auto"/>
          <w:kern w:val="2"/>
          <w:sz w:val="21"/>
          <w:szCs w:val="21"/>
          <w:highlight w:val="none"/>
        </w:rPr>
        <w:t>：彩钢瓦屋面或脆弱屋面在实施前应采集承载数据，符合承载要求才可进行</w:t>
      </w:r>
      <w:r>
        <w:rPr>
          <w:rFonts w:hint="eastAsia" w:ascii="宋体" w:hAnsi="宋体" w:eastAsia="宋体" w:cs="宋体"/>
          <w:color w:val="auto"/>
          <w:kern w:val="2"/>
          <w:sz w:val="21"/>
          <w:szCs w:val="21"/>
          <w:highlight w:val="none"/>
          <w:lang w:eastAsia="zh-CN"/>
        </w:rPr>
        <w:t>安装</w:t>
      </w:r>
      <w:r>
        <w:rPr>
          <w:rFonts w:hint="eastAsia" w:ascii="宋体" w:hAnsi="宋体" w:eastAsia="宋体" w:cs="宋体"/>
          <w:color w:val="auto"/>
          <w:kern w:val="2"/>
          <w:sz w:val="21"/>
          <w:szCs w:val="21"/>
          <w:highlight w:val="none"/>
        </w:rPr>
        <w:t>；应采取避免集中受力的保证措施，如</w:t>
      </w:r>
      <w:r>
        <w:rPr>
          <w:rFonts w:hint="eastAsia" w:ascii="宋体" w:hAnsi="宋体" w:eastAsia="宋体" w:cs="宋体"/>
          <w:color w:val="auto"/>
          <w:kern w:val="2"/>
          <w:sz w:val="21"/>
          <w:szCs w:val="21"/>
          <w:highlight w:val="none"/>
          <w:lang w:val="en-US" w:eastAsia="zh-CN"/>
        </w:rPr>
        <w:t>架</w:t>
      </w:r>
      <w:r>
        <w:rPr>
          <w:rFonts w:hint="eastAsia" w:ascii="宋体" w:hAnsi="宋体" w:eastAsia="宋体" w:cs="宋体"/>
          <w:color w:val="auto"/>
          <w:kern w:val="2"/>
          <w:sz w:val="21"/>
          <w:szCs w:val="21"/>
          <w:highlight w:val="none"/>
        </w:rPr>
        <w:t>设</w:t>
      </w:r>
      <w:r>
        <w:rPr>
          <w:rFonts w:hint="eastAsia" w:ascii="宋体" w:hAnsi="宋体" w:eastAsia="宋体" w:cs="宋体"/>
          <w:b/>
          <w:bCs/>
          <w:color w:val="auto"/>
          <w:kern w:val="2"/>
          <w:sz w:val="21"/>
          <w:szCs w:val="21"/>
          <w:highlight w:val="none"/>
        </w:rPr>
        <w:t>保护踏板</w:t>
      </w:r>
      <w:r>
        <w:rPr>
          <w:rFonts w:hint="eastAsia" w:ascii="宋体" w:hAnsi="宋体" w:eastAsia="宋体" w:cs="宋体"/>
          <w:color w:val="auto"/>
          <w:kern w:val="2"/>
          <w:sz w:val="21"/>
          <w:szCs w:val="21"/>
          <w:highlight w:val="none"/>
        </w:rPr>
        <w:t>或其他增大受力面积的保证措施</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w:t>
      </w:r>
      <w:r>
        <w:rPr>
          <w:rFonts w:hint="eastAsia" w:ascii="宋体" w:hAnsi="宋体" w:eastAsia="宋体" w:cs="宋体"/>
          <w:color w:val="auto"/>
          <w:kern w:val="2"/>
          <w:sz w:val="21"/>
          <w:szCs w:val="21"/>
          <w:highlight w:val="none"/>
        </w:rPr>
        <w:t>必须优先</w:t>
      </w:r>
      <w:r>
        <w:rPr>
          <w:rFonts w:hint="eastAsia" w:ascii="宋体" w:hAnsi="宋体" w:eastAsia="宋体" w:cs="宋体"/>
          <w:color w:val="auto"/>
          <w:kern w:val="2"/>
          <w:sz w:val="21"/>
          <w:szCs w:val="21"/>
          <w:highlight w:val="none"/>
          <w:lang w:val="en-US" w:eastAsia="zh-CN"/>
        </w:rPr>
        <w:t>安装</w:t>
      </w:r>
      <w:r>
        <w:rPr>
          <w:rFonts w:hint="eastAsia" w:ascii="宋体" w:hAnsi="宋体" w:eastAsia="宋体" w:cs="宋体"/>
          <w:color w:val="auto"/>
          <w:kern w:val="2"/>
          <w:sz w:val="21"/>
          <w:szCs w:val="21"/>
          <w:highlight w:val="none"/>
        </w:rPr>
        <w:t>运维通道，避免彩钢瓦因集中受力</w:t>
      </w:r>
      <w:r>
        <w:rPr>
          <w:rFonts w:hint="eastAsia" w:ascii="宋体" w:hAnsi="宋体" w:eastAsia="宋体" w:cs="宋体"/>
          <w:color w:val="auto"/>
          <w:kern w:val="2"/>
          <w:sz w:val="21"/>
          <w:szCs w:val="21"/>
          <w:highlight w:val="none"/>
          <w:lang w:val="en-US" w:eastAsia="zh-CN"/>
        </w:rPr>
        <w:t>变形破裂</w:t>
      </w:r>
      <w:r>
        <w:rPr>
          <w:rFonts w:hint="eastAsia" w:ascii="宋体" w:hAnsi="宋体" w:eastAsia="宋体" w:cs="宋体"/>
          <w:color w:val="auto"/>
          <w:kern w:val="2"/>
          <w:sz w:val="21"/>
          <w:szCs w:val="21"/>
          <w:highlight w:val="none"/>
        </w:rPr>
        <w:t>受损。如因保护措施不足，使原有彩钢瓦受损，</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应承担维修责任及费用，情况严重的，我司有权要求更换整片彩钢瓦</w:t>
      </w:r>
      <w:r>
        <w:rPr>
          <w:rFonts w:hint="eastAsia" w:ascii="宋体" w:hAnsi="宋体" w:eastAsia="宋体" w:cs="宋体"/>
          <w:color w:val="auto"/>
          <w:kern w:val="2"/>
          <w:sz w:val="21"/>
          <w:szCs w:val="21"/>
          <w:highlight w:val="none"/>
          <w:lang w:val="en-US" w:eastAsia="zh-CN"/>
        </w:rPr>
        <w:t>屋面</w:t>
      </w:r>
      <w:r>
        <w:rPr>
          <w:rFonts w:hint="eastAsia" w:ascii="宋体" w:hAnsi="宋体" w:eastAsia="宋体" w:cs="宋体"/>
          <w:color w:val="auto"/>
          <w:kern w:val="2"/>
          <w:sz w:val="21"/>
          <w:szCs w:val="21"/>
          <w:highlight w:val="none"/>
        </w:rPr>
        <w:t>。</w:t>
      </w:r>
    </w:p>
    <w:p w14:paraId="14344C67">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的临时用电严格按照《施工现场临时用电安全技术规范》JGJ46-2005 的规定执行</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严格按照三相五线制布设电线，做到二级保护，三级控制，一机一闸</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同时需出专项方案</w:t>
      </w:r>
      <w:r>
        <w:rPr>
          <w:rFonts w:hint="eastAsia" w:ascii="宋体" w:hAnsi="宋体" w:eastAsia="宋体" w:cs="宋体"/>
          <w:color w:val="auto"/>
          <w:kern w:val="2"/>
          <w:sz w:val="21"/>
          <w:szCs w:val="21"/>
          <w:highlight w:val="none"/>
        </w:rPr>
        <w:t>。</w:t>
      </w:r>
    </w:p>
    <w:p w14:paraId="69B1E417">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（7）</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的</w:t>
      </w:r>
      <w:r>
        <w:rPr>
          <w:rFonts w:hint="eastAsia" w:ascii="宋体" w:hAnsi="宋体" w:eastAsia="宋体" w:cs="宋体"/>
          <w:color w:val="auto"/>
          <w:kern w:val="2"/>
          <w:sz w:val="21"/>
          <w:szCs w:val="21"/>
          <w:highlight w:val="none"/>
          <w:lang w:val="en-US" w:eastAsia="zh-CN"/>
        </w:rPr>
        <w:t>高处作业严格</w:t>
      </w:r>
      <w:r>
        <w:rPr>
          <w:rFonts w:hint="eastAsia" w:ascii="宋体" w:hAnsi="宋体" w:eastAsia="宋体" w:cs="宋体"/>
          <w:color w:val="auto"/>
          <w:kern w:val="2"/>
          <w:sz w:val="21"/>
          <w:szCs w:val="21"/>
          <w:highlight w:val="none"/>
        </w:rPr>
        <w:t>按照《建筑施工高处作业安全技术规范》JGJ80-2016的规定</w:t>
      </w:r>
      <w:r>
        <w:rPr>
          <w:rFonts w:hint="eastAsia" w:ascii="宋体" w:hAnsi="宋体" w:eastAsia="宋体" w:cs="宋体"/>
          <w:color w:val="auto"/>
          <w:kern w:val="2"/>
          <w:sz w:val="21"/>
          <w:szCs w:val="21"/>
          <w:highlight w:val="none"/>
          <w:lang w:val="en-US" w:eastAsia="zh-CN"/>
        </w:rPr>
        <w:t>落实安全措施，</w:t>
      </w:r>
      <w:r>
        <w:rPr>
          <w:rFonts w:hint="eastAsia" w:ascii="宋体" w:hAnsi="宋体" w:eastAsia="宋体" w:cs="宋体"/>
          <w:b/>
          <w:bCs/>
          <w:color w:val="auto"/>
          <w:kern w:val="2"/>
          <w:sz w:val="21"/>
          <w:szCs w:val="21"/>
          <w:highlight w:val="none"/>
          <w:lang w:val="en-US" w:eastAsia="zh-CN"/>
        </w:rPr>
        <w:t>正确佩戴五点式安全带（绳）</w:t>
      </w:r>
      <w:r>
        <w:rPr>
          <w:rFonts w:hint="eastAsia" w:ascii="宋体" w:hAnsi="宋体" w:eastAsia="宋体" w:cs="宋体"/>
          <w:color w:val="auto"/>
          <w:kern w:val="2"/>
          <w:sz w:val="21"/>
          <w:szCs w:val="21"/>
          <w:highlight w:val="none"/>
          <w:lang w:val="en-US" w:eastAsia="zh-CN"/>
        </w:rPr>
        <w:t>、安全帽</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同时需出专项方案</w:t>
      </w:r>
      <w:r>
        <w:rPr>
          <w:rFonts w:hint="eastAsia" w:ascii="宋体" w:hAnsi="宋体" w:eastAsia="宋体" w:cs="宋体"/>
          <w:color w:val="auto"/>
          <w:kern w:val="2"/>
          <w:sz w:val="21"/>
          <w:szCs w:val="21"/>
          <w:highlight w:val="none"/>
        </w:rPr>
        <w:t>。</w:t>
      </w:r>
    </w:p>
    <w:p w14:paraId="2B9A4209">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的</w:t>
      </w:r>
      <w:r>
        <w:rPr>
          <w:rFonts w:hint="eastAsia" w:ascii="宋体" w:hAnsi="宋体" w:eastAsia="宋体" w:cs="宋体"/>
          <w:color w:val="auto"/>
          <w:kern w:val="2"/>
          <w:sz w:val="21"/>
          <w:szCs w:val="21"/>
          <w:highlight w:val="none"/>
          <w:lang w:val="en-US" w:eastAsia="zh-CN"/>
        </w:rPr>
        <w:t>吊装作业必须设置警戒区域，禁止人员跟随物体起吊，禁止人员站在吊物作业范围内下方</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同时需出专项方案</w:t>
      </w:r>
      <w:r>
        <w:rPr>
          <w:rFonts w:hint="eastAsia" w:ascii="宋体" w:hAnsi="宋体" w:eastAsia="宋体" w:cs="宋体"/>
          <w:color w:val="auto"/>
          <w:kern w:val="2"/>
          <w:sz w:val="21"/>
          <w:szCs w:val="21"/>
          <w:highlight w:val="none"/>
        </w:rPr>
        <w:t>。</w:t>
      </w:r>
    </w:p>
    <w:p w14:paraId="4F8C7BC3">
      <w:pPr>
        <w:widowControl w:val="0"/>
        <w:tabs>
          <w:tab w:val="left" w:pos="360"/>
        </w:tabs>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9</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项目现场</w:t>
      </w:r>
      <w:r>
        <w:rPr>
          <w:rFonts w:hint="eastAsia" w:ascii="宋体" w:hAnsi="宋体" w:eastAsia="宋体" w:cs="宋体"/>
          <w:color w:val="auto"/>
          <w:kern w:val="2"/>
          <w:sz w:val="21"/>
          <w:szCs w:val="21"/>
          <w:highlight w:val="none"/>
        </w:rPr>
        <w:t>的</w:t>
      </w:r>
      <w:r>
        <w:rPr>
          <w:rFonts w:hint="eastAsia" w:ascii="宋体" w:hAnsi="宋体" w:eastAsia="宋体" w:cs="宋体"/>
          <w:color w:val="auto"/>
          <w:kern w:val="2"/>
          <w:sz w:val="21"/>
          <w:szCs w:val="21"/>
          <w:highlight w:val="none"/>
          <w:lang w:val="en-US" w:eastAsia="zh-CN"/>
        </w:rPr>
        <w:t>动火作业点应落实消防安全措施</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清理周边易燃、可燃物体，设置灭火毯、灭火器等设施</w:t>
      </w:r>
      <w:r>
        <w:rPr>
          <w:rFonts w:hint="eastAsia" w:ascii="宋体" w:hAnsi="宋体" w:eastAsia="宋体" w:cs="宋体"/>
          <w:color w:val="auto"/>
          <w:kern w:val="2"/>
          <w:sz w:val="21"/>
          <w:szCs w:val="21"/>
          <w:highlight w:val="none"/>
        </w:rPr>
        <w:t>，严禁在</w:t>
      </w:r>
      <w:r>
        <w:rPr>
          <w:rFonts w:hint="eastAsia" w:ascii="宋体" w:hAnsi="宋体" w:eastAsia="宋体" w:cs="宋体"/>
          <w:color w:val="auto"/>
          <w:kern w:val="2"/>
          <w:sz w:val="21"/>
          <w:szCs w:val="21"/>
          <w:highlight w:val="none"/>
          <w:lang w:val="en-US" w:eastAsia="zh-CN"/>
        </w:rPr>
        <w:t>禁火区域进行动火</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同时需出专项方案</w:t>
      </w:r>
      <w:r>
        <w:rPr>
          <w:rFonts w:hint="eastAsia" w:ascii="宋体" w:hAnsi="宋体" w:eastAsia="宋体" w:cs="宋体"/>
          <w:color w:val="auto"/>
          <w:kern w:val="2"/>
          <w:sz w:val="21"/>
          <w:szCs w:val="21"/>
          <w:highlight w:val="none"/>
        </w:rPr>
        <w:t>。</w:t>
      </w:r>
    </w:p>
    <w:p w14:paraId="689EB101">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10</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项目现场</w:t>
      </w:r>
      <w:r>
        <w:rPr>
          <w:rFonts w:hint="eastAsia" w:ascii="宋体" w:hAnsi="宋体" w:eastAsia="宋体" w:cs="宋体"/>
          <w:color w:val="auto"/>
          <w:kern w:val="2"/>
          <w:sz w:val="21"/>
          <w:szCs w:val="21"/>
          <w:highlight w:val="none"/>
        </w:rPr>
        <w:t>设立安全</w:t>
      </w:r>
      <w:r>
        <w:rPr>
          <w:rFonts w:hint="eastAsia" w:ascii="宋体" w:hAnsi="宋体" w:eastAsia="宋体" w:cs="宋体"/>
          <w:color w:val="auto"/>
          <w:kern w:val="2"/>
          <w:sz w:val="21"/>
          <w:szCs w:val="21"/>
          <w:highlight w:val="none"/>
          <w:lang w:val="en-US" w:eastAsia="zh-CN"/>
        </w:rPr>
        <w:t>警示牌</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危险区域必须</w:t>
      </w:r>
      <w:r>
        <w:rPr>
          <w:rFonts w:hint="eastAsia" w:ascii="宋体" w:hAnsi="宋体" w:eastAsia="宋体" w:cs="宋体"/>
          <w:color w:val="auto"/>
          <w:kern w:val="2"/>
          <w:sz w:val="21"/>
          <w:szCs w:val="21"/>
          <w:highlight w:val="none"/>
        </w:rPr>
        <w:t>悬挂“</w:t>
      </w:r>
      <w:r>
        <w:rPr>
          <w:rFonts w:hint="eastAsia" w:ascii="宋体" w:hAnsi="宋体" w:eastAsia="宋体" w:cs="宋体"/>
          <w:color w:val="auto"/>
          <w:kern w:val="2"/>
          <w:sz w:val="21"/>
          <w:szCs w:val="21"/>
          <w:highlight w:val="none"/>
          <w:lang w:val="en-US" w:eastAsia="zh-CN"/>
        </w:rPr>
        <w:t>临边区域，当心坠落</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高空作业，当心坠落</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小心踏空，以防坠落</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以防坠落，请勿攀爬</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吊装作业，请勿靠近</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高压有电，请勿靠近</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当心触电</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注意安全</w:t>
      </w:r>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“严禁烟火”、“禁止通行”或“</w:t>
      </w:r>
      <w:r>
        <w:rPr>
          <w:rFonts w:hint="eastAsia" w:ascii="宋体" w:hAnsi="宋体" w:eastAsia="宋体" w:cs="宋体"/>
          <w:color w:val="auto"/>
          <w:kern w:val="2"/>
          <w:sz w:val="21"/>
          <w:szCs w:val="21"/>
          <w:highlight w:val="none"/>
          <w:lang w:val="en-US" w:eastAsia="zh-CN"/>
        </w:rPr>
        <w:t>高空作业，系好安全带</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必须系安全带</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必须戴安全帽</w:t>
      </w:r>
      <w:r>
        <w:rPr>
          <w:rFonts w:hint="eastAsia" w:ascii="宋体" w:hAnsi="宋体" w:eastAsia="宋体" w:cs="宋体"/>
          <w:color w:val="auto"/>
          <w:kern w:val="2"/>
          <w:sz w:val="21"/>
          <w:szCs w:val="21"/>
          <w:highlight w:val="none"/>
        </w:rPr>
        <w:t>”等</w:t>
      </w:r>
      <w:r>
        <w:rPr>
          <w:rFonts w:hint="eastAsia" w:ascii="宋体" w:hAnsi="宋体" w:eastAsia="宋体" w:cs="宋体"/>
          <w:color w:val="auto"/>
          <w:kern w:val="2"/>
          <w:sz w:val="21"/>
          <w:szCs w:val="21"/>
          <w:highlight w:val="none"/>
          <w:lang w:val="en-US" w:eastAsia="zh-CN"/>
        </w:rPr>
        <w:t>警示</w:t>
      </w:r>
      <w:r>
        <w:rPr>
          <w:rFonts w:hint="eastAsia" w:ascii="宋体" w:hAnsi="宋体" w:eastAsia="宋体" w:cs="宋体"/>
          <w:color w:val="auto"/>
          <w:kern w:val="2"/>
          <w:sz w:val="21"/>
          <w:szCs w:val="21"/>
          <w:highlight w:val="none"/>
        </w:rPr>
        <w:t>标志。</w:t>
      </w:r>
    </w:p>
    <w:p w14:paraId="5C9B53E1">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11</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各处堵路</w:t>
      </w:r>
      <w:r>
        <w:rPr>
          <w:rFonts w:hint="eastAsia" w:ascii="宋体" w:hAnsi="宋体" w:eastAsia="宋体" w:cs="宋体"/>
          <w:color w:val="auto"/>
          <w:kern w:val="2"/>
          <w:sz w:val="21"/>
          <w:szCs w:val="21"/>
          <w:highlight w:val="none"/>
        </w:rPr>
        <w:t>垂直接地极</w:t>
      </w:r>
      <w:r>
        <w:rPr>
          <w:rFonts w:hint="eastAsia" w:ascii="宋体" w:hAnsi="宋体" w:eastAsia="宋体" w:cs="宋体"/>
          <w:color w:val="auto"/>
          <w:kern w:val="2"/>
          <w:sz w:val="21"/>
          <w:szCs w:val="21"/>
          <w:highlight w:val="none"/>
          <w:lang w:val="en-US" w:eastAsia="zh-CN"/>
        </w:rPr>
        <w:t>需配置接地标志</w:t>
      </w:r>
      <w:r>
        <w:rPr>
          <w:rFonts w:hint="eastAsia" w:ascii="宋体" w:hAnsi="宋体" w:eastAsia="宋体" w:cs="宋体"/>
          <w:color w:val="auto"/>
          <w:kern w:val="2"/>
          <w:sz w:val="21"/>
          <w:szCs w:val="21"/>
          <w:highlight w:val="none"/>
        </w:rPr>
        <w:t>。</w:t>
      </w:r>
    </w:p>
    <w:p w14:paraId="14AE157B">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）配电房、并网柜、交流汇流箱、逆变器</w:t>
      </w:r>
      <w:r>
        <w:rPr>
          <w:rFonts w:hint="eastAsia" w:ascii="宋体" w:hAnsi="宋体" w:eastAsia="宋体" w:cs="宋体"/>
          <w:color w:val="auto"/>
          <w:kern w:val="2"/>
          <w:sz w:val="21"/>
          <w:szCs w:val="21"/>
          <w:highlight w:val="none"/>
          <w:lang w:val="en-US" w:eastAsia="zh-CN"/>
        </w:rPr>
        <w:t>等电气设备</w:t>
      </w:r>
      <w:r>
        <w:rPr>
          <w:rFonts w:hint="eastAsia" w:ascii="宋体" w:hAnsi="宋体" w:eastAsia="宋体" w:cs="宋体"/>
          <w:color w:val="auto"/>
          <w:kern w:val="2"/>
          <w:sz w:val="21"/>
          <w:szCs w:val="21"/>
          <w:highlight w:val="none"/>
        </w:rPr>
        <w:t>的安健环必须满足供电验收要求并设计“当心触电”、“高压有电，请勿靠近”等安全警示标志。</w:t>
      </w:r>
    </w:p>
    <w:p w14:paraId="55C48E8F">
      <w:pPr>
        <w:widowControl w:val="0"/>
        <w:tabs>
          <w:tab w:val="left" w:pos="360"/>
        </w:tabs>
        <w:adjustRightInd/>
        <w:snapToGrid/>
        <w:spacing w:after="0" w:line="288" w:lineRule="auto"/>
        <w:ind w:firstLine="420" w:firstLineChars="200"/>
        <w:jc w:val="both"/>
        <w:rPr>
          <w:color w:val="auto"/>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13</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项目现场施工人员穿戴反光衣（附有“东莞能源”LOGO）</w:t>
      </w:r>
      <w:r>
        <w:rPr>
          <w:rFonts w:hint="eastAsia" w:ascii="宋体" w:hAnsi="宋体" w:eastAsia="宋体" w:cs="宋体"/>
          <w:color w:val="auto"/>
          <w:kern w:val="2"/>
          <w:sz w:val="21"/>
          <w:szCs w:val="21"/>
          <w:highlight w:val="none"/>
        </w:rPr>
        <w:t>。</w:t>
      </w:r>
    </w:p>
    <w:p w14:paraId="05BB141E">
      <w:pPr>
        <w:keepNext/>
        <w:keepLines/>
        <w:widowControl w:val="0"/>
        <w:adjustRightInd/>
        <w:snapToGrid/>
        <w:spacing w:after="0" w:line="240" w:lineRule="auto"/>
        <w:jc w:val="both"/>
        <w:outlineLvl w:val="3"/>
        <w:rPr>
          <w:rFonts w:ascii="Calibri Light" w:hAnsi="Calibri Light" w:eastAsia="宋体" w:cs="Times New Roman"/>
          <w:b/>
          <w:bCs/>
          <w:color w:val="auto"/>
          <w:kern w:val="2"/>
          <w:sz w:val="24"/>
          <w:szCs w:val="28"/>
          <w:highlight w:val="none"/>
        </w:rPr>
      </w:pPr>
    </w:p>
    <w:p w14:paraId="0EFD116A">
      <w:pPr>
        <w:keepNext/>
        <w:keepLines/>
        <w:widowControl w:val="0"/>
        <w:adjustRightInd/>
        <w:snapToGrid/>
        <w:spacing w:after="0" w:line="360" w:lineRule="auto"/>
        <w:jc w:val="both"/>
        <w:outlineLvl w:val="3"/>
        <w:rPr>
          <w:rFonts w:ascii="Calibri Light" w:hAnsi="Calibri Light" w:eastAsia="宋体" w:cs="Times New Roman"/>
          <w:b/>
          <w:bCs/>
          <w:color w:val="auto"/>
          <w:kern w:val="2"/>
          <w:sz w:val="24"/>
          <w:szCs w:val="28"/>
          <w:highlight w:val="none"/>
        </w:rPr>
      </w:pPr>
      <w:bookmarkStart w:id="18" w:name="_Toc24626"/>
      <w:r>
        <w:rPr>
          <w:rFonts w:hint="eastAsia" w:ascii="Calibri Light" w:hAnsi="Calibri Light" w:eastAsia="宋体" w:cs="Times New Roman"/>
          <w:b/>
          <w:bCs/>
          <w:color w:val="auto"/>
          <w:kern w:val="2"/>
          <w:sz w:val="24"/>
          <w:szCs w:val="28"/>
          <w:highlight w:val="none"/>
          <w:lang w:val="en-US" w:eastAsia="zh-CN"/>
        </w:rPr>
        <w:t>四</w:t>
      </w:r>
      <w:r>
        <w:rPr>
          <w:rFonts w:hint="eastAsia" w:ascii="Calibri Light" w:hAnsi="Calibri Light" w:eastAsia="宋体" w:cs="Times New Roman"/>
          <w:b/>
          <w:bCs/>
          <w:color w:val="auto"/>
          <w:kern w:val="2"/>
          <w:sz w:val="24"/>
          <w:szCs w:val="28"/>
          <w:highlight w:val="none"/>
        </w:rPr>
        <w:t>、安全运维技术要求</w:t>
      </w:r>
      <w:bookmarkEnd w:id="18"/>
    </w:p>
    <w:p w14:paraId="150F9D48">
      <w:pPr>
        <w:widowControl w:val="0"/>
        <w:wordWrap w:val="0"/>
        <w:adjustRightInd/>
        <w:snapToGrid/>
        <w:spacing w:after="0" w:line="288" w:lineRule="auto"/>
        <w:jc w:val="both"/>
        <w:rPr>
          <w:rFonts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 xml:space="preserve">1. </w:t>
      </w:r>
      <w:r>
        <w:rPr>
          <w:rFonts w:hint="eastAsia" w:ascii="宋体" w:hAnsi="宋体" w:eastAsia="宋体" w:cs="宋体"/>
          <w:b/>
          <w:bCs/>
          <w:color w:val="auto"/>
          <w:kern w:val="2"/>
          <w:sz w:val="21"/>
          <w:szCs w:val="21"/>
          <w:highlight w:val="none"/>
          <w:lang w:val="en-US" w:eastAsia="zh-CN"/>
        </w:rPr>
        <w:t>安全</w:t>
      </w:r>
      <w:r>
        <w:rPr>
          <w:rFonts w:hint="eastAsia" w:ascii="宋体" w:hAnsi="宋体" w:eastAsia="宋体" w:cs="宋体"/>
          <w:b/>
          <w:bCs/>
          <w:color w:val="auto"/>
          <w:kern w:val="2"/>
          <w:sz w:val="21"/>
          <w:szCs w:val="21"/>
          <w:highlight w:val="none"/>
        </w:rPr>
        <w:t>运维要求</w:t>
      </w:r>
    </w:p>
    <w:p w14:paraId="7D7427B8">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r>
        <w:rPr>
          <w:rFonts w:hint="eastAsia" w:ascii="宋体" w:hAnsi="宋体" w:eastAsia="宋体" w:cs="宋体"/>
          <w:color w:val="auto"/>
          <w:kern w:val="2"/>
          <w:sz w:val="21"/>
          <w:szCs w:val="21"/>
          <w:highlight w:val="none"/>
          <w:lang w:val="en-US" w:eastAsia="zh-CN"/>
        </w:rPr>
        <w:t>光伏系统</w:t>
      </w:r>
      <w:r>
        <w:rPr>
          <w:rFonts w:hint="eastAsia" w:ascii="宋体" w:hAnsi="宋体" w:eastAsia="宋体" w:cs="宋体"/>
          <w:color w:val="auto"/>
          <w:kern w:val="2"/>
          <w:sz w:val="21"/>
          <w:szCs w:val="21"/>
          <w:highlight w:val="none"/>
        </w:rPr>
        <w:t>投入运行后，投资方应当制定相应的运维制度，成立专门的管理团队，确保光伏设施的安全运行；</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在质保期内需配合投资方</w:t>
      </w:r>
      <w:r>
        <w:rPr>
          <w:rFonts w:hint="eastAsia" w:ascii="宋体" w:hAnsi="宋体" w:eastAsia="宋体" w:cs="宋体"/>
          <w:color w:val="auto"/>
          <w:kern w:val="2"/>
          <w:sz w:val="21"/>
          <w:szCs w:val="21"/>
          <w:highlight w:val="none"/>
          <w:lang w:val="en-US" w:eastAsia="zh-CN"/>
        </w:rPr>
        <w:t>安全运维部门进行</w:t>
      </w:r>
      <w:r>
        <w:rPr>
          <w:rFonts w:hint="eastAsia" w:ascii="宋体" w:hAnsi="宋体" w:eastAsia="宋体" w:cs="宋体"/>
          <w:color w:val="auto"/>
          <w:kern w:val="2"/>
          <w:sz w:val="21"/>
          <w:szCs w:val="21"/>
          <w:highlight w:val="none"/>
        </w:rPr>
        <w:t>运维管理。</w:t>
      </w:r>
    </w:p>
    <w:p w14:paraId="1CF115CA">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w:t>
      </w:r>
      <w:r>
        <w:rPr>
          <w:rFonts w:hint="eastAsia" w:ascii="宋体" w:hAnsi="宋体" w:eastAsia="宋体" w:cs="宋体"/>
          <w:color w:val="auto"/>
          <w:kern w:val="2"/>
          <w:sz w:val="21"/>
          <w:szCs w:val="21"/>
          <w:highlight w:val="none"/>
          <w:lang w:val="en-US" w:eastAsia="zh-CN"/>
        </w:rPr>
        <w:t>光伏系统</w:t>
      </w:r>
      <w:r>
        <w:rPr>
          <w:rFonts w:hint="eastAsia" w:ascii="宋体" w:hAnsi="宋体" w:eastAsia="宋体" w:cs="宋体"/>
          <w:color w:val="auto"/>
          <w:kern w:val="2"/>
          <w:sz w:val="21"/>
          <w:szCs w:val="21"/>
          <w:highlight w:val="none"/>
        </w:rPr>
        <w:t>投入运行后经营期最高不得超过 25 年；最低不得低于 10 年；</w:t>
      </w:r>
    </w:p>
    <w:p w14:paraId="7E8A423F">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（3）质保期内</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应确保</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系统安全、稳定、可靠运行，定期派人检查、监管和记录项目的运行情况，并定期汇总给投资方</w:t>
      </w:r>
      <w:r>
        <w:rPr>
          <w:rFonts w:hint="eastAsia" w:ascii="宋体" w:hAnsi="宋体" w:eastAsia="宋体" w:cs="宋体"/>
          <w:color w:val="auto"/>
          <w:kern w:val="2"/>
          <w:sz w:val="21"/>
          <w:szCs w:val="21"/>
          <w:highlight w:val="none"/>
          <w:lang w:val="en-US" w:eastAsia="zh-CN"/>
        </w:rPr>
        <w:t>安全运维部门</w:t>
      </w:r>
      <w:r>
        <w:rPr>
          <w:rFonts w:hint="eastAsia" w:ascii="宋体" w:hAnsi="宋体" w:eastAsia="宋体" w:cs="宋体"/>
          <w:color w:val="auto"/>
          <w:kern w:val="2"/>
          <w:sz w:val="21"/>
          <w:szCs w:val="21"/>
          <w:highlight w:val="none"/>
        </w:rPr>
        <w:t>。</w:t>
      </w:r>
    </w:p>
    <w:p w14:paraId="68C0E70C">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承包单位</w:t>
      </w:r>
      <w:r>
        <w:rPr>
          <w:rFonts w:hint="eastAsia" w:ascii="宋体" w:hAnsi="宋体" w:eastAsia="宋体" w:cs="宋体"/>
          <w:color w:val="auto"/>
          <w:kern w:val="2"/>
          <w:sz w:val="21"/>
          <w:szCs w:val="21"/>
          <w:highlight w:val="none"/>
        </w:rPr>
        <w:t>承诺对</w:t>
      </w:r>
      <w:r>
        <w:rPr>
          <w:rFonts w:hint="eastAsia" w:ascii="宋体" w:hAnsi="宋体" w:eastAsia="宋体" w:cs="宋体"/>
          <w:color w:val="auto"/>
          <w:kern w:val="2"/>
          <w:sz w:val="21"/>
          <w:szCs w:val="21"/>
          <w:highlight w:val="none"/>
          <w:lang w:val="en-US" w:eastAsia="zh-CN"/>
        </w:rPr>
        <w:t>光伏系统</w:t>
      </w:r>
      <w:r>
        <w:rPr>
          <w:rFonts w:hint="eastAsia" w:ascii="宋体" w:hAnsi="宋体" w:eastAsia="宋体" w:cs="宋体"/>
          <w:color w:val="auto"/>
          <w:kern w:val="2"/>
          <w:sz w:val="21"/>
          <w:szCs w:val="21"/>
          <w:highlight w:val="none"/>
        </w:rPr>
        <w:t>提供合同期内维修保养服务，并承担维修保养费用。</w:t>
      </w:r>
    </w:p>
    <w:p w14:paraId="3B3E04CD">
      <w:pPr>
        <w:widowControl w:val="0"/>
        <w:wordWrap w:val="0"/>
        <w:adjustRightInd/>
        <w:snapToGrid/>
        <w:spacing w:after="0" w:line="288" w:lineRule="auto"/>
        <w:jc w:val="both"/>
        <w:rPr>
          <w:rFonts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 xml:space="preserve">2. </w:t>
      </w:r>
      <w:r>
        <w:rPr>
          <w:rFonts w:hint="eastAsia" w:ascii="宋体" w:hAnsi="宋体" w:eastAsia="宋体" w:cs="宋体"/>
          <w:b/>
          <w:bCs/>
          <w:color w:val="auto"/>
          <w:kern w:val="2"/>
          <w:sz w:val="21"/>
          <w:szCs w:val="21"/>
          <w:highlight w:val="none"/>
          <w:lang w:val="en-US" w:eastAsia="zh-CN"/>
        </w:rPr>
        <w:t>安全</w:t>
      </w:r>
      <w:r>
        <w:rPr>
          <w:rFonts w:hint="eastAsia" w:ascii="宋体" w:hAnsi="宋体" w:eastAsia="宋体" w:cs="宋体"/>
          <w:b/>
          <w:bCs/>
          <w:color w:val="auto"/>
          <w:kern w:val="2"/>
          <w:sz w:val="21"/>
          <w:szCs w:val="21"/>
          <w:highlight w:val="none"/>
        </w:rPr>
        <w:t>运维设施</w:t>
      </w:r>
    </w:p>
    <w:p w14:paraId="731F151B">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r>
        <w:rPr>
          <w:rFonts w:hint="eastAsia" w:ascii="宋体" w:hAnsi="宋体" w:eastAsia="宋体" w:cs="宋体"/>
          <w:color w:val="auto"/>
          <w:kern w:val="2"/>
          <w:sz w:val="21"/>
          <w:szCs w:val="21"/>
          <w:highlight w:val="none"/>
          <w:lang w:val="en-US" w:eastAsia="zh-CN"/>
        </w:rPr>
        <w:t>水清洗</w:t>
      </w:r>
      <w:r>
        <w:rPr>
          <w:rFonts w:hint="eastAsia" w:ascii="宋体" w:hAnsi="宋体" w:eastAsia="宋体" w:cs="宋体"/>
          <w:color w:val="auto"/>
          <w:kern w:val="2"/>
          <w:sz w:val="21"/>
          <w:szCs w:val="21"/>
          <w:highlight w:val="none"/>
        </w:rPr>
        <w:t>系统</w:t>
      </w:r>
    </w:p>
    <w:p w14:paraId="5288A48A">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①考虑到后期</w:t>
      </w:r>
      <w:r>
        <w:rPr>
          <w:rFonts w:hint="eastAsia" w:ascii="宋体" w:hAnsi="宋体" w:eastAsia="宋体" w:cs="宋体"/>
          <w:color w:val="auto"/>
          <w:kern w:val="2"/>
          <w:sz w:val="21"/>
          <w:szCs w:val="21"/>
          <w:highlight w:val="none"/>
          <w:lang w:val="en-US" w:eastAsia="zh-CN"/>
        </w:rPr>
        <w:t>光伏组件</w:t>
      </w:r>
      <w:r>
        <w:rPr>
          <w:rFonts w:hint="eastAsia" w:ascii="宋体" w:hAnsi="宋体" w:eastAsia="宋体" w:cs="宋体"/>
          <w:color w:val="auto"/>
          <w:kern w:val="2"/>
          <w:sz w:val="21"/>
          <w:szCs w:val="21"/>
          <w:highlight w:val="none"/>
        </w:rPr>
        <w:t>清洗，每个屋面光伏</w:t>
      </w:r>
      <w:r>
        <w:rPr>
          <w:rFonts w:hint="eastAsia" w:ascii="宋体" w:hAnsi="宋体" w:eastAsia="宋体" w:cs="宋体"/>
          <w:color w:val="auto"/>
          <w:kern w:val="2"/>
          <w:sz w:val="21"/>
          <w:szCs w:val="21"/>
          <w:highlight w:val="none"/>
          <w:lang w:val="en-US" w:eastAsia="zh-CN"/>
        </w:rPr>
        <w:t>系统需</w:t>
      </w:r>
      <w:r>
        <w:rPr>
          <w:rFonts w:hint="eastAsia" w:ascii="宋体" w:hAnsi="宋体" w:eastAsia="宋体" w:cs="宋体"/>
          <w:color w:val="auto"/>
          <w:kern w:val="2"/>
          <w:sz w:val="21"/>
          <w:szCs w:val="21"/>
          <w:highlight w:val="none"/>
        </w:rPr>
        <w:t>设计</w:t>
      </w:r>
      <w:r>
        <w:rPr>
          <w:rFonts w:hint="eastAsia" w:ascii="宋体" w:hAnsi="宋体" w:eastAsia="宋体" w:cs="宋体"/>
          <w:color w:val="auto"/>
          <w:kern w:val="2"/>
          <w:sz w:val="21"/>
          <w:szCs w:val="21"/>
          <w:highlight w:val="none"/>
          <w:lang w:val="en-US" w:eastAsia="zh-CN"/>
        </w:rPr>
        <w:t>水清洗</w:t>
      </w:r>
      <w:r>
        <w:rPr>
          <w:rFonts w:hint="eastAsia" w:ascii="宋体" w:hAnsi="宋体" w:eastAsia="宋体" w:cs="宋体"/>
          <w:color w:val="auto"/>
          <w:kern w:val="2"/>
          <w:sz w:val="21"/>
          <w:szCs w:val="21"/>
          <w:highlight w:val="none"/>
        </w:rPr>
        <w:t>系统，要求在</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组件排布屋面安装</w:t>
      </w:r>
      <w:r>
        <w:rPr>
          <w:rFonts w:hint="eastAsia" w:ascii="宋体" w:hAnsi="宋体" w:eastAsia="宋体" w:cs="宋体"/>
          <w:color w:val="auto"/>
          <w:kern w:val="2"/>
          <w:sz w:val="21"/>
          <w:szCs w:val="21"/>
          <w:highlight w:val="none"/>
          <w:lang w:val="en-US" w:eastAsia="zh-CN"/>
        </w:rPr>
        <w:t>水管，并在出水口加装</w:t>
      </w:r>
      <w:r>
        <w:rPr>
          <w:rFonts w:hint="eastAsia" w:ascii="宋体" w:hAnsi="宋体" w:eastAsia="宋体" w:cs="宋体"/>
          <w:color w:val="auto"/>
          <w:kern w:val="2"/>
          <w:sz w:val="21"/>
          <w:szCs w:val="21"/>
          <w:highlight w:val="none"/>
        </w:rPr>
        <w:t>水龙头，</w:t>
      </w:r>
      <w:r>
        <w:rPr>
          <w:rFonts w:hint="eastAsia" w:ascii="宋体" w:hAnsi="宋体" w:eastAsia="宋体" w:cs="宋体"/>
          <w:color w:val="auto"/>
          <w:kern w:val="2"/>
          <w:sz w:val="21"/>
          <w:szCs w:val="21"/>
          <w:highlight w:val="none"/>
          <w:lang w:val="en-US" w:eastAsia="zh-CN"/>
        </w:rPr>
        <w:t>在每个接水口需要</w:t>
      </w:r>
      <w:r>
        <w:rPr>
          <w:rFonts w:hint="eastAsia" w:ascii="宋体" w:hAnsi="宋体" w:eastAsia="宋体" w:cs="宋体"/>
          <w:color w:val="auto"/>
          <w:kern w:val="2"/>
          <w:sz w:val="21"/>
          <w:szCs w:val="21"/>
          <w:highlight w:val="none"/>
        </w:rPr>
        <w:t>配置相应的计量水表。</w:t>
      </w:r>
    </w:p>
    <w:p w14:paraId="02ED6400">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w:t>
      </w:r>
      <w:r>
        <w:rPr>
          <w:rFonts w:hint="eastAsia" w:ascii="宋体" w:hAnsi="宋体" w:eastAsia="宋体" w:cs="宋体"/>
          <w:color w:val="auto"/>
          <w:kern w:val="2"/>
          <w:sz w:val="21"/>
          <w:szCs w:val="21"/>
          <w:highlight w:val="none"/>
          <w:lang w:val="en-US" w:eastAsia="zh-CN"/>
        </w:rPr>
        <w:t>水清洗</w:t>
      </w:r>
      <w:r>
        <w:rPr>
          <w:rFonts w:hint="eastAsia" w:ascii="宋体" w:hAnsi="宋体" w:eastAsia="宋体" w:cs="宋体"/>
          <w:color w:val="auto"/>
          <w:kern w:val="2"/>
          <w:sz w:val="21"/>
          <w:szCs w:val="21"/>
          <w:highlight w:val="none"/>
        </w:rPr>
        <w:t>系统冲洗端</w:t>
      </w:r>
      <w:r>
        <w:rPr>
          <w:rFonts w:hint="eastAsia" w:ascii="宋体" w:hAnsi="宋体" w:eastAsia="宋体" w:cs="宋体"/>
          <w:color w:val="auto"/>
          <w:kern w:val="2"/>
          <w:sz w:val="21"/>
          <w:szCs w:val="21"/>
          <w:highlight w:val="none"/>
          <w:lang w:val="en-US" w:eastAsia="zh-CN"/>
        </w:rPr>
        <w:t>水压不足（压力小于</w:t>
      </w:r>
      <w:r>
        <w:rPr>
          <w:rFonts w:hint="eastAsia" w:ascii="宋体" w:hAnsi="宋体" w:eastAsia="宋体" w:cs="宋体"/>
          <w:color w:val="auto"/>
          <w:kern w:val="2"/>
          <w:sz w:val="21"/>
          <w:szCs w:val="21"/>
          <w:highlight w:val="none"/>
        </w:rPr>
        <w:t>0.2MPa</w:t>
      </w:r>
      <w:r>
        <w:rPr>
          <w:rFonts w:hint="eastAsia" w:ascii="宋体" w:hAnsi="宋体" w:eastAsia="宋体" w:cs="宋体"/>
          <w:color w:val="auto"/>
          <w:kern w:val="2"/>
          <w:sz w:val="21"/>
          <w:szCs w:val="21"/>
          <w:highlight w:val="none"/>
          <w:lang w:val="en-US" w:eastAsia="zh-CN"/>
        </w:rPr>
        <w:t>时）需加装</w:t>
      </w:r>
      <w:r>
        <w:rPr>
          <w:rFonts w:hint="eastAsia" w:ascii="宋体" w:hAnsi="宋体" w:eastAsia="宋体" w:cs="宋体"/>
          <w:color w:val="auto"/>
          <w:kern w:val="2"/>
          <w:sz w:val="21"/>
          <w:szCs w:val="21"/>
          <w:highlight w:val="none"/>
        </w:rPr>
        <w:t>增压泵，出口压力可调节，最小出口压力保证</w:t>
      </w:r>
      <w:r>
        <w:rPr>
          <w:rFonts w:hint="eastAsia" w:ascii="宋体" w:hAnsi="宋体" w:eastAsia="宋体" w:cs="宋体"/>
          <w:color w:val="auto"/>
          <w:kern w:val="2"/>
          <w:sz w:val="21"/>
          <w:szCs w:val="21"/>
          <w:highlight w:val="none"/>
          <w:lang w:val="en-US" w:eastAsia="zh-CN"/>
        </w:rPr>
        <w:t>每</w:t>
      </w:r>
      <w:r>
        <w:rPr>
          <w:rFonts w:hint="eastAsia" w:ascii="宋体" w:hAnsi="宋体" w:eastAsia="宋体" w:cs="宋体"/>
          <w:color w:val="auto"/>
          <w:kern w:val="2"/>
          <w:sz w:val="21"/>
          <w:szCs w:val="21"/>
          <w:highlight w:val="none"/>
        </w:rPr>
        <w:t>个终端同时开启时冲洗压力大于0.2MPa，泵入口设置可拆卸式滤网保证冲洗水不含杂质。</w:t>
      </w:r>
    </w:p>
    <w:p w14:paraId="5B66D2D8">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③所有的冲洗水管采用</w:t>
      </w:r>
      <w:r>
        <w:rPr>
          <w:rFonts w:hint="eastAsia" w:ascii="宋体" w:hAnsi="宋体" w:eastAsia="宋体" w:cs="宋体"/>
          <w:b/>
          <w:bCs/>
          <w:color w:val="auto"/>
          <w:kern w:val="2"/>
          <w:sz w:val="21"/>
          <w:szCs w:val="21"/>
          <w:highlight w:val="none"/>
        </w:rPr>
        <w:t>PPR热熔管</w:t>
      </w:r>
      <w:r>
        <w:rPr>
          <w:rFonts w:hint="eastAsia" w:ascii="宋体" w:hAnsi="宋体" w:eastAsia="宋体" w:cs="宋体"/>
          <w:color w:val="auto"/>
          <w:kern w:val="2"/>
          <w:sz w:val="21"/>
          <w:szCs w:val="21"/>
          <w:highlight w:val="none"/>
        </w:rPr>
        <w:t>，清洗水管管网放在通道上</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水管拖长不超过</w:t>
      </w:r>
      <w:r>
        <w:rPr>
          <w:rFonts w:hint="eastAsia" w:ascii="宋体" w:hAnsi="宋体" w:eastAsia="宋体" w:cs="宋体"/>
          <w:color w:val="auto"/>
          <w:kern w:val="2"/>
          <w:sz w:val="21"/>
          <w:szCs w:val="21"/>
          <w:highlight w:val="none"/>
          <w:lang w:val="en-US" w:eastAsia="zh-CN"/>
        </w:rPr>
        <w:t>50</w:t>
      </w:r>
      <w:r>
        <w:rPr>
          <w:rFonts w:hint="eastAsia" w:ascii="宋体" w:hAnsi="宋体" w:eastAsia="宋体" w:cs="宋体"/>
          <w:color w:val="auto"/>
          <w:kern w:val="2"/>
          <w:sz w:val="21"/>
          <w:szCs w:val="21"/>
          <w:highlight w:val="none"/>
        </w:rPr>
        <w:t>米且不能放在</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组件上，在阵列式屋面、彩钢瓦屋面、棚架</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组件面每25米设置一个水龙头，按只能走通道的原则来布置水龙头。</w:t>
      </w:r>
    </w:p>
    <w:p w14:paraId="031E4F73">
      <w:pPr>
        <w:widowControl w:val="0"/>
        <w:tabs>
          <w:tab w:val="left" w:pos="360"/>
        </w:tabs>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rPr>
        <w:t>④</w:t>
      </w:r>
      <w:r>
        <w:rPr>
          <w:rFonts w:hint="eastAsia" w:ascii="宋体" w:hAnsi="宋体" w:eastAsia="宋体" w:cs="宋体"/>
          <w:color w:val="auto"/>
          <w:kern w:val="2"/>
          <w:sz w:val="21"/>
          <w:szCs w:val="21"/>
          <w:highlight w:val="none"/>
          <w:lang w:val="en-US" w:eastAsia="zh-CN"/>
        </w:rPr>
        <w:t>水管、水龙头应安装整齐、牢固，外观无明显破损和质量问题</w:t>
      </w:r>
      <w:r>
        <w:rPr>
          <w:rFonts w:hint="eastAsia" w:ascii="宋体" w:hAnsi="宋体" w:eastAsia="宋体" w:cs="宋体"/>
          <w:color w:val="auto"/>
          <w:kern w:val="2"/>
          <w:sz w:val="21"/>
          <w:szCs w:val="21"/>
          <w:highlight w:val="none"/>
        </w:rPr>
        <w:t>。</w:t>
      </w:r>
    </w:p>
    <w:p w14:paraId="267DF4F4">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（2）</w:t>
      </w:r>
      <w:r>
        <w:rPr>
          <w:rFonts w:hint="eastAsia" w:ascii="宋体" w:hAnsi="宋体" w:eastAsia="宋体" w:cs="宋体"/>
          <w:color w:val="auto"/>
          <w:kern w:val="2"/>
          <w:sz w:val="21"/>
          <w:szCs w:val="21"/>
          <w:highlight w:val="none"/>
          <w:lang w:val="en-US" w:eastAsia="zh-CN"/>
        </w:rPr>
        <w:t>运维</w:t>
      </w:r>
      <w:r>
        <w:rPr>
          <w:rFonts w:hint="eastAsia" w:ascii="宋体" w:hAnsi="宋体" w:eastAsia="宋体" w:cs="宋体"/>
          <w:color w:val="auto"/>
          <w:kern w:val="2"/>
          <w:sz w:val="21"/>
          <w:szCs w:val="21"/>
          <w:highlight w:val="none"/>
        </w:rPr>
        <w:t>通道</w:t>
      </w:r>
      <w:r>
        <w:rPr>
          <w:rFonts w:hint="eastAsia" w:ascii="宋体" w:hAnsi="宋体" w:eastAsia="宋体" w:cs="宋体"/>
          <w:color w:val="auto"/>
          <w:kern w:val="2"/>
          <w:sz w:val="21"/>
          <w:szCs w:val="21"/>
          <w:highlight w:val="none"/>
          <w:lang w:val="en-US" w:eastAsia="zh-CN"/>
        </w:rPr>
        <w:t>与水平“生命线”</w:t>
      </w:r>
    </w:p>
    <w:p w14:paraId="0ED3B54D">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各项目根据组件排布设置合理的运维通道，确保方便运维人员进行运维。运维通道应连成一体，并和水管、</w:t>
      </w:r>
      <w:r>
        <w:rPr>
          <w:rFonts w:hint="eastAsia" w:ascii="宋体" w:hAnsi="宋体" w:eastAsia="宋体" w:cs="宋体"/>
          <w:color w:val="auto"/>
          <w:kern w:val="2"/>
          <w:sz w:val="21"/>
          <w:szCs w:val="21"/>
          <w:highlight w:val="none"/>
          <w:lang w:val="en-US" w:eastAsia="zh-CN"/>
        </w:rPr>
        <w:t>桥架</w:t>
      </w:r>
      <w:r>
        <w:rPr>
          <w:rFonts w:hint="eastAsia" w:ascii="宋体" w:hAnsi="宋体" w:eastAsia="宋体" w:cs="宋体"/>
          <w:color w:val="auto"/>
          <w:kern w:val="2"/>
          <w:sz w:val="21"/>
          <w:szCs w:val="21"/>
          <w:highlight w:val="none"/>
        </w:rPr>
        <w:t>等统一布置。</w:t>
      </w:r>
    </w:p>
    <w:p w14:paraId="4DD047BA">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A.</w:t>
      </w:r>
      <w:r>
        <w:rPr>
          <w:rFonts w:hint="eastAsia" w:ascii="宋体" w:hAnsi="宋体" w:eastAsia="宋体" w:cs="宋体"/>
          <w:color w:val="auto"/>
          <w:kern w:val="2"/>
          <w:sz w:val="21"/>
          <w:szCs w:val="21"/>
          <w:highlight w:val="none"/>
        </w:rPr>
        <w:t>彩钢瓦屋面</w:t>
      </w:r>
      <w:r>
        <w:rPr>
          <w:rFonts w:hint="eastAsia" w:ascii="宋体" w:hAnsi="宋体" w:eastAsia="宋体" w:cs="宋体"/>
          <w:color w:val="auto"/>
          <w:kern w:val="2"/>
          <w:sz w:val="21"/>
          <w:szCs w:val="21"/>
          <w:highlight w:val="none"/>
          <w:lang w:val="en-US" w:eastAsia="zh-CN"/>
        </w:rPr>
        <w:t>宜沿着护杆设置</w:t>
      </w:r>
      <w:r>
        <w:rPr>
          <w:rFonts w:hint="eastAsia" w:ascii="宋体" w:hAnsi="宋体" w:eastAsia="宋体" w:cs="宋体"/>
          <w:b/>
          <w:bCs/>
          <w:color w:val="auto"/>
          <w:kern w:val="2"/>
          <w:sz w:val="21"/>
          <w:szCs w:val="21"/>
          <w:highlight w:val="none"/>
          <w:lang w:val="en-US" w:eastAsia="zh-CN"/>
        </w:rPr>
        <w:t>镀锌</w:t>
      </w:r>
      <w:r>
        <w:rPr>
          <w:rFonts w:hint="eastAsia" w:ascii="宋体" w:hAnsi="宋体" w:eastAsia="宋体" w:cs="宋体"/>
          <w:b/>
          <w:bCs/>
          <w:color w:val="auto"/>
          <w:kern w:val="2"/>
          <w:sz w:val="21"/>
          <w:szCs w:val="21"/>
          <w:highlight w:val="none"/>
        </w:rPr>
        <w:t>格栅板</w:t>
      </w:r>
      <w:r>
        <w:rPr>
          <w:rFonts w:hint="eastAsia" w:ascii="宋体" w:hAnsi="宋体" w:eastAsia="宋体" w:cs="宋体"/>
          <w:color w:val="auto"/>
          <w:kern w:val="2"/>
          <w:sz w:val="21"/>
          <w:szCs w:val="21"/>
          <w:highlight w:val="none"/>
          <w:lang w:val="en-US" w:eastAsia="zh-CN"/>
        </w:rPr>
        <w:t>运维</w:t>
      </w:r>
      <w:r>
        <w:rPr>
          <w:rFonts w:hint="eastAsia" w:ascii="宋体" w:hAnsi="宋体" w:eastAsia="宋体" w:cs="宋体"/>
          <w:color w:val="auto"/>
          <w:kern w:val="2"/>
          <w:sz w:val="21"/>
          <w:szCs w:val="21"/>
          <w:highlight w:val="none"/>
        </w:rPr>
        <w:t>通道，通道能直达到每一路逆变器。且不影响光伏系统件的正常运行。运维格栅板要求如下：</w:t>
      </w:r>
    </w:p>
    <w:p w14:paraId="0AD58B14">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①格栅板材质</w:t>
      </w:r>
      <w:r>
        <w:rPr>
          <w:rFonts w:hint="eastAsia" w:ascii="宋体" w:hAnsi="宋体" w:eastAsia="宋体" w:cs="宋体"/>
          <w:color w:val="auto"/>
          <w:kern w:val="2"/>
          <w:sz w:val="21"/>
          <w:szCs w:val="21"/>
          <w:highlight w:val="none"/>
          <w:lang w:val="en-US" w:eastAsia="zh-CN"/>
        </w:rPr>
        <w:t>采用</w:t>
      </w:r>
      <w:r>
        <w:rPr>
          <w:rFonts w:hint="eastAsia" w:ascii="宋体" w:hAnsi="宋体" w:eastAsia="宋体" w:cs="宋体"/>
          <w:color w:val="auto"/>
          <w:kern w:val="2"/>
          <w:sz w:val="21"/>
          <w:szCs w:val="21"/>
          <w:highlight w:val="none"/>
        </w:rPr>
        <w:t>镀锌钢，格栅板的重量在15kg/m2以内，宽度不低于400mm；</w:t>
      </w:r>
    </w:p>
    <w:p w14:paraId="4C8F1DCB">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②格栅板能够满足并能覆盖整个屋面太阳能板区域运维过程中的清洗、检修等工作；</w:t>
      </w:r>
    </w:p>
    <w:p w14:paraId="7770D243">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③格栅板与格栅板衔接处可靠固定，格栅板与屋面可靠连接；</w:t>
      </w:r>
    </w:p>
    <w:p w14:paraId="2DC2BCAE">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④格栅板强度和质量，满足如下要求：每间隔500mm在格栅板底部加一道支撑，同时格栅板用</w:t>
      </w:r>
      <w:r>
        <w:rPr>
          <w:rFonts w:hint="eastAsia" w:ascii="宋体" w:hAnsi="宋体" w:eastAsia="宋体" w:cs="宋体"/>
          <w:color w:val="auto"/>
          <w:kern w:val="2"/>
          <w:sz w:val="21"/>
          <w:szCs w:val="21"/>
          <w:highlight w:val="none"/>
          <w:lang w:val="en-US" w:eastAsia="zh-CN"/>
        </w:rPr>
        <w:t>铝合金</w:t>
      </w:r>
      <w:r>
        <w:rPr>
          <w:rFonts w:hint="eastAsia" w:ascii="宋体" w:hAnsi="宋体" w:eastAsia="宋体" w:cs="宋体"/>
          <w:color w:val="auto"/>
          <w:kern w:val="2"/>
          <w:sz w:val="21"/>
          <w:szCs w:val="21"/>
          <w:highlight w:val="none"/>
        </w:rPr>
        <w:t>支撑，确保格栅板不移位晃动，不下垂并满足踩踏强度要求</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同时要做好</w:t>
      </w:r>
      <w:r>
        <w:rPr>
          <w:rFonts w:hint="eastAsia" w:ascii="宋体" w:hAnsi="宋体" w:eastAsia="宋体" w:cs="宋体"/>
          <w:color w:val="auto"/>
          <w:kern w:val="2"/>
          <w:sz w:val="21"/>
          <w:szCs w:val="21"/>
          <w:highlight w:val="none"/>
        </w:rPr>
        <w:t>防腐措施，寿命要求25年以上；</w:t>
      </w:r>
    </w:p>
    <w:p w14:paraId="3450ED7C">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⑤因特殊情况</w:t>
      </w:r>
      <w:r>
        <w:rPr>
          <w:rFonts w:hint="eastAsia" w:ascii="宋体" w:hAnsi="宋体" w:eastAsia="宋体" w:cs="宋体"/>
          <w:color w:val="auto"/>
          <w:kern w:val="2"/>
          <w:sz w:val="21"/>
          <w:szCs w:val="21"/>
          <w:highlight w:val="none"/>
          <w:lang w:val="en-US" w:eastAsia="zh-CN"/>
        </w:rPr>
        <w:t>无法</w:t>
      </w:r>
      <w:r>
        <w:rPr>
          <w:rFonts w:hint="eastAsia" w:ascii="宋体" w:hAnsi="宋体" w:eastAsia="宋体" w:cs="宋体"/>
          <w:color w:val="auto"/>
          <w:kern w:val="2"/>
          <w:sz w:val="21"/>
          <w:szCs w:val="21"/>
          <w:highlight w:val="none"/>
        </w:rPr>
        <w:t>设置护栏的彩钢瓦屋面，格栅板运维通道不宜设置在高处临边侧，同时</w:t>
      </w:r>
      <w:r>
        <w:rPr>
          <w:rFonts w:hint="eastAsia" w:ascii="宋体" w:hAnsi="宋体" w:eastAsia="宋体" w:cs="宋体"/>
          <w:color w:val="auto"/>
          <w:kern w:val="2"/>
          <w:sz w:val="21"/>
          <w:szCs w:val="21"/>
          <w:highlight w:val="none"/>
          <w:lang w:val="en-US" w:eastAsia="zh-CN"/>
        </w:rPr>
        <w:t>参照</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坠落防护 水平生命线装置》GB38454-2019</w:t>
      </w:r>
      <w:r>
        <w:rPr>
          <w:rFonts w:hint="eastAsia" w:ascii="宋体" w:hAnsi="宋体" w:eastAsia="宋体" w:cs="宋体"/>
          <w:color w:val="auto"/>
          <w:kern w:val="2"/>
          <w:sz w:val="21"/>
          <w:szCs w:val="21"/>
          <w:highlight w:val="none"/>
        </w:rPr>
        <w:t>沿着格栅板运维通道设置水平生命线。</w:t>
      </w:r>
    </w:p>
    <w:p w14:paraId="1923B32C">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B.混凝土屋面光伏结构棚面中间</w:t>
      </w:r>
      <w:r>
        <w:rPr>
          <w:rFonts w:hint="eastAsia" w:ascii="宋体" w:hAnsi="宋体" w:eastAsia="宋体" w:cs="宋体"/>
          <w:color w:val="auto"/>
          <w:kern w:val="2"/>
          <w:sz w:val="21"/>
          <w:szCs w:val="21"/>
          <w:highlight w:val="none"/>
        </w:rPr>
        <w:t>设置</w:t>
      </w:r>
      <w:r>
        <w:rPr>
          <w:rFonts w:hint="eastAsia" w:ascii="宋体" w:hAnsi="宋体" w:eastAsia="宋体" w:cs="宋体"/>
          <w:b/>
          <w:bCs/>
          <w:color w:val="auto"/>
          <w:kern w:val="2"/>
          <w:sz w:val="21"/>
          <w:szCs w:val="21"/>
          <w:highlight w:val="none"/>
          <w:lang w:val="en-US" w:eastAsia="zh-CN"/>
        </w:rPr>
        <w:t>镀锌花纹钢</w:t>
      </w:r>
      <w:r>
        <w:rPr>
          <w:rFonts w:hint="eastAsia" w:ascii="宋体" w:hAnsi="宋体" w:eastAsia="宋体" w:cs="宋体"/>
          <w:b/>
          <w:bCs/>
          <w:color w:val="auto"/>
          <w:kern w:val="2"/>
          <w:sz w:val="21"/>
          <w:szCs w:val="21"/>
          <w:highlight w:val="none"/>
        </w:rPr>
        <w:t>板</w:t>
      </w:r>
      <w:r>
        <w:rPr>
          <w:rFonts w:hint="eastAsia" w:ascii="宋体" w:hAnsi="宋体" w:eastAsia="宋体" w:cs="宋体"/>
          <w:color w:val="auto"/>
          <w:kern w:val="2"/>
          <w:sz w:val="21"/>
          <w:szCs w:val="21"/>
          <w:highlight w:val="none"/>
          <w:lang w:val="en-US" w:eastAsia="zh-CN"/>
        </w:rPr>
        <w:t>运维</w:t>
      </w:r>
      <w:r>
        <w:rPr>
          <w:rFonts w:hint="eastAsia" w:ascii="宋体" w:hAnsi="宋体" w:eastAsia="宋体" w:cs="宋体"/>
          <w:color w:val="auto"/>
          <w:kern w:val="2"/>
          <w:sz w:val="21"/>
          <w:szCs w:val="21"/>
          <w:highlight w:val="none"/>
        </w:rPr>
        <w:t>通道，通道能直达到</w:t>
      </w:r>
      <w:r>
        <w:rPr>
          <w:rFonts w:hint="eastAsia" w:ascii="宋体" w:hAnsi="宋体" w:eastAsia="宋体" w:cs="宋体"/>
          <w:color w:val="auto"/>
          <w:kern w:val="2"/>
          <w:sz w:val="21"/>
          <w:szCs w:val="21"/>
          <w:highlight w:val="none"/>
          <w:lang w:val="en-US" w:eastAsia="zh-CN"/>
        </w:rPr>
        <w:t>检修楼梯平台</w:t>
      </w:r>
      <w:r>
        <w:rPr>
          <w:rFonts w:hint="eastAsia" w:ascii="宋体" w:hAnsi="宋体" w:eastAsia="宋体" w:cs="宋体"/>
          <w:color w:val="auto"/>
          <w:kern w:val="2"/>
          <w:sz w:val="21"/>
          <w:szCs w:val="21"/>
          <w:highlight w:val="none"/>
        </w:rPr>
        <w:t>且不影响光伏系统件的正常运行。运维</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板要求如下：</w:t>
      </w:r>
    </w:p>
    <w:p w14:paraId="2FEE7458">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板材质</w:t>
      </w:r>
      <w:r>
        <w:rPr>
          <w:rFonts w:hint="eastAsia" w:ascii="宋体" w:hAnsi="宋体" w:eastAsia="宋体" w:cs="宋体"/>
          <w:color w:val="auto"/>
          <w:kern w:val="2"/>
          <w:sz w:val="21"/>
          <w:szCs w:val="21"/>
          <w:highlight w:val="none"/>
          <w:lang w:val="en-US" w:eastAsia="zh-CN"/>
        </w:rPr>
        <w:t>采用</w:t>
      </w:r>
      <w:r>
        <w:rPr>
          <w:rFonts w:hint="eastAsia" w:ascii="宋体" w:hAnsi="宋体" w:eastAsia="宋体" w:cs="宋体"/>
          <w:color w:val="auto"/>
          <w:kern w:val="2"/>
          <w:sz w:val="21"/>
          <w:szCs w:val="21"/>
          <w:highlight w:val="none"/>
        </w:rPr>
        <w:t>镀锌钢，</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板的重量在15kg/m2以内，宽度不低于</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00mm；</w:t>
      </w:r>
    </w:p>
    <w:p w14:paraId="3419BC9E">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板能够满足并能覆盖整个屋面太阳能板区域运维过程中的清洗、检修等工作；</w:t>
      </w:r>
    </w:p>
    <w:p w14:paraId="3F413AE6">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板与</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板衔接处可靠固定，</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板与光伏结构棚可靠连接；</w:t>
      </w:r>
    </w:p>
    <w:p w14:paraId="30899DE6">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④</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板强度和质量，满足如下要求：每间隔500mm在</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板底部加一道支撑，同时</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板用</w:t>
      </w:r>
      <w:r>
        <w:rPr>
          <w:rFonts w:hint="eastAsia" w:ascii="宋体" w:hAnsi="宋体" w:eastAsia="宋体" w:cs="宋体"/>
          <w:color w:val="auto"/>
          <w:kern w:val="2"/>
          <w:sz w:val="21"/>
          <w:szCs w:val="21"/>
          <w:highlight w:val="none"/>
          <w:lang w:val="en-US" w:eastAsia="zh-CN"/>
        </w:rPr>
        <w:t>钢材做好</w:t>
      </w:r>
      <w:r>
        <w:rPr>
          <w:rFonts w:hint="eastAsia" w:ascii="宋体" w:hAnsi="宋体" w:eastAsia="宋体" w:cs="宋体"/>
          <w:color w:val="auto"/>
          <w:kern w:val="2"/>
          <w:sz w:val="21"/>
          <w:szCs w:val="21"/>
          <w:highlight w:val="none"/>
        </w:rPr>
        <w:t>支撑，确保</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板不移位晃动，不下垂并满足踩踏强度要求</w:t>
      </w:r>
      <w:r>
        <w:rPr>
          <w:rFonts w:hint="eastAsia" w:ascii="宋体" w:hAnsi="宋体" w:eastAsia="宋体" w:cs="宋体"/>
          <w:color w:val="auto"/>
          <w:kern w:val="2"/>
          <w:sz w:val="21"/>
          <w:szCs w:val="21"/>
          <w:highlight w:val="none"/>
          <w:lang w:eastAsia="zh-CN"/>
        </w:rPr>
        <w:t>，同时要做好防腐措施，</w:t>
      </w:r>
      <w:r>
        <w:rPr>
          <w:rFonts w:hint="eastAsia" w:ascii="宋体" w:hAnsi="宋体" w:eastAsia="宋体" w:cs="宋体"/>
          <w:color w:val="auto"/>
          <w:kern w:val="2"/>
          <w:sz w:val="21"/>
          <w:szCs w:val="21"/>
          <w:highlight w:val="none"/>
        </w:rPr>
        <w:t>寿命要求25年以上；</w:t>
      </w:r>
    </w:p>
    <w:p w14:paraId="2B7EF630">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⑤</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w:t>
      </w:r>
      <w:r>
        <w:rPr>
          <w:rFonts w:hint="eastAsia" w:ascii="宋体" w:hAnsi="宋体" w:eastAsia="宋体" w:cs="宋体"/>
          <w:color w:val="auto"/>
          <w:kern w:val="2"/>
          <w:sz w:val="21"/>
          <w:szCs w:val="21"/>
          <w:highlight w:val="none"/>
          <w:lang w:val="en-US" w:eastAsia="zh-CN"/>
        </w:rPr>
        <w:t>侧必须设置悬挂安全绳的牢固点，并参照</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坠落防护 水平生命线装置》GB38454-2019</w:t>
      </w:r>
      <w:r>
        <w:rPr>
          <w:rFonts w:hint="eastAsia" w:ascii="宋体" w:hAnsi="宋体" w:eastAsia="宋体" w:cs="宋体"/>
          <w:color w:val="auto"/>
          <w:kern w:val="2"/>
          <w:sz w:val="21"/>
          <w:szCs w:val="21"/>
          <w:highlight w:val="none"/>
        </w:rPr>
        <w:t>沿着</w:t>
      </w:r>
      <w:r>
        <w:rPr>
          <w:rFonts w:hint="eastAsia" w:ascii="宋体" w:hAnsi="宋体" w:eastAsia="宋体" w:cs="宋体"/>
          <w:color w:val="auto"/>
          <w:kern w:val="2"/>
          <w:sz w:val="21"/>
          <w:szCs w:val="21"/>
          <w:highlight w:val="none"/>
          <w:lang w:val="en-US" w:eastAsia="zh-CN"/>
        </w:rPr>
        <w:t>花纹钢</w:t>
      </w:r>
      <w:r>
        <w:rPr>
          <w:rFonts w:hint="eastAsia" w:ascii="宋体" w:hAnsi="宋体" w:eastAsia="宋体" w:cs="宋体"/>
          <w:color w:val="auto"/>
          <w:kern w:val="2"/>
          <w:sz w:val="21"/>
          <w:szCs w:val="21"/>
          <w:highlight w:val="none"/>
        </w:rPr>
        <w:t>板</w:t>
      </w:r>
      <w:r>
        <w:rPr>
          <w:rFonts w:hint="eastAsia" w:ascii="宋体" w:hAnsi="宋体" w:eastAsia="宋体" w:cs="宋体"/>
          <w:color w:val="auto"/>
          <w:kern w:val="2"/>
          <w:sz w:val="21"/>
          <w:szCs w:val="21"/>
          <w:highlight w:val="none"/>
          <w:lang w:val="en-US" w:eastAsia="zh-CN"/>
        </w:rPr>
        <w:t>加装水平生命线，使用φ12mm镀锌圆钢焊接，与花纹钢板或棚架焊接牢固，固定点间距≤3m，高度为100mm，</w:t>
      </w:r>
      <w:r>
        <w:rPr>
          <w:rFonts w:hint="eastAsia" w:ascii="宋体" w:hAnsi="宋体" w:eastAsia="宋体" w:cs="宋体"/>
          <w:color w:val="auto"/>
          <w:kern w:val="2"/>
          <w:sz w:val="21"/>
          <w:szCs w:val="21"/>
          <w:highlight w:val="none"/>
        </w:rPr>
        <w:t>确保方便运维人员</w:t>
      </w:r>
      <w:r>
        <w:rPr>
          <w:rFonts w:hint="eastAsia" w:ascii="宋体" w:hAnsi="宋体" w:eastAsia="宋体" w:cs="宋体"/>
          <w:color w:val="auto"/>
          <w:kern w:val="2"/>
          <w:sz w:val="21"/>
          <w:szCs w:val="21"/>
          <w:highlight w:val="none"/>
          <w:lang w:val="en-US" w:eastAsia="zh-CN"/>
        </w:rPr>
        <w:t>安全</w:t>
      </w:r>
      <w:r>
        <w:rPr>
          <w:rFonts w:hint="eastAsia" w:ascii="宋体" w:hAnsi="宋体" w:eastAsia="宋体" w:cs="宋体"/>
          <w:color w:val="auto"/>
          <w:kern w:val="2"/>
          <w:sz w:val="21"/>
          <w:szCs w:val="21"/>
          <w:highlight w:val="none"/>
        </w:rPr>
        <w:t>清洗、运维</w:t>
      </w:r>
      <w:r>
        <w:rPr>
          <w:rFonts w:hint="eastAsia" w:ascii="宋体" w:hAnsi="宋体" w:eastAsia="宋体" w:cs="宋体"/>
          <w:color w:val="auto"/>
          <w:kern w:val="2"/>
          <w:sz w:val="21"/>
          <w:szCs w:val="21"/>
          <w:highlight w:val="none"/>
          <w:lang w:eastAsia="zh-CN"/>
        </w:rPr>
        <w:t>；</w:t>
      </w:r>
    </w:p>
    <w:p w14:paraId="7ED57D3E">
      <w:pPr>
        <w:widowControl w:val="0"/>
        <w:tabs>
          <w:tab w:val="left" w:pos="360"/>
        </w:tabs>
        <w:adjustRightInd/>
        <w:snapToGrid/>
        <w:spacing w:after="0" w:line="288" w:lineRule="auto"/>
        <w:ind w:firstLine="420" w:firstLineChars="200"/>
        <w:jc w:val="both"/>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⑥</w:t>
      </w:r>
      <w:r>
        <w:rPr>
          <w:rFonts w:hint="eastAsia" w:ascii="宋体" w:hAnsi="宋体" w:eastAsia="宋体" w:cs="宋体"/>
          <w:b/>
          <w:bCs/>
          <w:color w:val="auto"/>
          <w:kern w:val="2"/>
          <w:sz w:val="21"/>
          <w:szCs w:val="21"/>
          <w:highlight w:val="none"/>
          <w:lang w:val="en-US" w:eastAsia="zh-CN"/>
        </w:rPr>
        <w:t>水平生命线必须喷涂</w:t>
      </w:r>
      <w:r>
        <w:rPr>
          <w:rFonts w:hint="eastAsia" w:ascii="宋体" w:hAnsi="宋体" w:eastAsia="宋体" w:cs="宋体"/>
          <w:b/>
          <w:bCs/>
          <w:color w:val="auto"/>
          <w:kern w:val="2"/>
          <w:sz w:val="21"/>
          <w:szCs w:val="21"/>
          <w:highlight w:val="none"/>
        </w:rPr>
        <w:t>黄黑</w:t>
      </w:r>
      <w:r>
        <w:rPr>
          <w:rFonts w:hint="eastAsia" w:ascii="宋体" w:hAnsi="宋体" w:eastAsia="宋体" w:cs="宋体"/>
          <w:b/>
          <w:bCs/>
          <w:color w:val="auto"/>
          <w:kern w:val="2"/>
          <w:sz w:val="21"/>
          <w:szCs w:val="21"/>
          <w:highlight w:val="none"/>
          <w:lang w:val="en-US" w:eastAsia="zh-CN"/>
        </w:rPr>
        <w:t>相间</w:t>
      </w:r>
      <w:r>
        <w:rPr>
          <w:rFonts w:hint="eastAsia" w:ascii="宋体" w:hAnsi="宋体" w:eastAsia="宋体" w:cs="宋体"/>
          <w:b/>
          <w:bCs/>
          <w:color w:val="auto"/>
          <w:kern w:val="2"/>
          <w:sz w:val="21"/>
          <w:szCs w:val="21"/>
          <w:highlight w:val="none"/>
        </w:rPr>
        <w:t>安全警示颜色</w:t>
      </w:r>
      <w:r>
        <w:rPr>
          <w:rFonts w:hint="eastAsia" w:ascii="宋体" w:hAnsi="宋体" w:eastAsia="宋体" w:cs="宋体"/>
          <w:b/>
          <w:bCs/>
          <w:color w:val="auto"/>
          <w:kern w:val="2"/>
          <w:sz w:val="21"/>
          <w:szCs w:val="21"/>
          <w:highlight w:val="none"/>
          <w:lang w:val="en-US" w:eastAsia="zh-CN"/>
        </w:rPr>
        <w:t>油漆</w:t>
      </w:r>
      <w:r>
        <w:rPr>
          <w:rFonts w:hint="eastAsia" w:ascii="宋体" w:hAnsi="宋体" w:eastAsia="宋体" w:cs="宋体"/>
          <w:b/>
          <w:bCs/>
          <w:color w:val="auto"/>
          <w:kern w:val="2"/>
          <w:sz w:val="21"/>
          <w:szCs w:val="21"/>
          <w:highlight w:val="none"/>
        </w:rPr>
        <w:t>，防止绊脚跌落</w:t>
      </w:r>
      <w:r>
        <w:rPr>
          <w:rFonts w:hint="eastAsia" w:ascii="宋体" w:hAnsi="宋体" w:eastAsia="宋体" w:cs="宋体"/>
          <w:color w:val="auto"/>
          <w:kern w:val="2"/>
          <w:sz w:val="21"/>
          <w:szCs w:val="21"/>
          <w:highlight w:val="none"/>
          <w:lang w:eastAsia="zh-CN"/>
        </w:rPr>
        <w:t>。</w:t>
      </w:r>
    </w:p>
    <w:p w14:paraId="0F6079C8">
      <w:pPr>
        <w:widowControl w:val="0"/>
        <w:tabs>
          <w:tab w:val="left" w:pos="360"/>
        </w:tabs>
        <w:adjustRightInd/>
        <w:snapToGrid/>
        <w:spacing w:after="0" w:line="288" w:lineRule="auto"/>
        <w:ind w:firstLine="420" w:firstLineChars="200"/>
        <w:jc w:val="both"/>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检修配电箱</w:t>
      </w:r>
    </w:p>
    <w:p w14:paraId="56BD08E1">
      <w:pPr>
        <w:widowControl w:val="0"/>
        <w:tabs>
          <w:tab w:val="left" w:pos="360"/>
        </w:tabs>
        <w:adjustRightInd/>
        <w:snapToGrid/>
        <w:spacing w:after="0" w:line="288" w:lineRule="auto"/>
        <w:ind w:firstLine="420" w:firstLineChars="200"/>
        <w:jc w:val="both"/>
        <w:rPr>
          <w:rFonts w:ascii="Calibri" w:hAnsi="Calibri" w:eastAsia="宋体" w:cs="Times New Roman"/>
          <w:color w:val="auto"/>
          <w:kern w:val="2"/>
          <w:sz w:val="21"/>
          <w:szCs w:val="24"/>
          <w:highlight w:val="none"/>
        </w:rPr>
      </w:pPr>
      <w:r>
        <w:rPr>
          <w:rFonts w:hint="eastAsia" w:ascii="宋体" w:hAnsi="宋体" w:eastAsia="宋体" w:cs="宋体"/>
          <w:color w:val="auto"/>
          <w:kern w:val="2"/>
          <w:sz w:val="21"/>
          <w:szCs w:val="21"/>
          <w:highlight w:val="none"/>
          <w:lang w:val="en-US" w:eastAsia="zh-CN"/>
        </w:rPr>
        <w:t>为</w:t>
      </w:r>
      <w:r>
        <w:rPr>
          <w:rFonts w:hint="eastAsia" w:ascii="宋体" w:hAnsi="宋体" w:eastAsia="宋体" w:cs="宋体"/>
          <w:color w:val="auto"/>
          <w:kern w:val="2"/>
          <w:sz w:val="21"/>
          <w:szCs w:val="21"/>
          <w:highlight w:val="none"/>
        </w:rPr>
        <w:t>方便运维人员进行</w:t>
      </w:r>
      <w:r>
        <w:rPr>
          <w:rFonts w:hint="eastAsia" w:ascii="宋体" w:hAnsi="宋体" w:eastAsia="宋体" w:cs="宋体"/>
          <w:color w:val="auto"/>
          <w:kern w:val="2"/>
          <w:sz w:val="21"/>
          <w:szCs w:val="21"/>
          <w:highlight w:val="none"/>
          <w:lang w:val="en-US" w:eastAsia="zh-CN"/>
        </w:rPr>
        <w:t>后期</w:t>
      </w:r>
      <w:r>
        <w:rPr>
          <w:rFonts w:hint="eastAsia" w:ascii="宋体" w:hAnsi="宋体" w:eastAsia="宋体" w:cs="宋体"/>
          <w:color w:val="auto"/>
          <w:kern w:val="2"/>
          <w:sz w:val="21"/>
          <w:szCs w:val="21"/>
          <w:highlight w:val="none"/>
        </w:rPr>
        <w:t>运维</w:t>
      </w:r>
      <w:r>
        <w:rPr>
          <w:rFonts w:hint="eastAsia" w:ascii="宋体" w:hAnsi="宋体" w:eastAsia="宋体" w:cs="宋体"/>
          <w:color w:val="auto"/>
          <w:kern w:val="2"/>
          <w:sz w:val="21"/>
          <w:szCs w:val="21"/>
          <w:highlight w:val="none"/>
          <w:lang w:val="en-US" w:eastAsia="zh-CN"/>
        </w:rPr>
        <w:t>作业</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安装光伏系统的屋面需加装</w:t>
      </w:r>
      <w:r>
        <w:rPr>
          <w:rFonts w:hint="eastAsia" w:ascii="宋体" w:hAnsi="宋体" w:eastAsia="宋体" w:cs="宋体"/>
          <w:color w:val="auto"/>
          <w:kern w:val="2"/>
          <w:sz w:val="21"/>
          <w:szCs w:val="21"/>
          <w:highlight w:val="none"/>
        </w:rPr>
        <w:t>检修配电箱</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做法同逆变器</w:t>
      </w:r>
      <w:r>
        <w:rPr>
          <w:rFonts w:hint="eastAsia" w:ascii="宋体" w:hAnsi="宋体" w:eastAsia="宋体" w:cs="宋体"/>
          <w:color w:val="auto"/>
          <w:kern w:val="2"/>
          <w:sz w:val="21"/>
          <w:szCs w:val="21"/>
          <w:highlight w:val="none"/>
          <w:lang w:val="en-US" w:eastAsia="zh-CN"/>
        </w:rPr>
        <w:t>一样，</w:t>
      </w:r>
      <w:r>
        <w:rPr>
          <w:rFonts w:hint="eastAsia" w:ascii="宋体" w:hAnsi="宋体" w:eastAsia="宋体" w:cs="宋体"/>
          <w:color w:val="auto"/>
          <w:kern w:val="2"/>
          <w:sz w:val="21"/>
          <w:szCs w:val="21"/>
          <w:highlight w:val="none"/>
        </w:rPr>
        <w:t>安装户外支架或挂墙安装,箱体采用厚度≥1.5mm的冷轧钢板制成，防护等级不低于IP65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可靠接地，电</w:t>
      </w:r>
      <w:r>
        <w:rPr>
          <w:rFonts w:hint="eastAsia" w:ascii="宋体" w:hAnsi="宋体" w:eastAsia="宋体" w:cs="宋体"/>
          <w:color w:val="auto"/>
          <w:kern w:val="2"/>
          <w:sz w:val="21"/>
          <w:szCs w:val="21"/>
          <w:highlight w:val="none"/>
          <w:lang w:eastAsia="zh-CN"/>
        </w:rPr>
        <w:t>源由</w:t>
      </w:r>
      <w:r>
        <w:rPr>
          <w:rFonts w:hint="eastAsia" w:ascii="宋体" w:hAnsi="宋体" w:eastAsia="宋体" w:cs="宋体"/>
          <w:color w:val="auto"/>
          <w:kern w:val="2"/>
          <w:sz w:val="21"/>
          <w:szCs w:val="21"/>
          <w:highlight w:val="none"/>
          <w:lang w:val="en-US" w:eastAsia="zh-CN"/>
        </w:rPr>
        <w:t>交流汇流箱、逆变器交流端</w:t>
      </w:r>
      <w:r>
        <w:rPr>
          <w:rFonts w:hint="eastAsia" w:ascii="宋体" w:hAnsi="宋体" w:eastAsia="宋体" w:cs="宋体"/>
          <w:color w:val="auto"/>
          <w:kern w:val="2"/>
          <w:sz w:val="21"/>
          <w:szCs w:val="21"/>
          <w:highlight w:val="none"/>
          <w:lang w:eastAsia="zh-CN"/>
        </w:rPr>
        <w:t>就近引入，</w:t>
      </w:r>
      <w:r>
        <w:rPr>
          <w:rFonts w:hint="eastAsia" w:ascii="宋体" w:hAnsi="宋体" w:eastAsia="宋体" w:cs="宋体"/>
          <w:color w:val="auto"/>
          <w:kern w:val="2"/>
          <w:sz w:val="21"/>
          <w:szCs w:val="21"/>
          <w:highlight w:val="none"/>
          <w:lang w:val="en-US" w:eastAsia="zh-CN"/>
        </w:rPr>
        <w:t>开关与线缆大小的选型需满足焊接要求，同时方便视频监控系统取电</w:t>
      </w:r>
      <w:r>
        <w:rPr>
          <w:rFonts w:hint="eastAsia" w:ascii="宋体" w:hAnsi="宋体" w:eastAsia="宋体" w:cs="宋体"/>
          <w:b/>
          <w:bCs/>
          <w:color w:val="auto"/>
          <w:kern w:val="2"/>
          <w:sz w:val="21"/>
          <w:szCs w:val="21"/>
          <w:highlight w:val="none"/>
          <w:lang w:val="en-US" w:eastAsia="zh-CN"/>
        </w:rPr>
        <w:t>，若客户有收费需求需另外加装计量电表</w:t>
      </w:r>
      <w:r>
        <w:rPr>
          <w:rFonts w:hint="eastAsia" w:ascii="宋体" w:hAnsi="宋体" w:eastAsia="宋体" w:cs="宋体"/>
          <w:color w:val="auto"/>
          <w:kern w:val="2"/>
          <w:sz w:val="21"/>
          <w:szCs w:val="21"/>
          <w:highlight w:val="none"/>
          <w:lang w:val="en-US" w:eastAsia="zh-CN"/>
        </w:rPr>
        <w:t>。</w:t>
      </w:r>
    </w:p>
    <w:p w14:paraId="52B84010">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）安全护栏、</w:t>
      </w:r>
      <w:r>
        <w:rPr>
          <w:rFonts w:hint="eastAsia" w:ascii="宋体" w:hAnsi="宋体" w:eastAsia="宋体" w:cs="宋体"/>
          <w:color w:val="auto"/>
          <w:kern w:val="2"/>
          <w:sz w:val="21"/>
          <w:szCs w:val="21"/>
          <w:highlight w:val="none"/>
          <w:lang w:val="en-US" w:eastAsia="zh-CN"/>
        </w:rPr>
        <w:t>钢</w:t>
      </w:r>
      <w:r>
        <w:rPr>
          <w:rFonts w:hint="eastAsia" w:ascii="宋体" w:hAnsi="宋体" w:eastAsia="宋体" w:cs="宋体"/>
          <w:color w:val="auto"/>
          <w:kern w:val="2"/>
          <w:sz w:val="21"/>
          <w:szCs w:val="21"/>
          <w:highlight w:val="none"/>
        </w:rPr>
        <w:t>斜梯、采光带标识</w:t>
      </w:r>
    </w:p>
    <w:p w14:paraId="67321B83">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①安全护栏</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若</w:t>
      </w:r>
      <w:r>
        <w:rPr>
          <w:rFonts w:hint="eastAsia" w:ascii="宋体" w:hAnsi="宋体" w:eastAsia="宋体" w:cs="宋体"/>
          <w:color w:val="auto"/>
          <w:kern w:val="2"/>
          <w:sz w:val="21"/>
          <w:szCs w:val="21"/>
          <w:highlight w:val="none"/>
          <w:lang w:val="en-US" w:eastAsia="zh-CN"/>
        </w:rPr>
        <w:t>彩钢瓦屋顶</w:t>
      </w:r>
      <w:r>
        <w:rPr>
          <w:rFonts w:hint="eastAsia" w:ascii="宋体" w:hAnsi="宋体" w:eastAsia="宋体" w:cs="宋体"/>
          <w:color w:val="auto"/>
          <w:kern w:val="2"/>
          <w:sz w:val="21"/>
          <w:szCs w:val="21"/>
          <w:highlight w:val="none"/>
        </w:rPr>
        <w:t>无护栏或女儿墙屋顶的屋顶</w:t>
      </w:r>
      <w:r>
        <w:rPr>
          <w:rFonts w:hint="eastAsia" w:ascii="宋体" w:hAnsi="宋体" w:eastAsia="宋体" w:cs="宋体"/>
          <w:color w:val="auto"/>
          <w:kern w:val="2"/>
          <w:sz w:val="21"/>
          <w:szCs w:val="21"/>
          <w:highlight w:val="none"/>
          <w:lang w:val="en-US" w:eastAsia="zh-CN"/>
        </w:rPr>
        <w:t>临边、洞口处</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需</w:t>
      </w:r>
      <w:r>
        <w:rPr>
          <w:rFonts w:hint="eastAsia" w:ascii="宋体" w:hAnsi="宋体" w:eastAsia="宋体" w:cs="宋体"/>
          <w:color w:val="auto"/>
          <w:kern w:val="2"/>
          <w:sz w:val="21"/>
          <w:szCs w:val="21"/>
          <w:highlight w:val="none"/>
        </w:rPr>
        <w:t>加装高度</w:t>
      </w:r>
      <w:r>
        <w:rPr>
          <w:rFonts w:hint="eastAsia" w:ascii="宋体" w:hAnsi="宋体" w:eastAsia="宋体" w:cs="宋体"/>
          <w:color w:val="auto"/>
          <w:kern w:val="2"/>
          <w:sz w:val="21"/>
          <w:szCs w:val="21"/>
          <w:highlight w:val="none"/>
          <w:lang w:val="en-US" w:eastAsia="zh-CN"/>
        </w:rPr>
        <w:t>≥</w:t>
      </w:r>
      <w:r>
        <w:rPr>
          <w:rFonts w:hint="eastAsia" w:ascii="宋体" w:hAnsi="宋体" w:eastAsia="宋体" w:cs="宋体"/>
          <w:color w:val="auto"/>
          <w:kern w:val="2"/>
          <w:sz w:val="21"/>
          <w:szCs w:val="21"/>
          <w:highlight w:val="none"/>
        </w:rPr>
        <w:t>1200mm的永久</w:t>
      </w:r>
      <w:r>
        <w:rPr>
          <w:rFonts w:hint="eastAsia" w:ascii="宋体" w:hAnsi="宋体" w:eastAsia="宋体" w:cs="宋体"/>
          <w:color w:val="auto"/>
          <w:kern w:val="2"/>
          <w:sz w:val="21"/>
          <w:szCs w:val="21"/>
          <w:highlight w:val="none"/>
          <w:lang w:val="en-US" w:eastAsia="zh-CN"/>
        </w:rPr>
        <w:t>热镀锌角钢、U型钢</w:t>
      </w:r>
      <w:r>
        <w:rPr>
          <w:rFonts w:hint="eastAsia" w:ascii="宋体" w:hAnsi="宋体" w:eastAsia="宋体" w:cs="宋体"/>
          <w:color w:val="auto"/>
          <w:kern w:val="2"/>
          <w:sz w:val="21"/>
          <w:szCs w:val="21"/>
          <w:highlight w:val="none"/>
        </w:rPr>
        <w:t>材质</w:t>
      </w:r>
      <w:r>
        <w:rPr>
          <w:rFonts w:hint="eastAsia" w:ascii="宋体" w:hAnsi="宋体" w:eastAsia="宋体" w:cs="宋体"/>
          <w:color w:val="auto"/>
          <w:kern w:val="2"/>
          <w:sz w:val="21"/>
          <w:szCs w:val="21"/>
          <w:highlight w:val="none"/>
          <w:lang w:val="en-US" w:eastAsia="zh-CN"/>
        </w:rPr>
        <w:t>防</w:t>
      </w:r>
      <w:r>
        <w:rPr>
          <w:rFonts w:hint="eastAsia" w:ascii="宋体" w:hAnsi="宋体" w:eastAsia="宋体" w:cs="宋体"/>
          <w:color w:val="auto"/>
          <w:kern w:val="2"/>
          <w:sz w:val="21"/>
          <w:szCs w:val="21"/>
          <w:highlight w:val="none"/>
        </w:rPr>
        <w:t>护</w:t>
      </w:r>
      <w:r>
        <w:rPr>
          <w:rFonts w:hint="eastAsia" w:ascii="宋体" w:hAnsi="宋体" w:eastAsia="宋体" w:cs="宋体"/>
          <w:color w:val="auto"/>
          <w:kern w:val="2"/>
          <w:sz w:val="21"/>
          <w:szCs w:val="21"/>
          <w:highlight w:val="none"/>
          <w:lang w:val="en-US" w:eastAsia="zh-CN"/>
        </w:rPr>
        <w:t>围栏</w:t>
      </w:r>
      <w:r>
        <w:rPr>
          <w:rFonts w:hint="eastAsia" w:ascii="宋体" w:hAnsi="宋体" w:eastAsia="宋体" w:cs="宋体"/>
          <w:color w:val="auto"/>
          <w:kern w:val="2"/>
          <w:sz w:val="21"/>
          <w:szCs w:val="21"/>
          <w:highlight w:val="none"/>
        </w:rPr>
        <w:t>，以保护人身安全，</w:t>
      </w:r>
      <w:r>
        <w:rPr>
          <w:rFonts w:hint="eastAsia" w:ascii="宋体" w:hAnsi="宋体" w:eastAsia="宋体" w:cs="宋体"/>
          <w:color w:val="auto"/>
          <w:kern w:val="2"/>
          <w:sz w:val="21"/>
          <w:szCs w:val="21"/>
          <w:highlight w:val="none"/>
          <w:lang w:val="en-US" w:eastAsia="zh-CN"/>
        </w:rPr>
        <w:t>同时也要</w:t>
      </w:r>
      <w:r>
        <w:rPr>
          <w:rFonts w:hint="eastAsia" w:ascii="宋体" w:hAnsi="宋体" w:eastAsia="宋体" w:cs="宋体"/>
          <w:color w:val="auto"/>
          <w:kern w:val="2"/>
          <w:sz w:val="21"/>
          <w:szCs w:val="21"/>
          <w:highlight w:val="none"/>
        </w:rPr>
        <w:t>减少护栏对</w:t>
      </w:r>
      <w:r>
        <w:rPr>
          <w:rFonts w:hint="eastAsia" w:ascii="宋体" w:hAnsi="宋体" w:eastAsia="宋体" w:cs="宋体"/>
          <w:color w:val="auto"/>
          <w:kern w:val="2"/>
          <w:sz w:val="21"/>
          <w:szCs w:val="21"/>
          <w:highlight w:val="none"/>
          <w:lang w:val="en-US" w:eastAsia="zh-CN"/>
        </w:rPr>
        <w:t>光伏</w:t>
      </w:r>
      <w:r>
        <w:rPr>
          <w:rFonts w:hint="eastAsia" w:ascii="宋体" w:hAnsi="宋体" w:eastAsia="宋体" w:cs="宋体"/>
          <w:color w:val="auto"/>
          <w:kern w:val="2"/>
          <w:sz w:val="21"/>
          <w:szCs w:val="21"/>
          <w:highlight w:val="none"/>
        </w:rPr>
        <w:t>组件阴影</w:t>
      </w:r>
      <w:r>
        <w:rPr>
          <w:rFonts w:hint="eastAsia" w:ascii="宋体" w:hAnsi="宋体" w:eastAsia="宋体" w:cs="宋体"/>
          <w:color w:val="auto"/>
          <w:kern w:val="2"/>
          <w:sz w:val="21"/>
          <w:szCs w:val="21"/>
          <w:highlight w:val="none"/>
          <w:lang w:val="en-US" w:eastAsia="zh-CN"/>
        </w:rPr>
        <w:t>遮挡</w:t>
      </w:r>
      <w:r>
        <w:rPr>
          <w:rFonts w:hint="eastAsia" w:ascii="宋体" w:hAnsi="宋体" w:eastAsia="宋体" w:cs="宋体"/>
          <w:color w:val="auto"/>
          <w:kern w:val="2"/>
          <w:sz w:val="21"/>
          <w:szCs w:val="21"/>
          <w:highlight w:val="none"/>
        </w:rPr>
        <w:t>影响。</w:t>
      </w:r>
      <w:r>
        <w:rPr>
          <w:rFonts w:hint="eastAsia" w:ascii="宋体" w:hAnsi="宋体" w:eastAsia="宋体" w:cs="宋体"/>
          <w:color w:val="auto"/>
          <w:kern w:val="2"/>
          <w:sz w:val="21"/>
          <w:szCs w:val="21"/>
          <w:highlight w:val="none"/>
          <w:lang w:val="en-US" w:eastAsia="zh-CN"/>
        </w:rPr>
        <w:t>设置</w:t>
      </w:r>
      <w:r>
        <w:rPr>
          <w:rFonts w:hint="eastAsia" w:ascii="宋体" w:hAnsi="宋体" w:eastAsia="宋体" w:cs="宋体"/>
          <w:color w:val="auto"/>
          <w:kern w:val="2"/>
          <w:sz w:val="21"/>
          <w:szCs w:val="21"/>
          <w:highlight w:val="none"/>
          <w:lang w:eastAsia="zh-CN"/>
        </w:rPr>
        <w:t>底部</w:t>
      </w:r>
      <w:r>
        <w:rPr>
          <w:rFonts w:hint="eastAsia" w:ascii="宋体" w:hAnsi="宋体" w:eastAsia="宋体" w:cs="宋体"/>
          <w:color w:val="auto"/>
          <w:kern w:val="2"/>
          <w:sz w:val="21"/>
          <w:szCs w:val="21"/>
          <w:highlight w:val="none"/>
          <w:lang w:val="en-US" w:eastAsia="zh-CN"/>
        </w:rPr>
        <w:t>防护密目网</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防护网采用不锈钢材质，</w:t>
      </w:r>
      <w:r>
        <w:rPr>
          <w:rFonts w:hint="eastAsia" w:ascii="宋体" w:hAnsi="宋体" w:eastAsia="宋体" w:cs="宋体"/>
          <w:color w:val="auto"/>
          <w:kern w:val="2"/>
          <w:sz w:val="21"/>
          <w:szCs w:val="21"/>
          <w:highlight w:val="none"/>
          <w:lang w:eastAsia="zh-CN"/>
        </w:rPr>
        <w:t>高度</w:t>
      </w:r>
      <w:r>
        <w:rPr>
          <w:rFonts w:hint="eastAsia" w:ascii="宋体" w:hAnsi="宋体" w:eastAsia="宋体" w:cs="宋体"/>
          <w:color w:val="auto"/>
          <w:kern w:val="2"/>
          <w:sz w:val="21"/>
          <w:szCs w:val="21"/>
          <w:highlight w:val="none"/>
          <w:lang w:val="en-US" w:eastAsia="zh-CN"/>
        </w:rPr>
        <w:t>不小于0.2</w:t>
      </w:r>
      <w:r>
        <w:rPr>
          <w:rFonts w:hint="eastAsia" w:ascii="宋体" w:hAnsi="宋体" w:eastAsia="宋体" w:cs="宋体"/>
          <w:color w:val="auto"/>
          <w:kern w:val="2"/>
          <w:sz w:val="21"/>
          <w:szCs w:val="21"/>
          <w:highlight w:val="none"/>
          <w:lang w:eastAsia="zh-CN"/>
        </w:rPr>
        <w:t>m，</w:t>
      </w:r>
      <w:r>
        <w:rPr>
          <w:rFonts w:hint="eastAsia" w:ascii="宋体" w:hAnsi="宋体" w:eastAsia="宋体" w:cs="宋体"/>
          <w:color w:val="auto"/>
          <w:kern w:val="2"/>
          <w:sz w:val="21"/>
          <w:szCs w:val="21"/>
          <w:highlight w:val="none"/>
          <w:lang w:val="en-US" w:eastAsia="zh-CN"/>
        </w:rPr>
        <w:t>防止工具材料掉落，防护网上端至防护栏顶部设置三条横杆，横杆</w:t>
      </w:r>
      <w:r>
        <w:rPr>
          <w:rFonts w:hint="eastAsia" w:ascii="宋体" w:hAnsi="宋体" w:eastAsia="宋体" w:cs="宋体"/>
          <w:color w:val="auto"/>
          <w:kern w:val="2"/>
          <w:sz w:val="21"/>
          <w:szCs w:val="21"/>
          <w:highlight w:val="none"/>
        </w:rPr>
        <w:t>之间的间距</w:t>
      </w:r>
      <w:r>
        <w:rPr>
          <w:rFonts w:hint="eastAsia" w:ascii="宋体" w:hAnsi="宋体" w:eastAsia="宋体" w:cs="宋体"/>
          <w:color w:val="auto"/>
          <w:kern w:val="2"/>
          <w:sz w:val="21"/>
          <w:szCs w:val="21"/>
          <w:highlight w:val="none"/>
          <w:lang w:val="en-US" w:eastAsia="zh-CN"/>
        </w:rPr>
        <w:t>0.5</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护</w:t>
      </w:r>
      <w:r>
        <w:rPr>
          <w:rFonts w:hint="eastAsia" w:ascii="宋体" w:hAnsi="宋体" w:eastAsia="宋体" w:cs="宋体"/>
          <w:color w:val="auto"/>
          <w:kern w:val="2"/>
          <w:sz w:val="21"/>
          <w:szCs w:val="21"/>
          <w:highlight w:val="none"/>
          <w:lang w:val="en-US" w:eastAsia="zh-CN"/>
        </w:rPr>
        <w:t>栏</w:t>
      </w:r>
      <w:r>
        <w:rPr>
          <w:rFonts w:hint="eastAsia" w:ascii="宋体" w:hAnsi="宋体" w:eastAsia="宋体" w:cs="宋体"/>
          <w:color w:val="auto"/>
          <w:kern w:val="2"/>
          <w:sz w:val="21"/>
          <w:szCs w:val="21"/>
          <w:highlight w:val="none"/>
        </w:rPr>
        <w:t>立柱之间的间距小于1.5m，</w:t>
      </w:r>
      <w:r>
        <w:rPr>
          <w:rFonts w:hint="eastAsia" w:ascii="宋体" w:hAnsi="宋体" w:eastAsia="宋体" w:cs="宋体"/>
          <w:color w:val="auto"/>
          <w:kern w:val="2"/>
          <w:sz w:val="21"/>
          <w:szCs w:val="21"/>
          <w:highlight w:val="none"/>
          <w:lang w:val="en-US" w:eastAsia="zh-CN"/>
        </w:rPr>
        <w:t>防护</w:t>
      </w:r>
      <w:r>
        <w:rPr>
          <w:rFonts w:hint="eastAsia" w:ascii="宋体" w:hAnsi="宋体" w:eastAsia="宋体" w:cs="宋体"/>
          <w:color w:val="auto"/>
          <w:kern w:val="2"/>
          <w:sz w:val="21"/>
          <w:szCs w:val="21"/>
          <w:highlight w:val="none"/>
        </w:rPr>
        <w:t>栏按间隔可靠</w:t>
      </w:r>
      <w:r>
        <w:rPr>
          <w:rFonts w:hint="eastAsia" w:ascii="宋体" w:hAnsi="宋体" w:eastAsia="宋体" w:cs="宋体"/>
          <w:color w:val="auto"/>
          <w:kern w:val="2"/>
          <w:sz w:val="21"/>
          <w:szCs w:val="21"/>
          <w:highlight w:val="none"/>
          <w:lang w:val="en-US" w:eastAsia="zh-CN"/>
        </w:rPr>
        <w:t>防雷</w:t>
      </w:r>
      <w:r>
        <w:rPr>
          <w:rFonts w:hint="eastAsia" w:ascii="宋体" w:hAnsi="宋体" w:eastAsia="宋体" w:cs="宋体"/>
          <w:color w:val="auto"/>
          <w:kern w:val="2"/>
          <w:sz w:val="21"/>
          <w:szCs w:val="21"/>
          <w:highlight w:val="none"/>
        </w:rPr>
        <w:t>接地</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护栏按间隔可靠</w:t>
      </w:r>
      <w:r>
        <w:rPr>
          <w:rFonts w:hint="eastAsia" w:ascii="宋体" w:hAnsi="宋体" w:eastAsia="宋体" w:cs="宋体"/>
          <w:color w:val="auto"/>
          <w:kern w:val="2"/>
          <w:sz w:val="21"/>
          <w:szCs w:val="21"/>
          <w:highlight w:val="none"/>
          <w:lang w:val="en-US" w:eastAsia="zh-CN"/>
        </w:rPr>
        <w:t>防雷</w:t>
      </w:r>
      <w:r>
        <w:rPr>
          <w:rFonts w:hint="eastAsia" w:ascii="宋体" w:hAnsi="宋体" w:eastAsia="宋体" w:cs="宋体"/>
          <w:color w:val="auto"/>
          <w:kern w:val="2"/>
          <w:sz w:val="21"/>
          <w:szCs w:val="21"/>
          <w:highlight w:val="none"/>
        </w:rPr>
        <w:t>接地。</w:t>
      </w:r>
      <w:r>
        <w:rPr>
          <w:rFonts w:hint="eastAsia" w:ascii="宋体" w:hAnsi="宋体" w:eastAsia="宋体" w:cs="宋体"/>
          <w:color w:val="auto"/>
          <w:kern w:val="2"/>
          <w:sz w:val="21"/>
          <w:szCs w:val="21"/>
          <w:highlight w:val="none"/>
          <w:lang w:val="en-US" w:eastAsia="zh-CN"/>
        </w:rPr>
        <w:t>护栏安装应牢固、美观，符合《建筑施工高处作业安全技术规范》JGJ80-2016</w:t>
      </w:r>
      <w:r>
        <w:rPr>
          <w:rFonts w:hint="eastAsia" w:ascii="宋体" w:hAnsi="宋体" w:eastAsia="宋体" w:cs="宋体"/>
          <w:color w:val="auto"/>
          <w:kern w:val="2"/>
          <w:sz w:val="21"/>
          <w:szCs w:val="21"/>
          <w:highlight w:val="none"/>
        </w:rPr>
        <w:t>。</w:t>
      </w:r>
    </w:p>
    <w:p w14:paraId="680C67B1">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②</w:t>
      </w:r>
      <w:r>
        <w:rPr>
          <w:rFonts w:hint="eastAsia" w:ascii="宋体" w:hAnsi="宋体" w:eastAsia="宋体" w:cs="宋体"/>
          <w:color w:val="auto"/>
          <w:kern w:val="2"/>
          <w:sz w:val="21"/>
          <w:szCs w:val="21"/>
          <w:highlight w:val="none"/>
          <w:lang w:val="en-US" w:eastAsia="zh-CN"/>
        </w:rPr>
        <w:t>扶手踏步</w:t>
      </w:r>
      <w:r>
        <w:rPr>
          <w:rFonts w:hint="eastAsia" w:ascii="宋体" w:hAnsi="宋体" w:eastAsia="宋体" w:cs="宋体"/>
          <w:color w:val="auto"/>
          <w:kern w:val="2"/>
          <w:sz w:val="21"/>
          <w:szCs w:val="21"/>
          <w:highlight w:val="none"/>
        </w:rPr>
        <w:t>钢斜梯</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为方便运维和安全作业，未设置楼梯的</w:t>
      </w:r>
      <w:r>
        <w:rPr>
          <w:rFonts w:hint="eastAsia" w:ascii="宋体" w:hAnsi="宋体" w:eastAsia="宋体" w:cs="宋体"/>
          <w:color w:val="auto"/>
          <w:kern w:val="2"/>
          <w:sz w:val="21"/>
          <w:szCs w:val="21"/>
          <w:highlight w:val="none"/>
          <w:lang w:val="en-US" w:eastAsia="zh-CN"/>
        </w:rPr>
        <w:t>彩钢瓦屋</w:t>
      </w:r>
      <w:r>
        <w:rPr>
          <w:rFonts w:hint="eastAsia" w:ascii="宋体" w:hAnsi="宋体" w:eastAsia="宋体" w:cs="宋体"/>
          <w:color w:val="auto"/>
          <w:kern w:val="2"/>
          <w:sz w:val="21"/>
          <w:szCs w:val="21"/>
          <w:highlight w:val="none"/>
        </w:rPr>
        <w:t>面、棚</w:t>
      </w:r>
      <w:r>
        <w:rPr>
          <w:rFonts w:hint="eastAsia" w:ascii="宋体" w:hAnsi="宋体" w:eastAsia="宋体" w:cs="宋体"/>
          <w:color w:val="auto"/>
          <w:kern w:val="2"/>
          <w:sz w:val="21"/>
          <w:szCs w:val="21"/>
          <w:highlight w:val="none"/>
          <w:lang w:val="en-US" w:eastAsia="zh-CN"/>
        </w:rPr>
        <w:t>架</w:t>
      </w:r>
      <w:r>
        <w:rPr>
          <w:rFonts w:hint="eastAsia" w:ascii="宋体" w:hAnsi="宋体" w:eastAsia="宋体" w:cs="宋体"/>
          <w:color w:val="auto"/>
          <w:kern w:val="2"/>
          <w:sz w:val="21"/>
          <w:szCs w:val="21"/>
          <w:highlight w:val="none"/>
        </w:rPr>
        <w:t>式光伏</w:t>
      </w:r>
      <w:r>
        <w:rPr>
          <w:rFonts w:hint="eastAsia" w:ascii="宋体" w:hAnsi="宋体" w:eastAsia="宋体" w:cs="宋体"/>
          <w:color w:val="auto"/>
          <w:kern w:val="2"/>
          <w:sz w:val="21"/>
          <w:szCs w:val="21"/>
          <w:highlight w:val="none"/>
          <w:lang w:val="en-US" w:eastAsia="zh-CN"/>
        </w:rPr>
        <w:t>组件</w:t>
      </w:r>
      <w:r>
        <w:rPr>
          <w:rFonts w:hint="eastAsia" w:ascii="宋体" w:hAnsi="宋体" w:eastAsia="宋体" w:cs="宋体"/>
          <w:color w:val="auto"/>
          <w:kern w:val="2"/>
          <w:sz w:val="21"/>
          <w:szCs w:val="21"/>
          <w:highlight w:val="none"/>
        </w:rPr>
        <w:t>面，须设置</w:t>
      </w:r>
      <w:r>
        <w:rPr>
          <w:rFonts w:hint="eastAsia" w:ascii="宋体" w:hAnsi="宋体" w:eastAsia="宋体" w:cs="宋体"/>
          <w:color w:val="auto"/>
          <w:kern w:val="2"/>
          <w:sz w:val="21"/>
          <w:szCs w:val="21"/>
          <w:highlight w:val="none"/>
          <w:lang w:val="en-US" w:eastAsia="zh-CN"/>
        </w:rPr>
        <w:t>扶手踏步镀锌</w:t>
      </w:r>
      <w:r>
        <w:rPr>
          <w:rFonts w:hint="eastAsia" w:ascii="宋体" w:hAnsi="宋体" w:eastAsia="宋体" w:cs="宋体"/>
          <w:color w:val="auto"/>
          <w:kern w:val="2"/>
          <w:sz w:val="21"/>
          <w:szCs w:val="21"/>
          <w:highlight w:val="none"/>
        </w:rPr>
        <w:t>钢斜梯，</w:t>
      </w:r>
      <w:r>
        <w:rPr>
          <w:rFonts w:hint="eastAsia" w:ascii="宋体" w:hAnsi="宋体" w:eastAsia="宋体" w:cs="宋体"/>
          <w:color w:val="auto"/>
          <w:kern w:val="2"/>
          <w:sz w:val="21"/>
          <w:szCs w:val="21"/>
          <w:highlight w:val="none"/>
          <w:lang w:val="en-US" w:eastAsia="zh-CN"/>
        </w:rPr>
        <w:t>钢斜梯踏面宽度</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0.8</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踏面深度≥0.18m、踏面高度≤0.2m，双扶手高度</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0.9</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搭棚方式的钢梯需同时设置0.8</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val="en-US" w:eastAsia="zh-CN"/>
        </w:rPr>
        <w:t>×1.2</w:t>
      </w:r>
      <w:r>
        <w:rPr>
          <w:rFonts w:hint="eastAsia" w:ascii="宋体" w:hAnsi="宋体" w:eastAsia="宋体" w:cs="宋体"/>
          <w:color w:val="auto"/>
          <w:kern w:val="2"/>
          <w:sz w:val="21"/>
          <w:szCs w:val="21"/>
          <w:highlight w:val="none"/>
        </w:rPr>
        <w:t>m</w:t>
      </w:r>
      <w:r>
        <w:rPr>
          <w:rFonts w:hint="eastAsia" w:ascii="宋体" w:hAnsi="宋体" w:eastAsia="宋体" w:cs="宋体"/>
          <w:color w:val="auto"/>
          <w:kern w:val="2"/>
          <w:sz w:val="21"/>
          <w:szCs w:val="21"/>
          <w:highlight w:val="none"/>
          <w:lang w:val="en-US" w:eastAsia="zh-CN"/>
        </w:rPr>
        <w:t>运维操作平台并与运维通道进行连接，</w:t>
      </w:r>
      <w:r>
        <w:rPr>
          <w:rFonts w:hint="eastAsia" w:ascii="宋体" w:hAnsi="宋体" w:eastAsia="宋体" w:cs="宋体"/>
          <w:b w:val="0"/>
          <w:bCs w:val="0"/>
          <w:color w:val="auto"/>
          <w:kern w:val="2"/>
          <w:sz w:val="21"/>
          <w:szCs w:val="21"/>
          <w:highlight w:val="none"/>
          <w:lang w:val="en-US" w:eastAsia="zh-CN"/>
        </w:rPr>
        <w:t>各立柱须增加水泥墩基础，</w:t>
      </w:r>
      <w:r>
        <w:rPr>
          <w:rFonts w:hint="eastAsia" w:ascii="宋体" w:hAnsi="宋体" w:eastAsia="宋体" w:cs="宋体"/>
          <w:color w:val="auto"/>
          <w:kern w:val="2"/>
          <w:sz w:val="21"/>
          <w:szCs w:val="21"/>
          <w:highlight w:val="none"/>
        </w:rPr>
        <w:t>应符合《</w:t>
      </w:r>
      <w:r>
        <w:rPr>
          <w:rFonts w:ascii="宋体" w:hAnsi="宋体" w:eastAsia="宋体" w:cs="宋体"/>
          <w:color w:val="auto"/>
          <w:kern w:val="2"/>
          <w:sz w:val="21"/>
          <w:szCs w:val="21"/>
          <w:highlight w:val="none"/>
        </w:rPr>
        <w:t>固定式钢梯及平台安全要求.第2部分:钢斜梯</w:t>
      </w:r>
      <w:r>
        <w:rPr>
          <w:rFonts w:hint="eastAsia" w:ascii="宋体" w:hAnsi="宋体" w:eastAsia="宋体" w:cs="宋体"/>
          <w:color w:val="auto"/>
          <w:kern w:val="2"/>
          <w:sz w:val="21"/>
          <w:szCs w:val="21"/>
          <w:highlight w:val="none"/>
        </w:rPr>
        <w:t>》</w:t>
      </w:r>
      <w:r>
        <w:rPr>
          <w:rFonts w:ascii="宋体" w:hAnsi="宋体" w:eastAsia="宋体" w:cs="宋体"/>
          <w:color w:val="auto"/>
          <w:kern w:val="2"/>
          <w:sz w:val="21"/>
          <w:szCs w:val="21"/>
          <w:highlight w:val="none"/>
        </w:rPr>
        <w:t>GB4053.2-2009</w:t>
      </w:r>
      <w:r>
        <w:rPr>
          <w:rFonts w:hint="eastAsia" w:ascii="宋体" w:hAnsi="宋体" w:eastAsia="宋体" w:cs="宋体"/>
          <w:color w:val="auto"/>
          <w:kern w:val="2"/>
          <w:sz w:val="21"/>
          <w:szCs w:val="21"/>
          <w:highlight w:val="none"/>
          <w:lang w:val="en-US" w:eastAsia="zh-CN"/>
        </w:rPr>
        <w:t>规定</w:t>
      </w:r>
      <w:r>
        <w:rPr>
          <w:rFonts w:hint="eastAsia" w:ascii="宋体" w:hAnsi="宋体" w:eastAsia="宋体" w:cs="宋体"/>
          <w:color w:val="auto"/>
          <w:kern w:val="2"/>
          <w:sz w:val="21"/>
          <w:szCs w:val="21"/>
          <w:highlight w:val="none"/>
        </w:rPr>
        <w:t>。钢斜梯</w:t>
      </w:r>
      <w:r>
        <w:rPr>
          <w:rFonts w:hint="eastAsia" w:ascii="宋体" w:hAnsi="宋体" w:eastAsia="宋体" w:cs="宋体"/>
          <w:color w:val="auto"/>
          <w:kern w:val="2"/>
          <w:sz w:val="21"/>
          <w:szCs w:val="21"/>
          <w:highlight w:val="none"/>
          <w:lang w:val="en-US" w:eastAsia="zh-CN"/>
        </w:rPr>
        <w:t>高度1.5m内的部分空隙不大于0.15m</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并在</w:t>
      </w:r>
      <w:r>
        <w:rPr>
          <w:rFonts w:hint="eastAsia" w:ascii="宋体" w:hAnsi="宋体" w:eastAsia="宋体" w:cs="宋体"/>
          <w:color w:val="auto"/>
          <w:kern w:val="2"/>
          <w:sz w:val="21"/>
          <w:szCs w:val="21"/>
          <w:highlight w:val="none"/>
        </w:rPr>
        <w:t>入口</w:t>
      </w:r>
      <w:r>
        <w:rPr>
          <w:rFonts w:hint="eastAsia" w:ascii="宋体" w:hAnsi="宋体" w:eastAsia="宋体" w:cs="宋体"/>
          <w:color w:val="auto"/>
          <w:kern w:val="2"/>
          <w:sz w:val="21"/>
          <w:szCs w:val="21"/>
          <w:highlight w:val="none"/>
          <w:lang w:val="en-US" w:eastAsia="zh-CN"/>
        </w:rPr>
        <w:t>处设置</w:t>
      </w:r>
      <w:r>
        <w:rPr>
          <w:rFonts w:hint="eastAsia" w:ascii="宋体" w:hAnsi="宋体" w:eastAsia="宋体" w:cs="宋体"/>
          <w:color w:val="auto"/>
          <w:kern w:val="2"/>
          <w:sz w:val="21"/>
          <w:szCs w:val="21"/>
          <w:highlight w:val="none"/>
        </w:rPr>
        <w:t>带锁的活动门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钢斜梯踏步应使用槽钢、型钢，宜用热镀锌材质，</w:t>
      </w:r>
      <w:r>
        <w:rPr>
          <w:rFonts w:hint="eastAsia" w:ascii="宋体" w:hAnsi="宋体" w:eastAsia="宋体" w:cs="宋体"/>
          <w:color w:val="auto"/>
          <w:kern w:val="2"/>
          <w:sz w:val="21"/>
          <w:szCs w:val="21"/>
          <w:highlight w:val="none"/>
        </w:rPr>
        <w:t>钢斜梯旁边设置“</w:t>
      </w:r>
      <w:r>
        <w:rPr>
          <w:rFonts w:hint="eastAsia" w:ascii="宋体" w:hAnsi="宋体" w:eastAsia="宋体" w:cs="宋体"/>
          <w:color w:val="auto"/>
          <w:kern w:val="2"/>
          <w:sz w:val="21"/>
          <w:szCs w:val="21"/>
          <w:highlight w:val="none"/>
          <w:lang w:val="en-US" w:eastAsia="zh-CN"/>
        </w:rPr>
        <w:t>高处危险，非作业人员</w:t>
      </w:r>
      <w:r>
        <w:rPr>
          <w:rFonts w:hint="eastAsia" w:ascii="宋体" w:hAnsi="宋体" w:eastAsia="宋体" w:cs="宋体"/>
          <w:color w:val="auto"/>
          <w:kern w:val="2"/>
          <w:sz w:val="21"/>
          <w:szCs w:val="21"/>
          <w:highlight w:val="none"/>
        </w:rPr>
        <w:t>禁止</w:t>
      </w:r>
      <w:r>
        <w:rPr>
          <w:rFonts w:hint="eastAsia" w:ascii="宋体" w:hAnsi="宋体" w:eastAsia="宋体" w:cs="宋体"/>
          <w:color w:val="auto"/>
          <w:kern w:val="2"/>
          <w:sz w:val="21"/>
          <w:szCs w:val="21"/>
          <w:highlight w:val="none"/>
          <w:lang w:val="en-US" w:eastAsia="zh-CN"/>
        </w:rPr>
        <w:t>进入</w:t>
      </w:r>
      <w:r>
        <w:rPr>
          <w:rFonts w:hint="eastAsia" w:ascii="宋体" w:hAnsi="宋体" w:eastAsia="宋体" w:cs="宋体"/>
          <w:color w:val="auto"/>
          <w:kern w:val="2"/>
          <w:sz w:val="21"/>
          <w:szCs w:val="21"/>
          <w:highlight w:val="none"/>
        </w:rPr>
        <w:t>”。</w:t>
      </w:r>
    </w:p>
    <w:p w14:paraId="38988542">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③采光带周围用宽度不少于100mm黄色油漆标识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或贴警示带</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，并</w:t>
      </w:r>
      <w:r>
        <w:rPr>
          <w:rFonts w:hint="eastAsia" w:ascii="宋体" w:hAnsi="宋体" w:eastAsia="宋体" w:cs="宋体"/>
          <w:color w:val="auto"/>
          <w:kern w:val="2"/>
          <w:sz w:val="21"/>
          <w:szCs w:val="21"/>
          <w:highlight w:val="none"/>
          <w:lang w:val="en-US" w:eastAsia="zh-CN"/>
        </w:rPr>
        <w:t>设置“</w:t>
      </w:r>
      <w:r>
        <w:rPr>
          <w:rFonts w:hint="eastAsia" w:ascii="宋体" w:hAnsi="宋体" w:eastAsia="宋体" w:cs="宋体"/>
          <w:color w:val="auto"/>
          <w:kern w:val="2"/>
          <w:sz w:val="21"/>
          <w:szCs w:val="21"/>
          <w:highlight w:val="none"/>
        </w:rPr>
        <w:t>禁止踩踏</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警示牌</w:t>
      </w:r>
      <w:r>
        <w:rPr>
          <w:rFonts w:hint="eastAsia" w:ascii="宋体" w:hAnsi="宋体" w:eastAsia="宋体" w:cs="宋体"/>
          <w:color w:val="auto"/>
          <w:kern w:val="2"/>
          <w:sz w:val="21"/>
          <w:szCs w:val="21"/>
          <w:highlight w:val="none"/>
        </w:rPr>
        <w:t>；同时</w:t>
      </w:r>
      <w:r>
        <w:rPr>
          <w:rFonts w:hint="eastAsia" w:ascii="宋体" w:hAnsi="宋体" w:eastAsia="宋体" w:cs="宋体"/>
          <w:b/>
          <w:bCs/>
          <w:color w:val="auto"/>
          <w:kern w:val="2"/>
          <w:sz w:val="21"/>
          <w:szCs w:val="21"/>
          <w:highlight w:val="none"/>
        </w:rPr>
        <w:t>设置</w:t>
      </w:r>
      <w:r>
        <w:rPr>
          <w:rFonts w:hint="eastAsia" w:ascii="宋体" w:hAnsi="宋体" w:eastAsia="宋体" w:cs="宋体"/>
          <w:b/>
          <w:bCs/>
          <w:color w:val="auto"/>
          <w:kern w:val="2"/>
          <w:sz w:val="21"/>
          <w:szCs w:val="21"/>
          <w:highlight w:val="none"/>
          <w:lang w:val="en-US" w:eastAsia="zh-CN"/>
        </w:rPr>
        <w:t>防坠落网</w:t>
      </w:r>
      <w:r>
        <w:rPr>
          <w:rFonts w:hint="eastAsia" w:ascii="宋体" w:hAnsi="宋体" w:eastAsia="宋体" w:cs="宋体"/>
          <w:color w:val="auto"/>
          <w:kern w:val="2"/>
          <w:sz w:val="21"/>
          <w:szCs w:val="21"/>
          <w:highlight w:val="none"/>
          <w:lang w:val="en-US" w:eastAsia="zh-CN"/>
        </w:rPr>
        <w:t>进行</w:t>
      </w:r>
      <w:r>
        <w:rPr>
          <w:rFonts w:hint="eastAsia" w:ascii="宋体" w:hAnsi="宋体" w:eastAsia="宋体" w:cs="宋体"/>
          <w:color w:val="auto"/>
          <w:kern w:val="2"/>
          <w:sz w:val="21"/>
          <w:szCs w:val="21"/>
          <w:highlight w:val="none"/>
        </w:rPr>
        <w:t>保护，</w:t>
      </w:r>
      <w:r>
        <w:rPr>
          <w:rFonts w:hint="eastAsia" w:ascii="宋体" w:hAnsi="宋体" w:eastAsia="宋体" w:cs="宋体"/>
          <w:color w:val="auto"/>
          <w:kern w:val="2"/>
          <w:sz w:val="21"/>
          <w:szCs w:val="21"/>
          <w:highlight w:val="none"/>
          <w:lang w:val="en-US" w:eastAsia="zh-CN"/>
        </w:rPr>
        <w:t>防止</w:t>
      </w:r>
      <w:r>
        <w:rPr>
          <w:rFonts w:hint="eastAsia" w:ascii="宋体" w:hAnsi="宋体" w:eastAsia="宋体" w:cs="宋体"/>
          <w:color w:val="auto"/>
          <w:kern w:val="2"/>
          <w:sz w:val="21"/>
          <w:szCs w:val="21"/>
          <w:highlight w:val="none"/>
        </w:rPr>
        <w:t>人员踩空。</w:t>
      </w:r>
    </w:p>
    <w:p w14:paraId="64A2A071">
      <w:pPr>
        <w:keepNext/>
        <w:keepLines/>
        <w:widowControl w:val="0"/>
        <w:adjustRightInd/>
        <w:snapToGrid/>
        <w:spacing w:after="0" w:line="360" w:lineRule="auto"/>
        <w:jc w:val="both"/>
        <w:outlineLvl w:val="3"/>
        <w:rPr>
          <w:rFonts w:ascii="Calibri Light" w:hAnsi="Calibri Light" w:eastAsia="宋体" w:cs="Times New Roman"/>
          <w:b/>
          <w:bCs/>
          <w:color w:val="auto"/>
          <w:kern w:val="2"/>
          <w:sz w:val="24"/>
          <w:szCs w:val="28"/>
          <w:highlight w:val="none"/>
        </w:rPr>
      </w:pPr>
    </w:p>
    <w:p w14:paraId="00548241">
      <w:pPr>
        <w:keepNext/>
        <w:keepLines/>
        <w:widowControl w:val="0"/>
        <w:adjustRightInd/>
        <w:snapToGrid/>
        <w:spacing w:after="0" w:line="360" w:lineRule="auto"/>
        <w:jc w:val="both"/>
        <w:outlineLvl w:val="3"/>
        <w:rPr>
          <w:rFonts w:ascii="Calibri Light" w:hAnsi="Calibri Light" w:eastAsia="宋体" w:cs="Times New Roman"/>
          <w:b/>
          <w:bCs/>
          <w:color w:val="auto"/>
          <w:kern w:val="2"/>
          <w:sz w:val="24"/>
          <w:szCs w:val="28"/>
          <w:highlight w:val="none"/>
        </w:rPr>
      </w:pPr>
      <w:bookmarkStart w:id="19" w:name="_Toc21486"/>
      <w:r>
        <w:rPr>
          <w:rFonts w:hint="eastAsia" w:ascii="Calibri Light" w:hAnsi="Calibri Light" w:eastAsia="宋体" w:cs="Times New Roman"/>
          <w:b/>
          <w:bCs/>
          <w:color w:val="auto"/>
          <w:kern w:val="2"/>
          <w:sz w:val="24"/>
          <w:szCs w:val="28"/>
          <w:highlight w:val="none"/>
          <w:lang w:eastAsia="zh-CN"/>
        </w:rPr>
        <w:t>五</w:t>
      </w:r>
      <w:r>
        <w:rPr>
          <w:rFonts w:hint="eastAsia" w:ascii="Calibri Light" w:hAnsi="Calibri Light" w:eastAsia="宋体" w:cs="Times New Roman"/>
          <w:b/>
          <w:bCs/>
          <w:color w:val="auto"/>
          <w:kern w:val="2"/>
          <w:sz w:val="24"/>
          <w:szCs w:val="28"/>
          <w:highlight w:val="none"/>
        </w:rPr>
        <w:t>、设计规范和设计依据</w:t>
      </w:r>
      <w:bookmarkEnd w:id="19"/>
    </w:p>
    <w:p w14:paraId="0BFF6E88">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（1）建筑平面、总平面；其他相关专业提出的要求。</w:t>
      </w:r>
    </w:p>
    <w:p w14:paraId="76B3C545">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（2）建设方所提供的设计任务委托书、设计要点、经批准的扩初设计文件、配电房管线资料等。</w:t>
      </w:r>
    </w:p>
    <w:p w14:paraId="22889B8A">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（3）国家及省的有关规范、标准、规程：</w:t>
      </w:r>
    </w:p>
    <w:p w14:paraId="41F815CA">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《光伏发电站防雷技术规程》 DL/T 1364-2014(国家能源局)</w:t>
      </w:r>
    </w:p>
    <w:p w14:paraId="08ADA42F">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《光伏发电并网逆变器技术规范》 NB/T 32004-201</w:t>
      </w:r>
      <w:r>
        <w:rPr>
          <w:rFonts w:hint="eastAsia" w:ascii="宋体" w:hAnsi="宋体" w:eastAsia="宋体" w:cs="宋体"/>
          <w:color w:val="auto"/>
          <w:kern w:val="2"/>
          <w:sz w:val="21"/>
          <w:szCs w:val="21"/>
          <w:highlight w:val="none"/>
          <w:lang w:val="en-US" w:eastAsia="zh-CN"/>
        </w:rPr>
        <w:t>8</w:t>
      </w:r>
      <w:r>
        <w:rPr>
          <w:rFonts w:hint="eastAsia" w:ascii="宋体" w:hAnsi="宋体" w:eastAsia="宋体" w:cs="宋体"/>
          <w:color w:val="auto"/>
          <w:kern w:val="2"/>
          <w:sz w:val="21"/>
          <w:szCs w:val="21"/>
          <w:highlight w:val="none"/>
        </w:rPr>
        <w:t>(国家能源局)</w:t>
      </w:r>
    </w:p>
    <w:p w14:paraId="0FFD5FB5">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《光伏发电站电能质量检测技术规程》 NB/T 32006-2013(国家能源局)</w:t>
      </w:r>
    </w:p>
    <w:p w14:paraId="26C161A7">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《光伏发电站功率预测系统技术要求》 NB/T 32011-2013(国家能源局)</w:t>
      </w:r>
    </w:p>
    <w:p w14:paraId="7FD3C70D">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《光伏发电站防孤岛效应检测技术规程》 NB/T 32014-2013(国家能源局)</w:t>
      </w:r>
    </w:p>
    <w:p w14:paraId="2E7749F1">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《并网光伏发电监控系统技术规范》 NB/T 32016-2013(国家能源局)</w:t>
      </w:r>
    </w:p>
    <w:p w14:paraId="0A38212B">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《太阳能光伏系统防雷技术规范》 QX/T 263-2015(中国气象局)</w:t>
      </w:r>
    </w:p>
    <w:p w14:paraId="366207AF">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《光伏发电接入配电网设计规范》 GB/T 50865-2013</w:t>
      </w:r>
    </w:p>
    <w:p w14:paraId="7AC1B98B">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《光伏发电站接入电力系统设计规范》 GB/T 50866-2013</w:t>
      </w:r>
    </w:p>
    <w:p w14:paraId="70A4976D">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《光伏发电站继电保护技术规范》 GB/T_32900-2016</w:t>
      </w:r>
    </w:p>
    <w:p w14:paraId="5C2F49D3">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《分布式光伏发电系统接入电网技术规范》 Q/CSG_1211001-2014</w:t>
      </w:r>
    </w:p>
    <w:p w14:paraId="23DEF3AA">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《光伏发电站接入电网技术规范》 Q/CSG_1211002-2014</w:t>
      </w:r>
    </w:p>
    <w:p w14:paraId="2242FA6A">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《光伏发电并网技术标准》 Q/CSG_1211006-2016</w:t>
      </w:r>
    </w:p>
    <w:p w14:paraId="33A058E3">
      <w:pPr>
        <w:widowControl w:val="0"/>
        <w:wordWrap w:val="0"/>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《并网光伏发电站监控系统技术规范》 Q/CSG_1211011-2016</w:t>
      </w:r>
    </w:p>
    <w:p w14:paraId="517A6CED">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《建筑结构荷载规范》 GB50009-2012</w:t>
      </w:r>
    </w:p>
    <w:p w14:paraId="68A3F617">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《建筑物防雷设计规范》 GB50057-2010</w:t>
      </w:r>
    </w:p>
    <w:p w14:paraId="14187495">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《分布式光伏发电开发建设管理办法》</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国能发新能</w:t>
      </w:r>
      <w:r>
        <w:rPr>
          <w:rFonts w:hint="eastAsia" w:ascii="宋体" w:hAnsi="宋体" w:eastAsia="宋体" w:cs="宋体"/>
          <w:color w:val="auto"/>
          <w:kern w:val="2"/>
          <w:sz w:val="21"/>
          <w:szCs w:val="21"/>
          <w:highlight w:val="none"/>
          <w:lang w:val="en-US" w:eastAsia="zh-CN"/>
        </w:rPr>
        <w:t>规</w:t>
      </w:r>
      <w:r>
        <w:rPr>
          <w:rFonts w:hint="eastAsia" w:ascii="宋体" w:hAnsi="宋体" w:eastAsia="宋体" w:cs="宋体"/>
          <w:color w:val="auto"/>
          <w:kern w:val="2"/>
          <w:sz w:val="21"/>
          <w:szCs w:val="21"/>
          <w:highlight w:val="none"/>
        </w:rPr>
        <w:t>[2025]7号</w:t>
      </w:r>
    </w:p>
    <w:p w14:paraId="151749E3">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广东电网公司低压分布式光伏“四可”能力计量典型设计(试行)</w:t>
      </w:r>
      <w:r>
        <w:rPr>
          <w:rFonts w:hint="eastAsia" w:ascii="宋体" w:hAnsi="宋体" w:eastAsia="宋体" w:cs="宋体"/>
          <w:color w:val="auto"/>
          <w:kern w:val="2"/>
          <w:sz w:val="21"/>
          <w:szCs w:val="21"/>
          <w:highlight w:val="none"/>
        </w:rPr>
        <w:t>》</w:t>
      </w:r>
    </w:p>
    <w:p w14:paraId="4BA0B414">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上述标准、规范及规程仅是本工程的最基本依据，并未包括实施中所涉及到的所有标准、规范和规程，项目的设计应符合中华人民共和国国家标准（GB），中华人民共和国电力行业标准（DL），中华人民共和国电子行业标准（SJ）及相关的IEC标准。在国内标准与IEC标准矛盾时，应按较高标准执行，并且所用标准和技术规范均应为合同签订之日为止时的最新版本。</w:t>
      </w:r>
    </w:p>
    <w:p w14:paraId="17B6A2D4">
      <w:pPr>
        <w:keepNext/>
        <w:keepLines/>
        <w:widowControl w:val="0"/>
        <w:adjustRightInd/>
        <w:snapToGrid/>
        <w:spacing w:after="0" w:line="240" w:lineRule="auto"/>
        <w:jc w:val="both"/>
        <w:outlineLvl w:val="3"/>
        <w:rPr>
          <w:rFonts w:ascii="Calibri Light" w:hAnsi="Calibri Light" w:eastAsia="宋体" w:cs="Times New Roman"/>
          <w:b/>
          <w:bCs/>
          <w:color w:val="auto"/>
          <w:kern w:val="2"/>
          <w:sz w:val="24"/>
          <w:szCs w:val="28"/>
          <w:highlight w:val="none"/>
        </w:rPr>
      </w:pPr>
    </w:p>
    <w:p w14:paraId="36B3782A">
      <w:pPr>
        <w:keepNext/>
        <w:keepLines/>
        <w:widowControl w:val="0"/>
        <w:adjustRightInd/>
        <w:snapToGrid/>
        <w:spacing w:after="0" w:line="360" w:lineRule="auto"/>
        <w:jc w:val="both"/>
        <w:outlineLvl w:val="3"/>
        <w:rPr>
          <w:rFonts w:ascii="Calibri Light" w:hAnsi="Calibri Light" w:eastAsia="宋体" w:cs="Times New Roman"/>
          <w:b/>
          <w:bCs/>
          <w:color w:val="auto"/>
          <w:kern w:val="2"/>
          <w:sz w:val="24"/>
          <w:szCs w:val="28"/>
          <w:highlight w:val="none"/>
        </w:rPr>
      </w:pPr>
      <w:bookmarkStart w:id="20" w:name="_Toc23172"/>
      <w:r>
        <w:rPr>
          <w:rFonts w:hint="eastAsia" w:ascii="Calibri Light" w:hAnsi="Calibri Light" w:eastAsia="宋体" w:cs="Times New Roman"/>
          <w:b/>
          <w:bCs/>
          <w:color w:val="auto"/>
          <w:kern w:val="2"/>
          <w:sz w:val="24"/>
          <w:szCs w:val="28"/>
          <w:highlight w:val="none"/>
          <w:lang w:eastAsia="zh-CN"/>
        </w:rPr>
        <w:t>六</w:t>
      </w:r>
      <w:r>
        <w:rPr>
          <w:rFonts w:hint="eastAsia" w:ascii="Calibri Light" w:hAnsi="Calibri Light" w:eastAsia="宋体" w:cs="Times New Roman"/>
          <w:b/>
          <w:bCs/>
          <w:color w:val="auto"/>
          <w:kern w:val="2"/>
          <w:sz w:val="24"/>
          <w:szCs w:val="28"/>
          <w:highlight w:val="none"/>
        </w:rPr>
        <w:t>、消防要求</w:t>
      </w:r>
      <w:bookmarkEnd w:id="20"/>
    </w:p>
    <w:p w14:paraId="41585753">
      <w:pPr>
        <w:widowControl w:val="0"/>
        <w:wordWrap w:val="0"/>
        <w:adjustRightInd/>
        <w:snapToGrid/>
        <w:spacing w:after="0" w:line="288" w:lineRule="auto"/>
        <w:jc w:val="both"/>
        <w:rPr>
          <w:rFonts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1. 主要设计原则、功能及配置</w:t>
      </w:r>
    </w:p>
    <w:p w14:paraId="01F54310">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本项目依据国家有关消防条例、规范进行设计，本着“预防为主、防消结合 ”的消防工作方针，消防系统的设置以加强自身防范力量为主，立足于自救，同时与消防部门联防，做到“防患于未然 ”，从积极的方面预防火灾的发生及蔓延。变电站内电气设备较多，消防设计的重点是防止电气火灾。</w:t>
      </w:r>
    </w:p>
    <w:p w14:paraId="6010D51A">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（1）对设有电气仪表设备的房间，应配置移动式气体灭火器和手动火灾报警（警铃）。</w:t>
      </w:r>
    </w:p>
    <w:p w14:paraId="2BDFA530">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（2）对光伏组件屋面应按方阵、逆变器数量配置干粉灭火器和消防沙，用于发电单元电气设备的灭火。</w:t>
      </w:r>
    </w:p>
    <w:p w14:paraId="4E4DE6D1">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（3）根据“预防为主、防消结合 ”的原则，本着减少着火机率，阻止电缆着火延燃及窜燃的目的，结合现场实际情况，主要采取“封 ”“堵 ”“隔 ”“涂 ”等技术措施，封堵施工按照国家及行业有关标准和以往的电缆防火封堵措施并结合电站实际情况进行</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交流电缆采用阻燃型</w:t>
      </w:r>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eastAsia="zh-CN"/>
        </w:rPr>
        <w:t>安装</w:t>
      </w:r>
      <w:r>
        <w:rPr>
          <w:rFonts w:hint="eastAsia" w:ascii="宋体" w:hAnsi="宋体" w:eastAsia="宋体" w:cs="宋体"/>
          <w:color w:val="auto"/>
          <w:kern w:val="2"/>
          <w:sz w:val="21"/>
          <w:szCs w:val="21"/>
          <w:highlight w:val="none"/>
        </w:rPr>
        <w:t>主要达到《电气装置安装工程 电缆线路施工及验收标准》GB50168-2018。</w:t>
      </w:r>
    </w:p>
    <w:p w14:paraId="760FFE82">
      <w:pPr>
        <w:widowControl w:val="0"/>
        <w:wordWrap w:val="0"/>
        <w:adjustRightInd/>
        <w:snapToGrid/>
        <w:spacing w:after="0" w:line="288" w:lineRule="auto"/>
        <w:jc w:val="both"/>
        <w:rPr>
          <w:rFonts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2. 消防设计及消防验收</w:t>
      </w:r>
    </w:p>
    <w:p w14:paraId="1E803CF8">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投标方须依据《中华人名共和国消防法》、《建设工程消防监督管理规定》等法律法规及当地消防管理部门的要求，完成如下事项（包括但不限于）:</w:t>
      </w:r>
    </w:p>
    <w:p w14:paraId="0810727F">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（1）光伏发电项目的消防设计及备案；</w:t>
      </w:r>
    </w:p>
    <w:p w14:paraId="02EA23BF">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（2）委托有资质的第三方机构进行消防检测，并取得消防设施检测合格证明文件；</w:t>
      </w:r>
    </w:p>
    <w:p w14:paraId="0A1C277E">
      <w:pPr>
        <w:widowControl w:val="0"/>
        <w:tabs>
          <w:tab w:val="left" w:pos="360"/>
        </w:tabs>
        <w:adjustRightInd/>
        <w:snapToGrid/>
        <w:spacing w:after="0" w:line="288" w:lineRule="auto"/>
        <w:ind w:firstLine="420" w:firstLine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（3）竣工验收消防备案；</w:t>
      </w:r>
    </w:p>
    <w:p w14:paraId="021026CB">
      <w:pPr>
        <w:widowControl w:val="0"/>
        <w:wordWrap w:val="0"/>
        <w:adjustRightInd/>
        <w:snapToGrid/>
        <w:spacing w:after="0" w:line="288" w:lineRule="auto"/>
        <w:ind w:left="420" w:leftChars="200"/>
        <w:jc w:val="both"/>
        <w:rPr>
          <w:rFonts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（4）如本项目被确定为抽查对象，须通过当地消防管理部门的检测检验。</w:t>
      </w:r>
    </w:p>
    <w:p w14:paraId="62FF0624">
      <w:pPr>
        <w:keepNext/>
        <w:keepLines/>
        <w:widowControl w:val="0"/>
        <w:adjustRightInd/>
        <w:snapToGrid/>
        <w:spacing w:after="0" w:line="360" w:lineRule="auto"/>
        <w:jc w:val="both"/>
        <w:outlineLvl w:val="3"/>
        <w:rPr>
          <w:rFonts w:ascii="Calibri Light" w:hAnsi="Calibri Light" w:eastAsia="宋体" w:cs="Times New Roman"/>
          <w:b/>
          <w:bCs/>
          <w:color w:val="auto"/>
          <w:kern w:val="2"/>
          <w:sz w:val="24"/>
          <w:szCs w:val="28"/>
          <w:highlight w:val="none"/>
        </w:rPr>
      </w:pPr>
    </w:p>
    <w:p w14:paraId="7014C7AA">
      <w:pPr>
        <w:keepNext/>
        <w:keepLines/>
        <w:widowControl w:val="0"/>
        <w:adjustRightInd/>
        <w:snapToGrid/>
        <w:spacing w:after="0" w:line="360" w:lineRule="auto"/>
        <w:jc w:val="both"/>
        <w:outlineLvl w:val="3"/>
        <w:rPr>
          <w:rFonts w:ascii="Calibri Light" w:hAnsi="Calibri Light" w:eastAsia="宋体" w:cs="Times New Roman"/>
          <w:b/>
          <w:bCs/>
          <w:color w:val="auto"/>
          <w:kern w:val="2"/>
          <w:sz w:val="24"/>
          <w:szCs w:val="28"/>
          <w:highlight w:val="none"/>
        </w:rPr>
      </w:pPr>
      <w:bookmarkStart w:id="21" w:name="_Toc30806"/>
      <w:r>
        <w:rPr>
          <w:rFonts w:hint="eastAsia" w:ascii="Calibri Light" w:hAnsi="Calibri Light" w:eastAsia="宋体" w:cs="Times New Roman"/>
          <w:b/>
          <w:bCs/>
          <w:color w:val="auto"/>
          <w:kern w:val="2"/>
          <w:sz w:val="24"/>
          <w:szCs w:val="28"/>
          <w:highlight w:val="none"/>
          <w:lang w:val="en-US" w:eastAsia="zh-CN"/>
        </w:rPr>
        <w:t>七</w:t>
      </w:r>
      <w:r>
        <w:rPr>
          <w:rFonts w:hint="eastAsia" w:ascii="Calibri Light" w:hAnsi="Calibri Light" w:eastAsia="宋体" w:cs="Times New Roman"/>
          <w:b/>
          <w:bCs/>
          <w:color w:val="auto"/>
          <w:kern w:val="2"/>
          <w:sz w:val="24"/>
          <w:szCs w:val="28"/>
          <w:highlight w:val="none"/>
        </w:rPr>
        <w:t>、特别要求</w:t>
      </w:r>
      <w:bookmarkEnd w:id="21"/>
    </w:p>
    <w:p w14:paraId="78492C83">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1、承包单位</w:t>
      </w:r>
      <w:r>
        <w:rPr>
          <w:rFonts w:hint="eastAsia" w:ascii="宋体" w:hAnsi="宋体" w:eastAsia="宋体" w:cs="宋体"/>
          <w:color w:val="auto"/>
          <w:kern w:val="2"/>
          <w:sz w:val="21"/>
          <w:szCs w:val="21"/>
          <w:highlight w:val="none"/>
          <w:lang w:val="en-US" w:eastAsia="zh-CN"/>
        </w:rPr>
        <w:t>在</w:t>
      </w:r>
      <w:r>
        <w:rPr>
          <w:rFonts w:hint="eastAsia" w:ascii="宋体" w:hAnsi="宋体" w:eastAsia="宋体" w:cs="宋体"/>
          <w:color w:val="auto"/>
          <w:kern w:val="2"/>
          <w:sz w:val="21"/>
          <w:szCs w:val="21"/>
          <w:highlight w:val="none"/>
        </w:rPr>
        <w:t>涉及</w:t>
      </w:r>
      <w:r>
        <w:rPr>
          <w:rFonts w:hint="eastAsia" w:ascii="宋体" w:hAnsi="宋体" w:eastAsia="宋体" w:cs="宋体"/>
          <w:color w:val="auto"/>
          <w:kern w:val="2"/>
          <w:sz w:val="21"/>
          <w:szCs w:val="21"/>
          <w:highlight w:val="none"/>
          <w:lang w:val="en-US" w:eastAsia="zh-CN"/>
        </w:rPr>
        <w:t>光伏发电</w:t>
      </w:r>
      <w:r>
        <w:rPr>
          <w:rFonts w:hint="eastAsia" w:ascii="宋体" w:hAnsi="宋体" w:eastAsia="宋体" w:cs="宋体"/>
          <w:color w:val="auto"/>
          <w:kern w:val="2"/>
          <w:sz w:val="21"/>
          <w:szCs w:val="21"/>
          <w:highlight w:val="none"/>
        </w:rPr>
        <w:t>系统并网验收及报批方面，必须</w:t>
      </w:r>
      <w:r>
        <w:rPr>
          <w:rFonts w:hint="eastAsia" w:ascii="宋体" w:hAnsi="宋体" w:eastAsia="宋体" w:cs="宋体"/>
          <w:color w:val="auto"/>
          <w:kern w:val="2"/>
          <w:sz w:val="21"/>
          <w:szCs w:val="21"/>
          <w:highlight w:val="none"/>
          <w:lang w:val="en-US" w:eastAsia="zh-CN"/>
        </w:rPr>
        <w:t>充分</w:t>
      </w:r>
      <w:r>
        <w:rPr>
          <w:rFonts w:hint="eastAsia" w:ascii="宋体" w:hAnsi="宋体" w:eastAsia="宋体" w:cs="宋体"/>
          <w:color w:val="auto"/>
          <w:kern w:val="2"/>
          <w:sz w:val="21"/>
          <w:szCs w:val="21"/>
          <w:highlight w:val="none"/>
        </w:rPr>
        <w:t>与当地供电</w:t>
      </w:r>
      <w:r>
        <w:rPr>
          <w:rFonts w:hint="eastAsia" w:ascii="Calibri" w:hAnsi="Calibri" w:eastAsia="宋体" w:cs="Times New Roman"/>
          <w:color w:val="auto"/>
          <w:kern w:val="2"/>
          <w:sz w:val="21"/>
          <w:szCs w:val="21"/>
          <w:highlight w:val="none"/>
        </w:rPr>
        <w:t>部门</w:t>
      </w:r>
      <w:r>
        <w:rPr>
          <w:rFonts w:hint="eastAsia" w:ascii="宋体" w:hAnsi="宋体" w:eastAsia="宋体" w:cs="宋体"/>
          <w:color w:val="auto"/>
          <w:kern w:val="2"/>
          <w:sz w:val="21"/>
          <w:szCs w:val="21"/>
          <w:highlight w:val="none"/>
        </w:rPr>
        <w:t>协调沟通，保证项目</w:t>
      </w:r>
      <w:r>
        <w:rPr>
          <w:rFonts w:hint="eastAsia" w:ascii="宋体" w:hAnsi="宋体" w:eastAsia="宋体" w:cs="宋体"/>
          <w:color w:val="auto"/>
          <w:kern w:val="2"/>
          <w:sz w:val="21"/>
          <w:szCs w:val="21"/>
          <w:highlight w:val="none"/>
          <w:lang w:val="en-US" w:eastAsia="zh-CN"/>
        </w:rPr>
        <w:t>按工期并网投运</w:t>
      </w:r>
      <w:r>
        <w:rPr>
          <w:rFonts w:hint="eastAsia" w:ascii="宋体" w:hAnsi="宋体" w:eastAsia="宋体" w:cs="宋体"/>
          <w:color w:val="auto"/>
          <w:kern w:val="2"/>
          <w:sz w:val="21"/>
          <w:szCs w:val="21"/>
          <w:highlight w:val="none"/>
        </w:rPr>
        <w:t>。</w:t>
      </w:r>
    </w:p>
    <w:p w14:paraId="1D43DECD">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、如涉及</w:t>
      </w:r>
      <w:r>
        <w:rPr>
          <w:rFonts w:hint="eastAsia" w:ascii="宋体" w:hAnsi="宋体" w:eastAsia="宋体" w:cs="宋体"/>
          <w:color w:val="auto"/>
          <w:kern w:val="2"/>
          <w:sz w:val="21"/>
          <w:szCs w:val="21"/>
          <w:highlight w:val="none"/>
          <w:lang w:val="en-US" w:eastAsia="zh-CN"/>
        </w:rPr>
        <w:t>屋顶</w:t>
      </w:r>
      <w:r>
        <w:rPr>
          <w:rFonts w:hint="eastAsia" w:ascii="Calibri" w:hAnsi="Calibri" w:eastAsia="宋体" w:cs="Times New Roman"/>
          <w:color w:val="auto"/>
          <w:kern w:val="2"/>
          <w:sz w:val="21"/>
          <w:szCs w:val="21"/>
          <w:highlight w:val="none"/>
        </w:rPr>
        <w:t>业主、</w:t>
      </w:r>
      <w:r>
        <w:rPr>
          <w:rFonts w:hint="eastAsia" w:ascii="Calibri" w:hAnsi="Calibri" w:eastAsia="宋体" w:cs="Times New Roman"/>
          <w:color w:val="auto"/>
          <w:kern w:val="2"/>
          <w:sz w:val="21"/>
          <w:szCs w:val="21"/>
          <w:highlight w:val="none"/>
          <w:lang w:val="en-US" w:eastAsia="zh-CN"/>
        </w:rPr>
        <w:t>当地两违办</w:t>
      </w:r>
      <w:r>
        <w:rPr>
          <w:rFonts w:hint="eastAsia" w:ascii="Calibri" w:hAnsi="Calibri" w:eastAsia="宋体" w:cs="Times New Roman"/>
          <w:color w:val="auto"/>
          <w:kern w:val="2"/>
          <w:sz w:val="21"/>
          <w:szCs w:val="21"/>
          <w:highlight w:val="none"/>
        </w:rPr>
        <w:t>、</w:t>
      </w:r>
      <w:r>
        <w:rPr>
          <w:rFonts w:hint="eastAsia" w:ascii="Calibri" w:hAnsi="Calibri" w:eastAsia="宋体" w:cs="Times New Roman"/>
          <w:color w:val="auto"/>
          <w:kern w:val="2"/>
          <w:sz w:val="21"/>
          <w:szCs w:val="21"/>
          <w:highlight w:val="none"/>
          <w:lang w:val="en-US" w:eastAsia="zh-CN"/>
        </w:rPr>
        <w:t>经发局、</w:t>
      </w:r>
      <w:r>
        <w:rPr>
          <w:rFonts w:hint="eastAsia" w:ascii="Calibri" w:hAnsi="Calibri" w:eastAsia="宋体" w:cs="Times New Roman"/>
          <w:color w:val="auto"/>
          <w:kern w:val="2"/>
          <w:sz w:val="21"/>
          <w:szCs w:val="21"/>
          <w:highlight w:val="none"/>
        </w:rPr>
        <w:t>供电部门及其他相关</w:t>
      </w:r>
      <w:r>
        <w:rPr>
          <w:rFonts w:hint="eastAsia" w:ascii="Calibri" w:hAnsi="Calibri" w:eastAsia="宋体" w:cs="Times New Roman"/>
          <w:color w:val="auto"/>
          <w:kern w:val="2"/>
          <w:sz w:val="21"/>
          <w:szCs w:val="21"/>
          <w:highlight w:val="none"/>
          <w:lang w:val="en-US" w:eastAsia="zh-CN"/>
        </w:rPr>
        <w:t>部门</w:t>
      </w:r>
      <w:r>
        <w:rPr>
          <w:rFonts w:hint="eastAsia" w:ascii="Calibri" w:hAnsi="Calibri" w:eastAsia="宋体" w:cs="Times New Roman"/>
          <w:color w:val="auto"/>
          <w:kern w:val="2"/>
          <w:sz w:val="21"/>
          <w:szCs w:val="21"/>
          <w:highlight w:val="none"/>
        </w:rPr>
        <w:t>协调工作及费用一切由</w:t>
      </w:r>
      <w:r>
        <w:rPr>
          <w:rFonts w:hint="eastAsia" w:ascii="宋体" w:hAnsi="宋体" w:eastAsia="宋体" w:cs="宋体"/>
          <w:color w:val="auto"/>
          <w:kern w:val="2"/>
          <w:sz w:val="21"/>
          <w:szCs w:val="21"/>
          <w:highlight w:val="none"/>
        </w:rPr>
        <w:t>承包单位</w:t>
      </w:r>
      <w:r>
        <w:rPr>
          <w:rFonts w:hint="eastAsia" w:ascii="Calibri" w:hAnsi="Calibri" w:eastAsia="宋体" w:cs="Times New Roman"/>
          <w:color w:val="auto"/>
          <w:kern w:val="2"/>
          <w:sz w:val="21"/>
          <w:szCs w:val="21"/>
          <w:highlight w:val="none"/>
        </w:rPr>
        <w:t>负责，在不增加装机容量的前提，不得</w:t>
      </w:r>
      <w:r>
        <w:rPr>
          <w:rFonts w:hint="eastAsia" w:ascii="Calibri" w:hAnsi="Calibri" w:eastAsia="宋体" w:cs="Times New Roman"/>
          <w:color w:val="auto"/>
          <w:kern w:val="2"/>
          <w:sz w:val="21"/>
          <w:szCs w:val="21"/>
          <w:highlight w:val="none"/>
          <w:lang w:val="en-US" w:eastAsia="zh-CN"/>
        </w:rPr>
        <w:t>额外</w:t>
      </w:r>
      <w:r>
        <w:rPr>
          <w:rFonts w:hint="eastAsia" w:ascii="Calibri" w:hAnsi="Calibri" w:eastAsia="宋体" w:cs="Times New Roman"/>
          <w:color w:val="auto"/>
          <w:kern w:val="2"/>
          <w:sz w:val="21"/>
          <w:szCs w:val="21"/>
          <w:highlight w:val="none"/>
        </w:rPr>
        <w:t>增加费用</w:t>
      </w:r>
      <w:r>
        <w:rPr>
          <w:rFonts w:hint="eastAsia" w:ascii="宋体" w:hAnsi="宋体" w:eastAsia="宋体" w:cs="宋体"/>
          <w:color w:val="auto"/>
          <w:kern w:val="2"/>
          <w:sz w:val="21"/>
          <w:szCs w:val="21"/>
          <w:highlight w:val="none"/>
        </w:rPr>
        <w:t>。</w:t>
      </w:r>
    </w:p>
    <w:p w14:paraId="3FE69712">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、本项目</w:t>
      </w:r>
      <w:r>
        <w:rPr>
          <w:rFonts w:hint="eastAsia" w:ascii="宋体" w:hAnsi="宋体" w:eastAsia="宋体" w:cs="宋体"/>
          <w:color w:val="auto"/>
          <w:kern w:val="2"/>
          <w:sz w:val="21"/>
          <w:szCs w:val="21"/>
          <w:highlight w:val="none"/>
          <w:lang w:val="en-US" w:eastAsia="zh-CN"/>
        </w:rPr>
        <w:t>实行发电量</w:t>
      </w:r>
      <w:r>
        <w:rPr>
          <w:rFonts w:hint="eastAsia" w:ascii="宋体" w:hAnsi="宋体" w:eastAsia="宋体" w:cs="宋体"/>
          <w:color w:val="auto"/>
          <w:kern w:val="2"/>
          <w:sz w:val="21"/>
          <w:szCs w:val="21"/>
          <w:highlight w:val="none"/>
        </w:rPr>
        <w:t>考核制</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承包单位应确保</w:t>
      </w:r>
      <w:r>
        <w:rPr>
          <w:rFonts w:hint="eastAsia" w:ascii="宋体" w:hAnsi="宋体" w:eastAsia="宋体" w:cs="宋体"/>
          <w:color w:val="auto"/>
          <w:kern w:val="2"/>
          <w:sz w:val="21"/>
          <w:szCs w:val="21"/>
          <w:highlight w:val="none"/>
          <w:lang w:val="en-US" w:eastAsia="zh-CN"/>
        </w:rPr>
        <w:t>该</w:t>
      </w:r>
      <w:r>
        <w:rPr>
          <w:rFonts w:hint="eastAsia" w:ascii="宋体" w:hAnsi="宋体" w:eastAsia="宋体" w:cs="宋体"/>
          <w:color w:val="auto"/>
          <w:kern w:val="2"/>
          <w:sz w:val="21"/>
          <w:szCs w:val="21"/>
          <w:highlight w:val="none"/>
        </w:rPr>
        <w:t>项目发电量数据（即年发电保底电量发电时数，详见下表）按月统计、确认，以</w:t>
      </w:r>
      <w:r>
        <w:rPr>
          <w:rFonts w:hint="eastAsia" w:ascii="宋体" w:hAnsi="宋体" w:eastAsia="宋体" w:cs="宋体"/>
          <w:color w:val="auto"/>
          <w:kern w:val="2"/>
          <w:sz w:val="21"/>
          <w:szCs w:val="21"/>
          <w:highlight w:val="none"/>
          <w:lang w:val="en-US" w:eastAsia="zh-CN"/>
        </w:rPr>
        <w:t>1</w:t>
      </w:r>
      <w:r>
        <w:rPr>
          <w:rFonts w:hint="eastAsia" w:ascii="宋体" w:hAnsi="宋体" w:eastAsia="宋体" w:cs="宋体"/>
          <w:color w:val="auto"/>
          <w:kern w:val="2"/>
          <w:sz w:val="21"/>
          <w:szCs w:val="21"/>
          <w:highlight w:val="none"/>
        </w:rPr>
        <w:t>年为周期考核，考核期限为光伏发电项目并网</w:t>
      </w:r>
      <w:r>
        <w:rPr>
          <w:rFonts w:hint="eastAsia" w:ascii="宋体" w:hAnsi="宋体" w:eastAsia="宋体" w:cs="宋体"/>
          <w:color w:val="auto"/>
          <w:kern w:val="2"/>
          <w:sz w:val="21"/>
          <w:szCs w:val="21"/>
          <w:highlight w:val="none"/>
          <w:lang w:val="en-US" w:eastAsia="zh-CN"/>
        </w:rPr>
        <w:t>投运</w:t>
      </w:r>
      <w:r>
        <w:rPr>
          <w:rFonts w:hint="eastAsia" w:ascii="宋体" w:hAnsi="宋体" w:eastAsia="宋体" w:cs="宋体"/>
          <w:color w:val="auto"/>
          <w:kern w:val="2"/>
          <w:sz w:val="21"/>
          <w:szCs w:val="21"/>
          <w:highlight w:val="none"/>
        </w:rPr>
        <w:t>后连续</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年运营期。因</w:t>
      </w:r>
      <w:r>
        <w:rPr>
          <w:rFonts w:hint="eastAsia" w:ascii="宋体" w:hAnsi="宋体" w:eastAsia="宋体" w:cs="宋体"/>
          <w:color w:val="auto"/>
          <w:kern w:val="2"/>
          <w:sz w:val="21"/>
          <w:szCs w:val="21"/>
          <w:highlight w:val="none"/>
          <w:lang w:val="en-US" w:eastAsia="zh-CN"/>
        </w:rPr>
        <w:t>业主单位或供电部门</w:t>
      </w:r>
      <w:r>
        <w:rPr>
          <w:rFonts w:hint="eastAsia" w:ascii="宋体" w:hAnsi="宋体" w:eastAsia="宋体" w:cs="宋体"/>
          <w:color w:val="auto"/>
          <w:kern w:val="2"/>
          <w:sz w:val="21"/>
          <w:szCs w:val="21"/>
          <w:highlight w:val="none"/>
        </w:rPr>
        <w:t>计划停电</w:t>
      </w:r>
      <w:r>
        <w:rPr>
          <w:rFonts w:hint="eastAsia" w:ascii="宋体" w:hAnsi="宋体" w:eastAsia="宋体" w:cs="宋体"/>
          <w:color w:val="auto"/>
          <w:kern w:val="2"/>
          <w:sz w:val="21"/>
          <w:szCs w:val="21"/>
          <w:highlight w:val="none"/>
          <w:lang w:val="en-US" w:eastAsia="zh-CN"/>
        </w:rPr>
        <w:t>或</w:t>
      </w:r>
      <w:r>
        <w:rPr>
          <w:rFonts w:hint="eastAsia" w:ascii="宋体" w:hAnsi="宋体" w:eastAsia="宋体" w:cs="宋体"/>
          <w:color w:val="auto"/>
          <w:kern w:val="2"/>
          <w:sz w:val="21"/>
          <w:szCs w:val="21"/>
          <w:highlight w:val="none"/>
        </w:rPr>
        <w:t>检修产生的电量损失、双方认定的不可抗力影响的发电量损失等不在考核范围内，属于免考核发电量。当光伏电站由于承包单位</w:t>
      </w:r>
      <w:r>
        <w:rPr>
          <w:rFonts w:hint="eastAsia" w:ascii="宋体" w:hAnsi="宋体" w:eastAsia="宋体" w:cs="宋体"/>
          <w:color w:val="auto"/>
          <w:kern w:val="2"/>
          <w:sz w:val="21"/>
          <w:szCs w:val="21"/>
          <w:highlight w:val="none"/>
          <w:lang w:val="en-US" w:eastAsia="zh-CN"/>
        </w:rPr>
        <w:t>在安装时</w:t>
      </w:r>
      <w:r>
        <w:rPr>
          <w:rFonts w:hint="eastAsia" w:ascii="宋体" w:hAnsi="宋体" w:eastAsia="宋体" w:cs="宋体"/>
          <w:color w:val="auto"/>
          <w:kern w:val="2"/>
          <w:sz w:val="21"/>
          <w:szCs w:val="21"/>
          <w:highlight w:val="none"/>
        </w:rPr>
        <w:t>自身原因未达到相应年限考核发电量时，承包单位向</w:t>
      </w:r>
      <w:r>
        <w:rPr>
          <w:rFonts w:hint="eastAsia" w:ascii="宋体" w:hAnsi="宋体" w:eastAsia="宋体" w:cs="宋体"/>
          <w:color w:val="auto"/>
          <w:kern w:val="2"/>
          <w:sz w:val="21"/>
          <w:szCs w:val="21"/>
          <w:highlight w:val="none"/>
          <w:lang w:val="en-US" w:eastAsia="zh-CN"/>
        </w:rPr>
        <w:t>发包单位</w:t>
      </w:r>
      <w:r>
        <w:rPr>
          <w:rFonts w:hint="eastAsia" w:ascii="宋体" w:hAnsi="宋体" w:eastAsia="宋体" w:cs="宋体"/>
          <w:color w:val="auto"/>
          <w:kern w:val="2"/>
          <w:sz w:val="21"/>
          <w:szCs w:val="21"/>
          <w:highlight w:val="none"/>
        </w:rPr>
        <w:t>补足本应发电量的差额部分</w:t>
      </w:r>
      <w:r>
        <w:rPr>
          <w:rFonts w:hint="eastAsia" w:ascii="宋体" w:hAnsi="宋体" w:eastAsia="宋体" w:cs="宋体"/>
          <w:color w:val="auto"/>
          <w:kern w:val="2"/>
          <w:sz w:val="21"/>
          <w:szCs w:val="21"/>
          <w:highlight w:val="none"/>
          <w:lang w:eastAsia="zh-CN"/>
        </w:rPr>
        <w:t>（</w:t>
      </w:r>
      <w:r>
        <w:rPr>
          <w:rFonts w:hint="eastAsia" w:ascii="宋体" w:hAnsi="宋体" w:eastAsia="宋体" w:cs="宋体"/>
          <w:b/>
          <w:bCs/>
          <w:color w:val="auto"/>
          <w:kern w:val="2"/>
          <w:sz w:val="21"/>
          <w:szCs w:val="21"/>
          <w:highlight w:val="none"/>
        </w:rPr>
        <w:t>差额部分</w:t>
      </w:r>
      <w:r>
        <w:rPr>
          <w:rFonts w:hint="eastAsia" w:ascii="宋体" w:hAnsi="宋体" w:eastAsia="宋体" w:cs="宋体"/>
          <w:b/>
          <w:bCs/>
          <w:color w:val="auto"/>
          <w:kern w:val="2"/>
          <w:sz w:val="21"/>
          <w:szCs w:val="21"/>
          <w:highlight w:val="none"/>
          <w:lang w:val="en-US" w:eastAsia="zh-CN"/>
        </w:rPr>
        <w:t>=</w:t>
      </w:r>
      <w:r>
        <w:rPr>
          <w:rFonts w:hint="eastAsia" w:ascii="宋体" w:hAnsi="宋体" w:eastAsia="宋体" w:cs="宋体"/>
          <w:b/>
          <w:bCs/>
          <w:color w:val="auto"/>
          <w:kern w:val="2"/>
          <w:sz w:val="21"/>
          <w:szCs w:val="21"/>
          <w:highlight w:val="none"/>
          <w:lang w:eastAsia="zh-CN"/>
        </w:rPr>
        <w:t>全年考核发电时数</w:t>
      </w:r>
      <w:r>
        <w:rPr>
          <w:rFonts w:hint="eastAsia" w:ascii="宋体" w:hAnsi="宋体" w:eastAsia="宋体" w:cs="宋体"/>
          <w:b/>
          <w:bCs/>
          <w:color w:val="auto"/>
          <w:kern w:val="2"/>
          <w:sz w:val="21"/>
          <w:szCs w:val="21"/>
          <w:highlight w:val="none"/>
        </w:rPr>
        <w:t>差额</w:t>
      </w:r>
      <w:r>
        <w:rPr>
          <w:rFonts w:hint="eastAsia" w:ascii="宋体" w:hAnsi="宋体" w:eastAsia="宋体" w:cs="宋体"/>
          <w:b/>
          <w:bCs/>
          <w:color w:val="auto"/>
          <w:kern w:val="2"/>
          <w:sz w:val="21"/>
          <w:szCs w:val="21"/>
          <w:highlight w:val="none"/>
          <w:lang w:val="en-US" w:eastAsia="zh-CN"/>
        </w:rPr>
        <w:t>×实际装机容量×本项目应收电价</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，差额部分</w:t>
      </w:r>
      <w:r>
        <w:rPr>
          <w:rFonts w:hint="eastAsia" w:ascii="宋体" w:hAnsi="宋体" w:eastAsia="宋体" w:cs="宋体"/>
          <w:color w:val="auto"/>
          <w:kern w:val="2"/>
          <w:sz w:val="21"/>
          <w:szCs w:val="21"/>
          <w:highlight w:val="none"/>
          <w:lang w:val="en-US" w:eastAsia="zh-CN"/>
        </w:rPr>
        <w:t>从工程款质量保修金中扣除。</w:t>
      </w:r>
    </w:p>
    <w:p w14:paraId="204A15F3">
      <w:pPr>
        <w:pageBreakBefore w:val="0"/>
        <w:numPr>
          <w:ilvl w:val="255"/>
          <w:numId w:val="0"/>
        </w:numPr>
        <w:kinsoku/>
        <w:wordWrap/>
        <w:overflowPunct/>
        <w:topLinePunct w:val="0"/>
        <w:bidi w:val="0"/>
        <w:spacing w:line="400" w:lineRule="exact"/>
        <w:ind w:left="0" w:leftChars="0" w:firstLine="422" w:firstLineChars="20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项目运营期考核发电量数据表</w:t>
      </w:r>
    </w:p>
    <w:tbl>
      <w:tblPr>
        <w:tblStyle w:val="28"/>
        <w:tblW w:w="8522" w:type="dxa"/>
        <w:jc w:val="center"/>
        <w:tblLayout w:type="fixed"/>
        <w:tblCellMar>
          <w:top w:w="0" w:type="dxa"/>
          <w:left w:w="108" w:type="dxa"/>
          <w:bottom w:w="0" w:type="dxa"/>
          <w:right w:w="108" w:type="dxa"/>
        </w:tblCellMar>
      </w:tblPr>
      <w:tblGrid>
        <w:gridCol w:w="2724"/>
        <w:gridCol w:w="1737"/>
        <w:gridCol w:w="1824"/>
        <w:gridCol w:w="2237"/>
      </w:tblGrid>
      <w:tr w14:paraId="3572E25F">
        <w:tblPrEx>
          <w:tblCellMar>
            <w:top w:w="0" w:type="dxa"/>
            <w:left w:w="108" w:type="dxa"/>
            <w:bottom w:w="0" w:type="dxa"/>
            <w:right w:w="108" w:type="dxa"/>
          </w:tblCellMar>
        </w:tblPrEx>
        <w:trPr>
          <w:trHeight w:val="233" w:hRule="atLeast"/>
          <w:jc w:val="center"/>
        </w:trPr>
        <w:tc>
          <w:tcPr>
            <w:tcW w:w="27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1DB636">
            <w:pPr>
              <w:keepNext w:val="0"/>
              <w:keepLines w:val="0"/>
              <w:pageBreakBefore w:val="0"/>
              <w:widowControl/>
              <w:suppressLineNumbers w:val="0"/>
              <w:kinsoku/>
              <w:wordWrap/>
              <w:overflowPunct/>
              <w:topLinePunct w:val="0"/>
              <w:bidi w:val="0"/>
              <w:spacing w:before="0" w:beforeAutospacing="0" w:after="0" w:afterAutospacing="0" w:line="400" w:lineRule="exact"/>
              <w:ind w:left="0" w:leftChars="0" w:right="0" w:firstLine="0" w:firstLineChars="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运维年限</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D370A6">
            <w:pPr>
              <w:keepNext w:val="0"/>
              <w:keepLines w:val="0"/>
              <w:pageBreakBefore w:val="0"/>
              <w:widowControl/>
              <w:suppressLineNumbers w:val="0"/>
              <w:kinsoku/>
              <w:wordWrap/>
              <w:overflowPunct/>
              <w:topLinePunct w:val="0"/>
              <w:bidi w:val="0"/>
              <w:spacing w:before="0" w:beforeAutospacing="0" w:after="0" w:afterAutospacing="0" w:line="400" w:lineRule="exact"/>
              <w:ind w:left="0" w:leftChars="0" w:right="0" w:firstLine="0" w:firstLineChars="0"/>
              <w:jc w:val="center"/>
              <w:rPr>
                <w:rFonts w:hint="default" w:ascii="Times New Roman" w:hAnsi="Times New Roman" w:eastAsia="宋体" w:cs="Times New Roman"/>
                <w:color w:val="auto"/>
                <w:kern w:val="0"/>
                <w:sz w:val="21"/>
                <w:szCs w:val="21"/>
                <w:highlight w:val="none"/>
              </w:rPr>
            </w:pPr>
            <w:r>
              <w:rPr>
                <w:rFonts w:hint="eastAsia" w:ascii="宋体" w:hAnsi="Times New Roman" w:eastAsia="宋体" w:cs="宋体"/>
                <w:color w:val="auto"/>
                <w:kern w:val="0"/>
                <w:szCs w:val="24"/>
                <w:highlight w:val="none"/>
              </w:rPr>
              <w:t>第</w:t>
            </w:r>
            <w:r>
              <w:rPr>
                <w:rFonts w:hint="default" w:ascii="Times New Roman" w:hAnsi="Times New Roman" w:eastAsia="宋体" w:cs="Times New Roman"/>
                <w:color w:val="auto"/>
                <w:kern w:val="0"/>
                <w:szCs w:val="24"/>
                <w:highlight w:val="none"/>
              </w:rPr>
              <w:t>1</w:t>
            </w:r>
            <w:r>
              <w:rPr>
                <w:rFonts w:hint="eastAsia" w:ascii="宋体" w:hAnsi="Times New Roman" w:eastAsia="宋体" w:cs="宋体"/>
                <w:color w:val="auto"/>
                <w:kern w:val="0"/>
                <w:szCs w:val="24"/>
                <w:highlight w:val="none"/>
              </w:rPr>
              <w:t>年</w:t>
            </w:r>
          </w:p>
        </w:tc>
        <w:tc>
          <w:tcPr>
            <w:tcW w:w="18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84FDF0">
            <w:pPr>
              <w:keepNext w:val="0"/>
              <w:keepLines w:val="0"/>
              <w:pageBreakBefore w:val="0"/>
              <w:widowControl/>
              <w:suppressLineNumbers w:val="0"/>
              <w:kinsoku/>
              <w:wordWrap/>
              <w:overflowPunct/>
              <w:topLinePunct w:val="0"/>
              <w:bidi w:val="0"/>
              <w:spacing w:before="0" w:beforeAutospacing="0" w:after="0" w:afterAutospacing="0" w:line="400" w:lineRule="exact"/>
              <w:ind w:left="0" w:leftChars="0" w:right="0" w:firstLine="0" w:firstLineChars="0"/>
              <w:jc w:val="center"/>
              <w:rPr>
                <w:rFonts w:hint="eastAsia" w:ascii="Times New Roman" w:hAnsi="Times New Roman" w:eastAsia="宋体" w:cs="Times New Roman"/>
                <w:color w:val="auto"/>
                <w:kern w:val="0"/>
                <w:sz w:val="21"/>
                <w:szCs w:val="21"/>
                <w:highlight w:val="none"/>
                <w:lang w:eastAsia="zh-CN"/>
              </w:rPr>
            </w:pPr>
            <w:r>
              <w:rPr>
                <w:rFonts w:hint="eastAsia" w:ascii="宋体" w:hAnsi="Times New Roman" w:eastAsia="宋体" w:cs="宋体"/>
                <w:color w:val="auto"/>
                <w:kern w:val="0"/>
                <w:szCs w:val="24"/>
                <w:highlight w:val="none"/>
              </w:rPr>
              <w:t>第</w:t>
            </w:r>
            <w:r>
              <w:rPr>
                <w:rFonts w:hint="eastAsia" w:ascii="Times New Roman" w:hAnsi="Times New Roman" w:eastAsia="宋体" w:cs="Times New Roman"/>
                <w:color w:val="auto"/>
                <w:kern w:val="0"/>
                <w:szCs w:val="24"/>
                <w:highlight w:val="none"/>
                <w:lang w:val="en-US" w:eastAsia="zh-CN"/>
              </w:rPr>
              <w:t>2</w:t>
            </w:r>
            <w:r>
              <w:rPr>
                <w:rFonts w:hint="eastAsia" w:ascii="宋体" w:hAnsi="Times New Roman" w:eastAsia="宋体" w:cs="宋体"/>
                <w:color w:val="auto"/>
                <w:kern w:val="0"/>
                <w:szCs w:val="24"/>
                <w:highlight w:val="none"/>
              </w:rPr>
              <w:t>年</w:t>
            </w:r>
          </w:p>
        </w:tc>
        <w:tc>
          <w:tcPr>
            <w:tcW w:w="22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7CBC02">
            <w:pPr>
              <w:keepNext w:val="0"/>
              <w:keepLines w:val="0"/>
              <w:pageBreakBefore w:val="0"/>
              <w:widowControl/>
              <w:suppressLineNumbers w:val="0"/>
              <w:kinsoku/>
              <w:wordWrap/>
              <w:overflowPunct/>
              <w:topLinePunct w:val="0"/>
              <w:bidi w:val="0"/>
              <w:spacing w:before="0" w:beforeAutospacing="0" w:after="0" w:afterAutospacing="0" w:line="400" w:lineRule="exact"/>
              <w:ind w:left="0" w:leftChars="0" w:right="0" w:rightChars="0" w:firstLine="0" w:firstLineChars="0"/>
              <w:jc w:val="center"/>
              <w:rPr>
                <w:rFonts w:hint="default" w:ascii="宋体" w:hAnsi="Times New Roman" w:eastAsia="宋体" w:cs="宋体"/>
                <w:color w:val="auto"/>
                <w:kern w:val="0"/>
                <w:szCs w:val="24"/>
                <w:highlight w:val="none"/>
                <w:lang w:val="en-US" w:eastAsia="zh-CN"/>
              </w:rPr>
            </w:pPr>
            <w:r>
              <w:rPr>
                <w:rFonts w:hint="eastAsia" w:ascii="宋体" w:hAnsi="Times New Roman" w:eastAsia="宋体" w:cs="宋体"/>
                <w:color w:val="auto"/>
                <w:kern w:val="0"/>
                <w:szCs w:val="24"/>
                <w:highlight w:val="none"/>
              </w:rPr>
              <w:t>第</w:t>
            </w:r>
            <w:r>
              <w:rPr>
                <w:rFonts w:hint="eastAsia" w:ascii="Times New Roman" w:hAnsi="Times New Roman" w:eastAsia="宋体" w:cs="Times New Roman"/>
                <w:color w:val="auto"/>
                <w:kern w:val="0"/>
                <w:szCs w:val="24"/>
                <w:highlight w:val="none"/>
                <w:lang w:val="en-US" w:eastAsia="zh-CN"/>
              </w:rPr>
              <w:t>3</w:t>
            </w:r>
            <w:r>
              <w:rPr>
                <w:rFonts w:hint="eastAsia" w:ascii="宋体" w:hAnsi="Times New Roman" w:eastAsia="宋体" w:cs="宋体"/>
                <w:color w:val="auto"/>
                <w:kern w:val="0"/>
                <w:szCs w:val="24"/>
                <w:highlight w:val="none"/>
              </w:rPr>
              <w:t>年</w:t>
            </w:r>
            <w:r>
              <w:rPr>
                <w:rFonts w:hint="eastAsia" w:ascii="宋体" w:hAnsi="Times New Roman" w:eastAsia="宋体" w:cs="宋体"/>
                <w:color w:val="auto"/>
                <w:kern w:val="0"/>
                <w:szCs w:val="24"/>
                <w:highlight w:val="none"/>
                <w:lang w:val="en-US" w:eastAsia="zh-CN"/>
              </w:rPr>
              <w:t>及以后</w:t>
            </w:r>
          </w:p>
        </w:tc>
      </w:tr>
      <w:tr w14:paraId="00839703">
        <w:tblPrEx>
          <w:tblCellMar>
            <w:top w:w="0" w:type="dxa"/>
            <w:left w:w="108" w:type="dxa"/>
            <w:bottom w:w="0" w:type="dxa"/>
            <w:right w:w="108" w:type="dxa"/>
          </w:tblCellMar>
        </w:tblPrEx>
        <w:trPr>
          <w:trHeight w:val="313" w:hRule="atLeast"/>
          <w:jc w:val="center"/>
        </w:trPr>
        <w:tc>
          <w:tcPr>
            <w:tcW w:w="27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409DB5">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center"/>
              <w:rPr>
                <w:rFonts w:hint="eastAsia" w:ascii="Times New Roman" w:hAnsi="Times New Roman" w:eastAsia="宋体" w:cs="Times New Roman"/>
                <w:b/>
                <w:bCs/>
                <w:color w:val="auto"/>
                <w:kern w:val="0"/>
                <w:sz w:val="21"/>
                <w:szCs w:val="21"/>
                <w:highlight w:val="none"/>
              </w:rPr>
            </w:pPr>
            <w:r>
              <w:rPr>
                <w:rFonts w:hint="eastAsia" w:ascii="Times New Roman" w:hAnsi="Times New Roman" w:eastAsia="宋体" w:cs="Times New Roman"/>
                <w:b/>
                <w:bCs/>
                <w:color w:val="auto"/>
                <w:kern w:val="0"/>
                <w:sz w:val="21"/>
                <w:szCs w:val="21"/>
                <w:highlight w:val="none"/>
                <w:lang w:val="en-US" w:eastAsia="zh-CN"/>
              </w:rPr>
              <w:t>全年考核</w:t>
            </w:r>
            <w:r>
              <w:rPr>
                <w:rFonts w:hint="default" w:ascii="Times New Roman" w:hAnsi="Times New Roman" w:eastAsia="宋体" w:cs="Times New Roman"/>
                <w:b/>
                <w:bCs/>
                <w:color w:val="auto"/>
                <w:kern w:val="0"/>
                <w:sz w:val="21"/>
                <w:szCs w:val="21"/>
                <w:highlight w:val="none"/>
              </w:rPr>
              <w:t>发电</w:t>
            </w:r>
            <w:r>
              <w:rPr>
                <w:rFonts w:hint="eastAsia" w:ascii="Times New Roman" w:hAnsi="Times New Roman" w:eastAsia="宋体" w:cs="Times New Roman"/>
                <w:b/>
                <w:bCs/>
                <w:color w:val="auto"/>
                <w:kern w:val="0"/>
                <w:sz w:val="21"/>
                <w:szCs w:val="21"/>
                <w:highlight w:val="none"/>
                <w:lang w:val="en-US" w:eastAsia="zh-CN"/>
              </w:rPr>
              <w:t>时数</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973ACB">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Cs w:val="24"/>
                <w:highlight w:val="none"/>
                <w:lang w:val="en-US" w:eastAsia="zh-CN"/>
              </w:rPr>
              <w:t>1055</w:t>
            </w:r>
            <w:r>
              <w:rPr>
                <w:rFonts w:hint="eastAsia" w:ascii="Times New Roman" w:hAnsi="Times New Roman" w:eastAsia="宋体" w:cs="Times New Roman"/>
                <w:b w:val="0"/>
                <w:bCs w:val="0"/>
                <w:color w:val="auto"/>
                <w:kern w:val="0"/>
                <w:sz w:val="21"/>
                <w:szCs w:val="21"/>
                <w:highlight w:val="none"/>
                <w:lang w:val="en-US" w:eastAsia="zh-CN"/>
              </w:rPr>
              <w:t>小</w:t>
            </w:r>
            <w:r>
              <w:rPr>
                <w:rFonts w:hint="default" w:ascii="Times New Roman" w:hAnsi="Times New Roman" w:eastAsia="宋体" w:cs="Times New Roman"/>
                <w:b w:val="0"/>
                <w:bCs w:val="0"/>
                <w:color w:val="auto"/>
                <w:kern w:val="0"/>
                <w:sz w:val="21"/>
                <w:szCs w:val="21"/>
                <w:highlight w:val="none"/>
              </w:rPr>
              <w:t>时</w:t>
            </w:r>
          </w:p>
        </w:tc>
        <w:tc>
          <w:tcPr>
            <w:tcW w:w="18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65E267">
            <w:pPr>
              <w:keepNext w:val="0"/>
              <w:keepLines w:val="0"/>
              <w:widowControl/>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Cs w:val="24"/>
                <w:highlight w:val="none"/>
              </w:rPr>
            </w:pPr>
            <w:r>
              <w:rPr>
                <w:rFonts w:hint="eastAsia" w:ascii="Times New Roman" w:hAnsi="Times New Roman" w:eastAsia="宋体" w:cs="Times New Roman"/>
                <w:color w:val="auto"/>
                <w:kern w:val="0"/>
                <w:szCs w:val="24"/>
                <w:highlight w:val="none"/>
                <w:lang w:val="en-US" w:eastAsia="zh-CN"/>
              </w:rPr>
              <w:t>1029</w:t>
            </w:r>
            <w:r>
              <w:rPr>
                <w:rFonts w:hint="eastAsia" w:ascii="Times New Roman" w:hAnsi="Times New Roman" w:eastAsia="宋体" w:cs="Times New Roman"/>
                <w:b w:val="0"/>
                <w:bCs w:val="0"/>
                <w:color w:val="auto"/>
                <w:kern w:val="0"/>
                <w:sz w:val="21"/>
                <w:szCs w:val="21"/>
                <w:highlight w:val="none"/>
                <w:lang w:val="en-US" w:eastAsia="zh-CN"/>
              </w:rPr>
              <w:t>小</w:t>
            </w:r>
            <w:r>
              <w:rPr>
                <w:rFonts w:hint="default" w:ascii="Times New Roman" w:hAnsi="Times New Roman" w:eastAsia="宋体" w:cs="Times New Roman"/>
                <w:b w:val="0"/>
                <w:bCs w:val="0"/>
                <w:color w:val="auto"/>
                <w:kern w:val="0"/>
                <w:sz w:val="21"/>
                <w:szCs w:val="21"/>
                <w:highlight w:val="none"/>
              </w:rPr>
              <w:t>时</w:t>
            </w:r>
          </w:p>
        </w:tc>
        <w:tc>
          <w:tcPr>
            <w:tcW w:w="22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BDF617">
            <w:pPr>
              <w:keepNext w:val="0"/>
              <w:keepLines w:val="0"/>
              <w:widowControl/>
              <w:suppressLineNumbers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Cs w:val="24"/>
                <w:highlight w:val="none"/>
                <w:lang w:val="en-US" w:eastAsia="zh-CN"/>
              </w:rPr>
            </w:pPr>
            <w:r>
              <w:rPr>
                <w:rFonts w:hint="eastAsia" w:ascii="Times New Roman" w:hAnsi="Times New Roman" w:eastAsia="宋体" w:cs="Times New Roman"/>
                <w:color w:val="auto"/>
                <w:kern w:val="0"/>
                <w:szCs w:val="24"/>
                <w:highlight w:val="none"/>
                <w:lang w:val="en-US" w:eastAsia="zh-CN"/>
              </w:rPr>
              <w:t>不考核</w:t>
            </w:r>
          </w:p>
        </w:tc>
      </w:tr>
    </w:tbl>
    <w:p w14:paraId="160FAD4A">
      <w:pPr>
        <w:rPr>
          <w:rFonts w:hint="default" w:eastAsia="微软雅黑"/>
          <w:color w:val="auto"/>
          <w:highlight w:val="none"/>
          <w:lang w:val="en-US" w:eastAsia="zh-CN"/>
        </w:rPr>
      </w:pPr>
    </w:p>
    <w:p w14:paraId="77E1B794">
      <w:pPr>
        <w:shd w:val="clear"/>
        <w:rPr>
          <w:rFonts w:hint="eastAsia"/>
          <w:color w:val="auto"/>
          <w:sz w:val="28"/>
          <w:szCs w:val="28"/>
          <w:highlight w:val="none"/>
        </w:rPr>
      </w:pPr>
    </w:p>
    <w:p w14:paraId="63E8532D">
      <w:pPr>
        <w:shd w:val="clear"/>
        <w:rPr>
          <w:rFonts w:hint="eastAsia"/>
          <w:color w:val="auto"/>
          <w:sz w:val="28"/>
          <w:szCs w:val="28"/>
          <w:highlight w:val="none"/>
        </w:rPr>
      </w:pPr>
    </w:p>
    <w:p w14:paraId="5A65D4FF">
      <w:pPr>
        <w:shd w:val="clear"/>
        <w:rPr>
          <w:rFonts w:hint="eastAsia"/>
          <w:color w:val="auto"/>
          <w:sz w:val="28"/>
          <w:szCs w:val="28"/>
          <w:highlight w:val="none"/>
        </w:rPr>
      </w:pPr>
    </w:p>
    <w:p w14:paraId="2F90D676">
      <w:pPr>
        <w:shd w:val="clear"/>
        <w:rPr>
          <w:rFonts w:hint="eastAsia"/>
          <w:color w:val="auto"/>
          <w:sz w:val="28"/>
          <w:szCs w:val="28"/>
          <w:highlight w:val="none"/>
        </w:rPr>
      </w:pPr>
    </w:p>
    <w:p w14:paraId="52BD0F1E">
      <w:pPr>
        <w:shd w:val="clear"/>
        <w:rPr>
          <w:rFonts w:hint="eastAsia"/>
          <w:color w:val="auto"/>
          <w:sz w:val="28"/>
          <w:szCs w:val="28"/>
          <w:highlight w:val="none"/>
        </w:rPr>
      </w:pPr>
    </w:p>
    <w:p w14:paraId="01F538C0">
      <w:pPr>
        <w:shd w:val="clear"/>
        <w:rPr>
          <w:rFonts w:hint="eastAsia"/>
          <w:color w:val="auto"/>
          <w:sz w:val="28"/>
          <w:szCs w:val="28"/>
          <w:highlight w:val="none"/>
        </w:rPr>
      </w:pPr>
    </w:p>
    <w:p w14:paraId="6A08C01B">
      <w:pPr>
        <w:pStyle w:val="6"/>
        <w:shd w:val="clear"/>
        <w:spacing w:before="0" w:after="0" w:line="240" w:lineRule="auto"/>
        <w:rPr>
          <w:color w:val="auto"/>
          <w:sz w:val="24"/>
          <w:szCs w:val="24"/>
          <w:highlight w:val="none"/>
        </w:rPr>
      </w:pPr>
      <w:bookmarkStart w:id="22" w:name="_Toc17745"/>
      <w:r>
        <w:rPr>
          <w:rFonts w:hint="eastAsia"/>
          <w:color w:val="auto"/>
          <w:sz w:val="28"/>
          <w:szCs w:val="28"/>
          <w:highlight w:val="none"/>
        </w:rPr>
        <w:t>第四部分投标人须知</w:t>
      </w:r>
      <w:bookmarkEnd w:id="22"/>
    </w:p>
    <w:p w14:paraId="4A47F67C">
      <w:pPr>
        <w:pStyle w:val="7"/>
        <w:numPr>
          <w:ilvl w:val="0"/>
          <w:numId w:val="3"/>
        </w:numPr>
        <w:shd w:val="clear"/>
        <w:spacing w:before="0" w:after="0" w:line="480" w:lineRule="auto"/>
        <w:jc w:val="center"/>
        <w:rPr>
          <w:rFonts w:ascii="宋体" w:hAnsi="宋体"/>
          <w:color w:val="auto"/>
          <w:highlight w:val="none"/>
        </w:rPr>
      </w:pPr>
      <w:bookmarkStart w:id="23" w:name="_Toc31100"/>
      <w:r>
        <w:rPr>
          <w:rFonts w:hint="eastAsia" w:ascii="宋体" w:hAnsi="宋体"/>
          <w:color w:val="auto"/>
          <w:highlight w:val="none"/>
        </w:rPr>
        <w:t>说明</w:t>
      </w:r>
      <w:bookmarkEnd w:id="23"/>
    </w:p>
    <w:p w14:paraId="5693C09B">
      <w:pPr>
        <w:pStyle w:val="8"/>
        <w:widowControl w:val="0"/>
        <w:numPr>
          <w:ilvl w:val="0"/>
          <w:numId w:val="4"/>
        </w:numPr>
        <w:shd w:val="clear"/>
        <w:overflowPunct w:val="0"/>
        <w:rPr>
          <w:rFonts w:ascii="宋体" w:hAnsi="宋体" w:cs="宋体"/>
          <w:color w:val="auto"/>
          <w:sz w:val="21"/>
          <w:szCs w:val="21"/>
          <w:highlight w:val="none"/>
        </w:rPr>
      </w:pPr>
      <w:bookmarkStart w:id="24" w:name="_Toc8275"/>
      <w:r>
        <w:rPr>
          <w:rFonts w:hint="eastAsia" w:ascii="宋体" w:hAnsi="宋体" w:cs="宋体"/>
          <w:color w:val="auto"/>
          <w:sz w:val="21"/>
          <w:szCs w:val="21"/>
          <w:highlight w:val="none"/>
        </w:rPr>
        <w:t>适用范围</w:t>
      </w:r>
      <w:bookmarkEnd w:id="24"/>
    </w:p>
    <w:p w14:paraId="2A1A0674">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475F20E8">
      <w:pPr>
        <w:shd w:val="clear"/>
        <w:rPr>
          <w:rFonts w:ascii="宋体" w:hAnsi="宋体" w:cs="宋体"/>
          <w:color w:val="auto"/>
          <w:highlight w:val="none"/>
        </w:rPr>
      </w:pPr>
    </w:p>
    <w:p w14:paraId="43469EA5">
      <w:pPr>
        <w:pStyle w:val="8"/>
        <w:widowControl w:val="0"/>
        <w:numPr>
          <w:ilvl w:val="0"/>
          <w:numId w:val="4"/>
        </w:numPr>
        <w:shd w:val="clear"/>
        <w:overflowPunct w:val="0"/>
        <w:rPr>
          <w:rFonts w:ascii="宋体" w:hAnsi="宋体" w:cs="宋体"/>
          <w:color w:val="auto"/>
          <w:sz w:val="21"/>
          <w:szCs w:val="21"/>
          <w:highlight w:val="none"/>
        </w:rPr>
      </w:pPr>
      <w:bookmarkStart w:id="25" w:name="_Toc298847174"/>
      <w:bookmarkStart w:id="26" w:name="_Toc303084246"/>
      <w:bookmarkStart w:id="27" w:name="_Toc25528"/>
      <w:bookmarkStart w:id="28" w:name="_Toc1530"/>
      <w:bookmarkStart w:id="29" w:name="_Toc382049092"/>
      <w:r>
        <w:rPr>
          <w:rFonts w:hint="eastAsia" w:ascii="宋体" w:hAnsi="宋体" w:cs="宋体"/>
          <w:color w:val="auto"/>
          <w:sz w:val="21"/>
          <w:szCs w:val="21"/>
          <w:highlight w:val="none"/>
        </w:rPr>
        <w:t>定义</w:t>
      </w:r>
      <w:bookmarkEnd w:id="25"/>
      <w:bookmarkEnd w:id="26"/>
      <w:bookmarkEnd w:id="27"/>
      <w:bookmarkEnd w:id="28"/>
      <w:bookmarkEnd w:id="29"/>
    </w:p>
    <w:p w14:paraId="40333853">
      <w:pPr>
        <w:pStyle w:val="42"/>
        <w:widowControl w:val="0"/>
        <w:shd w:val="clear"/>
        <w:adjustRightInd/>
        <w:snapToGrid/>
        <w:ind w:left="425" w:firstLineChars="0"/>
        <w:jc w:val="both"/>
        <w:rPr>
          <w:rFonts w:ascii="宋体" w:hAnsi="宋体" w:cs="宋体"/>
          <w:vanish/>
          <w:color w:val="auto"/>
          <w:szCs w:val="21"/>
          <w:highlight w:val="none"/>
        </w:rPr>
      </w:pPr>
    </w:p>
    <w:p w14:paraId="142EC67A">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5114459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44AC33E2">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4B396233">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79DF2C04">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718090C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31D225DD">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396E304D">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2AFDA29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5D082D59">
      <w:pPr>
        <w:shd w:val="clear"/>
        <w:rPr>
          <w:rFonts w:ascii="宋体" w:hAnsi="宋体" w:cs="宋体"/>
          <w:color w:val="auto"/>
          <w:highlight w:val="none"/>
        </w:rPr>
      </w:pPr>
    </w:p>
    <w:p w14:paraId="3471F482">
      <w:pPr>
        <w:pStyle w:val="8"/>
        <w:widowControl w:val="0"/>
        <w:numPr>
          <w:ilvl w:val="0"/>
          <w:numId w:val="4"/>
        </w:numPr>
        <w:shd w:val="clear"/>
        <w:overflowPunct w:val="0"/>
        <w:rPr>
          <w:rFonts w:ascii="宋体" w:hAnsi="宋体" w:cs="宋体"/>
          <w:color w:val="auto"/>
          <w:sz w:val="21"/>
          <w:szCs w:val="21"/>
          <w:highlight w:val="none"/>
        </w:rPr>
      </w:pPr>
      <w:bookmarkStart w:id="30" w:name="_Toc11261"/>
      <w:r>
        <w:rPr>
          <w:rFonts w:hint="eastAsia" w:ascii="宋体" w:hAnsi="宋体" w:cs="宋体"/>
          <w:color w:val="auto"/>
          <w:sz w:val="21"/>
          <w:szCs w:val="21"/>
          <w:highlight w:val="none"/>
        </w:rPr>
        <w:t>货物和服务</w:t>
      </w:r>
      <w:bookmarkEnd w:id="30"/>
    </w:p>
    <w:p w14:paraId="781985BD">
      <w:pPr>
        <w:pStyle w:val="42"/>
        <w:widowControl w:val="0"/>
        <w:shd w:val="clear"/>
        <w:adjustRightInd/>
        <w:snapToGrid/>
        <w:ind w:left="425" w:firstLineChars="0"/>
        <w:jc w:val="both"/>
        <w:rPr>
          <w:rFonts w:ascii="宋体" w:hAnsi="宋体" w:cs="宋体"/>
          <w:vanish/>
          <w:color w:val="auto"/>
          <w:szCs w:val="21"/>
          <w:highlight w:val="none"/>
        </w:rPr>
      </w:pPr>
    </w:p>
    <w:p w14:paraId="70F4503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21DB2CA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5B1F1DC8">
      <w:pPr>
        <w:shd w:val="clear"/>
        <w:rPr>
          <w:rFonts w:ascii="宋体" w:hAnsi="宋体" w:cs="宋体"/>
          <w:color w:val="auto"/>
          <w:highlight w:val="none"/>
        </w:rPr>
      </w:pPr>
    </w:p>
    <w:p w14:paraId="034D6A52">
      <w:pPr>
        <w:pStyle w:val="8"/>
        <w:widowControl w:val="0"/>
        <w:numPr>
          <w:ilvl w:val="0"/>
          <w:numId w:val="4"/>
        </w:numPr>
        <w:shd w:val="clear"/>
        <w:overflowPunct w:val="0"/>
        <w:rPr>
          <w:rFonts w:ascii="宋体" w:hAnsi="宋体" w:cs="宋体"/>
          <w:color w:val="auto"/>
          <w:sz w:val="21"/>
          <w:szCs w:val="21"/>
          <w:highlight w:val="none"/>
        </w:rPr>
      </w:pPr>
      <w:bookmarkStart w:id="31" w:name="_Toc11581"/>
      <w:r>
        <w:rPr>
          <w:rFonts w:hint="eastAsia" w:ascii="宋体" w:hAnsi="宋体" w:cs="宋体"/>
          <w:color w:val="auto"/>
          <w:sz w:val="21"/>
          <w:szCs w:val="21"/>
          <w:highlight w:val="none"/>
        </w:rPr>
        <w:t>投标费用</w:t>
      </w:r>
      <w:bookmarkEnd w:id="31"/>
    </w:p>
    <w:p w14:paraId="2386E157">
      <w:pPr>
        <w:pStyle w:val="42"/>
        <w:widowControl w:val="0"/>
        <w:shd w:val="clear"/>
        <w:adjustRightInd/>
        <w:snapToGrid/>
        <w:ind w:left="425" w:firstLineChars="0"/>
        <w:jc w:val="both"/>
        <w:rPr>
          <w:rFonts w:ascii="宋体" w:hAnsi="宋体" w:cs="宋体"/>
          <w:vanish/>
          <w:color w:val="auto"/>
          <w:szCs w:val="21"/>
          <w:highlight w:val="none"/>
        </w:rPr>
      </w:pPr>
    </w:p>
    <w:p w14:paraId="1E7CDBD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4B806703">
      <w:pPr>
        <w:widowControl w:val="0"/>
        <w:shd w:val="clear"/>
        <w:adjustRightInd/>
        <w:snapToGrid/>
        <w:jc w:val="both"/>
        <w:rPr>
          <w:rFonts w:ascii="宋体" w:hAnsi="宋体" w:cs="宋体"/>
          <w:color w:val="auto"/>
          <w:szCs w:val="21"/>
          <w:highlight w:val="none"/>
        </w:rPr>
      </w:pPr>
    </w:p>
    <w:p w14:paraId="728AA08A">
      <w:pPr>
        <w:pStyle w:val="8"/>
        <w:widowControl w:val="0"/>
        <w:numPr>
          <w:ilvl w:val="0"/>
          <w:numId w:val="4"/>
        </w:numPr>
        <w:shd w:val="clear"/>
        <w:overflowPunct w:val="0"/>
        <w:rPr>
          <w:rFonts w:ascii="宋体" w:hAnsi="宋体" w:cs="宋体"/>
          <w:color w:val="auto"/>
          <w:sz w:val="21"/>
          <w:szCs w:val="21"/>
          <w:highlight w:val="none"/>
        </w:rPr>
      </w:pPr>
      <w:bookmarkStart w:id="32" w:name="_Toc9983"/>
      <w:r>
        <w:rPr>
          <w:rFonts w:hint="eastAsia" w:ascii="宋体" w:hAnsi="宋体" w:cs="宋体"/>
          <w:color w:val="auto"/>
          <w:sz w:val="21"/>
          <w:szCs w:val="21"/>
          <w:highlight w:val="none"/>
        </w:rPr>
        <w:t>知识产权</w:t>
      </w:r>
      <w:bookmarkEnd w:id="32"/>
    </w:p>
    <w:p w14:paraId="32BADE9A">
      <w:pPr>
        <w:pStyle w:val="42"/>
        <w:widowControl w:val="0"/>
        <w:shd w:val="clear"/>
        <w:adjustRightInd/>
        <w:snapToGrid/>
        <w:ind w:left="425" w:firstLineChars="0"/>
        <w:jc w:val="both"/>
        <w:rPr>
          <w:rFonts w:ascii="宋体" w:hAnsi="宋体" w:cs="宋体"/>
          <w:vanish/>
          <w:color w:val="auto"/>
          <w:szCs w:val="21"/>
          <w:highlight w:val="none"/>
        </w:rPr>
      </w:pPr>
    </w:p>
    <w:p w14:paraId="1C877CE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2DBE8784">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2B4994C4">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0EC92AD3">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0800239B">
      <w:pPr>
        <w:widowControl w:val="0"/>
        <w:shd w:val="clear"/>
        <w:adjustRightInd/>
        <w:snapToGrid/>
        <w:ind w:left="567"/>
        <w:jc w:val="both"/>
        <w:rPr>
          <w:rFonts w:ascii="宋体" w:hAnsi="宋体" w:cs="宋体"/>
          <w:color w:val="auto"/>
          <w:szCs w:val="21"/>
          <w:highlight w:val="none"/>
        </w:rPr>
      </w:pPr>
    </w:p>
    <w:p w14:paraId="1C5E3C04">
      <w:pPr>
        <w:pStyle w:val="8"/>
        <w:widowControl w:val="0"/>
        <w:numPr>
          <w:ilvl w:val="0"/>
          <w:numId w:val="4"/>
        </w:numPr>
        <w:shd w:val="clear"/>
        <w:overflowPunct w:val="0"/>
        <w:rPr>
          <w:rFonts w:ascii="宋体" w:hAnsi="宋体" w:cs="宋体"/>
          <w:color w:val="auto"/>
          <w:sz w:val="21"/>
          <w:szCs w:val="21"/>
          <w:highlight w:val="none"/>
        </w:rPr>
      </w:pPr>
      <w:bookmarkStart w:id="33" w:name="_Toc24098"/>
      <w:r>
        <w:rPr>
          <w:rFonts w:hint="eastAsia" w:ascii="宋体" w:hAnsi="宋体" w:cs="宋体"/>
          <w:color w:val="auto"/>
          <w:sz w:val="21"/>
          <w:szCs w:val="21"/>
          <w:highlight w:val="none"/>
        </w:rPr>
        <w:t>关于联合体投标</w:t>
      </w:r>
      <w:bookmarkEnd w:id="33"/>
    </w:p>
    <w:p w14:paraId="75E3E533">
      <w:pPr>
        <w:pStyle w:val="42"/>
        <w:widowControl w:val="0"/>
        <w:shd w:val="clear"/>
        <w:adjustRightInd/>
        <w:snapToGrid/>
        <w:ind w:left="425" w:firstLineChars="0"/>
        <w:jc w:val="both"/>
        <w:rPr>
          <w:rFonts w:ascii="宋体" w:hAnsi="宋体" w:cs="宋体"/>
          <w:vanish/>
          <w:color w:val="auto"/>
          <w:szCs w:val="21"/>
          <w:highlight w:val="none"/>
        </w:rPr>
      </w:pPr>
    </w:p>
    <w:p w14:paraId="71012098">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0D4B75B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53F8358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0BE5EA7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6AEFA64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1DE310A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29805BDA">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6D88F3E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6E0917B4">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497CB36C">
      <w:pPr>
        <w:widowControl w:val="0"/>
        <w:shd w:val="clear"/>
        <w:adjustRightInd/>
        <w:snapToGrid/>
        <w:ind w:left="567"/>
        <w:jc w:val="both"/>
        <w:rPr>
          <w:rFonts w:ascii="宋体" w:hAnsi="宋体" w:cs="宋体"/>
          <w:color w:val="auto"/>
          <w:szCs w:val="21"/>
          <w:highlight w:val="none"/>
        </w:rPr>
      </w:pPr>
    </w:p>
    <w:p w14:paraId="4C6BF611">
      <w:pPr>
        <w:pStyle w:val="8"/>
        <w:widowControl w:val="0"/>
        <w:numPr>
          <w:ilvl w:val="0"/>
          <w:numId w:val="4"/>
        </w:numPr>
        <w:shd w:val="clear"/>
        <w:overflowPunct w:val="0"/>
        <w:rPr>
          <w:rFonts w:ascii="宋体" w:hAnsi="宋体" w:cs="宋体"/>
          <w:color w:val="auto"/>
          <w:sz w:val="21"/>
          <w:szCs w:val="21"/>
          <w:highlight w:val="none"/>
        </w:rPr>
      </w:pPr>
      <w:bookmarkStart w:id="34" w:name="_Toc13489"/>
      <w:r>
        <w:rPr>
          <w:rFonts w:hint="eastAsia" w:ascii="宋体" w:hAnsi="宋体" w:cs="宋体"/>
          <w:color w:val="auto"/>
          <w:sz w:val="21"/>
          <w:szCs w:val="21"/>
          <w:highlight w:val="none"/>
        </w:rPr>
        <w:t>关于分支机构投标</w:t>
      </w:r>
      <w:bookmarkEnd w:id="34"/>
    </w:p>
    <w:p w14:paraId="26A57FDD">
      <w:pPr>
        <w:pStyle w:val="42"/>
        <w:widowControl w:val="0"/>
        <w:shd w:val="clear"/>
        <w:adjustRightInd/>
        <w:snapToGrid/>
        <w:ind w:left="425" w:firstLineChars="0"/>
        <w:jc w:val="both"/>
        <w:rPr>
          <w:rFonts w:ascii="宋体" w:hAnsi="宋体" w:cs="宋体"/>
          <w:vanish/>
          <w:color w:val="auto"/>
          <w:szCs w:val="21"/>
          <w:highlight w:val="none"/>
        </w:rPr>
      </w:pPr>
      <w:bookmarkStart w:id="35" w:name="EB389f116341dd4693875bc7987e7327f3"/>
    </w:p>
    <w:p w14:paraId="2C22B1F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5"/>
    </w:p>
    <w:p w14:paraId="266E5F4A">
      <w:pPr>
        <w:widowControl w:val="0"/>
        <w:shd w:val="clear"/>
        <w:adjustRightInd/>
        <w:snapToGrid/>
        <w:ind w:left="567"/>
        <w:jc w:val="both"/>
        <w:rPr>
          <w:rFonts w:ascii="宋体" w:hAnsi="宋体" w:cs="宋体"/>
          <w:color w:val="auto"/>
          <w:szCs w:val="21"/>
          <w:highlight w:val="none"/>
        </w:rPr>
      </w:pPr>
    </w:p>
    <w:p w14:paraId="4FABB633">
      <w:pPr>
        <w:pStyle w:val="8"/>
        <w:widowControl w:val="0"/>
        <w:numPr>
          <w:ilvl w:val="0"/>
          <w:numId w:val="4"/>
        </w:numPr>
        <w:shd w:val="clear"/>
        <w:overflowPunct w:val="0"/>
        <w:rPr>
          <w:rFonts w:ascii="宋体" w:hAnsi="宋体" w:cs="宋体"/>
          <w:color w:val="auto"/>
          <w:sz w:val="21"/>
          <w:szCs w:val="21"/>
          <w:highlight w:val="none"/>
        </w:rPr>
      </w:pPr>
      <w:bookmarkStart w:id="36" w:name="_Toc16785"/>
      <w:r>
        <w:rPr>
          <w:rFonts w:hint="eastAsia" w:ascii="宋体" w:hAnsi="宋体" w:cs="宋体"/>
          <w:color w:val="auto"/>
          <w:sz w:val="21"/>
          <w:szCs w:val="21"/>
          <w:highlight w:val="none"/>
        </w:rPr>
        <w:t>踏勘现场</w:t>
      </w:r>
      <w:bookmarkEnd w:id="36"/>
    </w:p>
    <w:p w14:paraId="7D65A36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43EC1FCE">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684AE77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2D3AEA7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4A7A9A7D">
      <w:pPr>
        <w:shd w:val="clear"/>
        <w:rPr>
          <w:rFonts w:ascii="宋体" w:hAnsi="宋体" w:cs="宋体"/>
          <w:color w:val="auto"/>
          <w:highlight w:val="none"/>
        </w:rPr>
      </w:pPr>
    </w:p>
    <w:p w14:paraId="38EB2444">
      <w:pPr>
        <w:pStyle w:val="7"/>
        <w:numPr>
          <w:ilvl w:val="0"/>
          <w:numId w:val="3"/>
        </w:numPr>
        <w:shd w:val="clear"/>
        <w:spacing w:before="0" w:after="0" w:line="360" w:lineRule="auto"/>
        <w:jc w:val="center"/>
        <w:rPr>
          <w:rFonts w:ascii="宋体" w:hAnsi="宋体" w:cs="宋体"/>
          <w:color w:val="auto"/>
          <w:highlight w:val="none"/>
        </w:rPr>
      </w:pPr>
      <w:bookmarkStart w:id="37" w:name="_Toc7162"/>
      <w:r>
        <w:rPr>
          <w:rFonts w:hint="eastAsia" w:ascii="宋体" w:hAnsi="宋体" w:cs="宋体"/>
          <w:color w:val="auto"/>
          <w:highlight w:val="none"/>
        </w:rPr>
        <w:t>采购文件</w:t>
      </w:r>
      <w:bookmarkEnd w:id="37"/>
    </w:p>
    <w:p w14:paraId="69622ED7">
      <w:pPr>
        <w:pStyle w:val="8"/>
        <w:widowControl w:val="0"/>
        <w:numPr>
          <w:ilvl w:val="0"/>
          <w:numId w:val="4"/>
        </w:numPr>
        <w:shd w:val="clear"/>
        <w:overflowPunct w:val="0"/>
        <w:rPr>
          <w:rFonts w:ascii="宋体" w:hAnsi="宋体" w:cs="宋体"/>
          <w:color w:val="auto"/>
          <w:sz w:val="21"/>
          <w:szCs w:val="21"/>
          <w:highlight w:val="none"/>
        </w:rPr>
      </w:pPr>
      <w:bookmarkStart w:id="38" w:name="_Toc12690"/>
      <w:r>
        <w:rPr>
          <w:rFonts w:hint="eastAsia" w:ascii="宋体" w:hAnsi="宋体" w:cs="宋体"/>
          <w:color w:val="auto"/>
          <w:sz w:val="21"/>
          <w:szCs w:val="21"/>
          <w:highlight w:val="none"/>
        </w:rPr>
        <w:t>采购文件的组成</w:t>
      </w:r>
      <w:bookmarkEnd w:id="38"/>
    </w:p>
    <w:p w14:paraId="29040D39">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73CA24A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51D4038E">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（1）投标邀请书；</w:t>
      </w:r>
    </w:p>
    <w:p w14:paraId="2550AC14">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（2）投标资料表；</w:t>
      </w:r>
    </w:p>
    <w:p w14:paraId="5B21A530">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（3）用户需求书；</w:t>
      </w:r>
    </w:p>
    <w:p w14:paraId="4752FF4A">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（4）投标人须知；</w:t>
      </w:r>
    </w:p>
    <w:p w14:paraId="66C46478">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14:paraId="2AA67681">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（6）投标文件格式；</w:t>
      </w:r>
    </w:p>
    <w:p w14:paraId="79AFD268">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09386CD9">
      <w:pPr>
        <w:shd w:val="clear"/>
        <w:rPr>
          <w:rFonts w:ascii="宋体" w:hAnsi="宋体" w:cs="宋体"/>
          <w:color w:val="auto"/>
          <w:highlight w:val="none"/>
        </w:rPr>
      </w:pPr>
    </w:p>
    <w:p w14:paraId="3E6D7926">
      <w:pPr>
        <w:pStyle w:val="8"/>
        <w:widowControl w:val="0"/>
        <w:numPr>
          <w:ilvl w:val="0"/>
          <w:numId w:val="4"/>
        </w:numPr>
        <w:shd w:val="clear"/>
        <w:overflowPunct w:val="0"/>
        <w:rPr>
          <w:rFonts w:ascii="宋体" w:hAnsi="宋体" w:cs="宋体"/>
          <w:color w:val="auto"/>
          <w:sz w:val="21"/>
          <w:szCs w:val="21"/>
          <w:highlight w:val="none"/>
        </w:rPr>
      </w:pPr>
      <w:bookmarkStart w:id="39" w:name="_Toc19071"/>
      <w:r>
        <w:rPr>
          <w:rFonts w:hint="eastAsia" w:ascii="宋体" w:hAnsi="宋体" w:cs="宋体"/>
          <w:color w:val="auto"/>
          <w:sz w:val="21"/>
          <w:szCs w:val="21"/>
          <w:highlight w:val="none"/>
        </w:rPr>
        <w:t>采购文件的澄清或修改</w:t>
      </w:r>
      <w:bookmarkEnd w:id="39"/>
    </w:p>
    <w:p w14:paraId="0C15E831">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3DB8394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552B58F3">
      <w:pPr>
        <w:widowControl w:val="0"/>
        <w:numPr>
          <w:ilvl w:val="1"/>
          <w:numId w:val="4"/>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4C93898C">
      <w:pPr>
        <w:widowControl w:val="0"/>
        <w:shd w:val="clear"/>
        <w:adjustRightInd/>
        <w:snapToGrid/>
        <w:ind w:left="567"/>
        <w:jc w:val="both"/>
        <w:rPr>
          <w:rFonts w:ascii="宋体" w:hAnsi="宋体" w:cs="宋体"/>
          <w:color w:val="auto"/>
          <w:szCs w:val="21"/>
          <w:highlight w:val="none"/>
        </w:rPr>
      </w:pPr>
    </w:p>
    <w:p w14:paraId="7B1510BE">
      <w:pPr>
        <w:pStyle w:val="7"/>
        <w:numPr>
          <w:ilvl w:val="0"/>
          <w:numId w:val="3"/>
        </w:numPr>
        <w:shd w:val="clear"/>
        <w:spacing w:before="0" w:after="0" w:line="360" w:lineRule="auto"/>
        <w:jc w:val="center"/>
        <w:rPr>
          <w:rFonts w:ascii="宋体" w:hAnsi="宋体" w:cs="宋体"/>
          <w:color w:val="auto"/>
          <w:highlight w:val="none"/>
        </w:rPr>
      </w:pPr>
      <w:bookmarkStart w:id="40" w:name="_Toc23053"/>
      <w:r>
        <w:rPr>
          <w:rFonts w:hint="eastAsia" w:ascii="宋体" w:hAnsi="宋体" w:cs="宋体"/>
          <w:color w:val="auto"/>
          <w:highlight w:val="none"/>
        </w:rPr>
        <w:t>投标文件的编制</w:t>
      </w:r>
      <w:bookmarkEnd w:id="40"/>
    </w:p>
    <w:p w14:paraId="29ED6321">
      <w:pPr>
        <w:pStyle w:val="8"/>
        <w:widowControl w:val="0"/>
        <w:numPr>
          <w:ilvl w:val="0"/>
          <w:numId w:val="4"/>
        </w:numPr>
        <w:shd w:val="clear"/>
        <w:overflowPunct w:val="0"/>
        <w:rPr>
          <w:rFonts w:ascii="宋体" w:hAnsi="宋体" w:cs="宋体"/>
          <w:color w:val="auto"/>
          <w:sz w:val="21"/>
          <w:szCs w:val="21"/>
          <w:highlight w:val="none"/>
        </w:rPr>
      </w:pPr>
      <w:bookmarkStart w:id="41" w:name="_Toc9742"/>
      <w:r>
        <w:rPr>
          <w:rFonts w:hint="eastAsia" w:ascii="宋体" w:hAnsi="宋体" w:cs="宋体"/>
          <w:color w:val="auto"/>
          <w:sz w:val="21"/>
          <w:szCs w:val="21"/>
          <w:highlight w:val="none"/>
        </w:rPr>
        <w:t>投标文件的语言及度量衡单位</w:t>
      </w:r>
      <w:bookmarkEnd w:id="41"/>
    </w:p>
    <w:p w14:paraId="251449CC">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3AF73660">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03AF2236">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0C5FB2F8">
      <w:pPr>
        <w:widowControl w:val="0"/>
        <w:shd w:val="clear"/>
        <w:adjustRightInd/>
        <w:snapToGrid/>
        <w:ind w:left="567"/>
        <w:jc w:val="both"/>
        <w:rPr>
          <w:rFonts w:ascii="宋体" w:hAnsi="宋体" w:cs="宋体"/>
          <w:color w:val="auto"/>
          <w:szCs w:val="21"/>
          <w:highlight w:val="none"/>
        </w:rPr>
      </w:pPr>
    </w:p>
    <w:p w14:paraId="6B63F3C8">
      <w:pPr>
        <w:pStyle w:val="8"/>
        <w:widowControl w:val="0"/>
        <w:numPr>
          <w:ilvl w:val="0"/>
          <w:numId w:val="4"/>
        </w:numPr>
        <w:shd w:val="clear"/>
        <w:overflowPunct w:val="0"/>
        <w:rPr>
          <w:rFonts w:ascii="宋体" w:hAnsi="宋体" w:cs="宋体"/>
          <w:color w:val="auto"/>
          <w:sz w:val="21"/>
          <w:szCs w:val="21"/>
          <w:highlight w:val="none"/>
        </w:rPr>
      </w:pPr>
      <w:bookmarkStart w:id="42" w:name="_Toc382049103"/>
      <w:bookmarkStart w:id="43" w:name="_Toc28866"/>
      <w:bookmarkStart w:id="44" w:name="_Toc303084256"/>
      <w:bookmarkStart w:id="45" w:name="_Toc29944"/>
      <w:bookmarkStart w:id="46" w:name="_Toc307934854"/>
      <w:r>
        <w:rPr>
          <w:rFonts w:hint="eastAsia" w:ascii="宋体" w:hAnsi="宋体" w:cs="宋体"/>
          <w:color w:val="auto"/>
          <w:sz w:val="21"/>
          <w:szCs w:val="21"/>
          <w:highlight w:val="none"/>
        </w:rPr>
        <w:t>投标文件的组成</w:t>
      </w:r>
      <w:bookmarkEnd w:id="42"/>
      <w:bookmarkEnd w:id="43"/>
      <w:bookmarkEnd w:id="44"/>
      <w:bookmarkEnd w:id="45"/>
      <w:bookmarkEnd w:id="46"/>
    </w:p>
    <w:p w14:paraId="55DF6BD4">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030BDA8E">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68E87EC8">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464EFA16">
      <w:pPr>
        <w:shd w:val="clear"/>
        <w:rPr>
          <w:rFonts w:ascii="宋体" w:hAnsi="宋体" w:cs="宋体"/>
          <w:color w:val="auto"/>
          <w:highlight w:val="none"/>
        </w:rPr>
      </w:pPr>
    </w:p>
    <w:p w14:paraId="6611013C">
      <w:pPr>
        <w:pStyle w:val="8"/>
        <w:widowControl w:val="0"/>
        <w:numPr>
          <w:ilvl w:val="0"/>
          <w:numId w:val="4"/>
        </w:numPr>
        <w:shd w:val="clear"/>
        <w:overflowPunct w:val="0"/>
        <w:rPr>
          <w:rFonts w:ascii="宋体" w:hAnsi="宋体" w:cs="宋体"/>
          <w:color w:val="auto"/>
          <w:sz w:val="21"/>
          <w:szCs w:val="21"/>
          <w:highlight w:val="none"/>
        </w:rPr>
      </w:pPr>
      <w:bookmarkStart w:id="47" w:name="_Toc18087"/>
      <w:r>
        <w:rPr>
          <w:rFonts w:hint="eastAsia" w:ascii="宋体" w:hAnsi="宋体" w:cs="宋体"/>
          <w:color w:val="auto"/>
          <w:sz w:val="21"/>
          <w:szCs w:val="21"/>
          <w:highlight w:val="none"/>
        </w:rPr>
        <w:t>投标文件编制</w:t>
      </w:r>
      <w:bookmarkEnd w:id="47"/>
    </w:p>
    <w:p w14:paraId="4253FD11">
      <w:pPr>
        <w:pStyle w:val="42"/>
        <w:widowControl w:val="0"/>
        <w:numPr>
          <w:ilvl w:val="0"/>
          <w:numId w:val="5"/>
        </w:numPr>
        <w:shd w:val="clear"/>
        <w:adjustRightInd/>
        <w:snapToGrid/>
        <w:ind w:firstLineChars="0"/>
        <w:jc w:val="both"/>
        <w:rPr>
          <w:rFonts w:ascii="宋体" w:hAnsi="宋体" w:cs="宋体"/>
          <w:vanish/>
          <w:color w:val="auto"/>
          <w:szCs w:val="21"/>
          <w:highlight w:val="none"/>
        </w:rPr>
      </w:pPr>
      <w:bookmarkStart w:id="48" w:name="_Toc303084258"/>
    </w:p>
    <w:p w14:paraId="1C61204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49C1529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38988B63">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5B6C88A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4E198DE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1EEF7E80">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558FF7CC">
      <w:pPr>
        <w:pStyle w:val="42"/>
        <w:widowControl w:val="0"/>
        <w:numPr>
          <w:ilvl w:val="0"/>
          <w:numId w:val="6"/>
        </w:numPr>
        <w:shd w:val="clea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3252906B">
      <w:pPr>
        <w:pStyle w:val="42"/>
        <w:widowControl w:val="0"/>
        <w:numPr>
          <w:ilvl w:val="0"/>
          <w:numId w:val="6"/>
        </w:numPr>
        <w:shd w:val="clea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52409C8C">
      <w:pPr>
        <w:keepNext w:val="0"/>
        <w:keepLines w:val="0"/>
        <w:pageBreakBefore w:val="0"/>
        <w:widowControl w:val="0"/>
        <w:numPr>
          <w:ilvl w:val="1"/>
          <w:numId w:val="4"/>
        </w:numPr>
        <w:shd w:val="clear"/>
        <w:kinsoku/>
        <w:wordWrap/>
        <w:overflowPunct w:val="0"/>
        <w:topLinePunct w:val="0"/>
        <w:autoSpaceDE/>
        <w:autoSpaceDN/>
        <w:bidi w:val="0"/>
        <w:spacing w:line="264" w:lineRule="auto"/>
        <w:textAlignment w:val="auto"/>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2561E152">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5C15EF29">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4984F12E">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41732CE7">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59F7557E">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3A788A19">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8"/>
    <w:p w14:paraId="44859131">
      <w:pPr>
        <w:shd w:val="clear"/>
        <w:rPr>
          <w:rFonts w:ascii="宋体" w:hAnsi="宋体" w:cs="宋体"/>
          <w:color w:val="auto"/>
          <w:highlight w:val="none"/>
        </w:rPr>
      </w:pPr>
    </w:p>
    <w:p w14:paraId="2E2B5ED6">
      <w:pPr>
        <w:pStyle w:val="8"/>
        <w:widowControl w:val="0"/>
        <w:numPr>
          <w:ilvl w:val="0"/>
          <w:numId w:val="4"/>
        </w:numPr>
        <w:shd w:val="clear"/>
        <w:overflowPunct w:val="0"/>
        <w:rPr>
          <w:rFonts w:ascii="宋体" w:hAnsi="宋体" w:cs="宋体"/>
          <w:color w:val="auto"/>
          <w:sz w:val="21"/>
          <w:szCs w:val="21"/>
          <w:highlight w:val="none"/>
        </w:rPr>
      </w:pPr>
      <w:bookmarkStart w:id="49" w:name="_Toc20678"/>
      <w:r>
        <w:rPr>
          <w:rFonts w:hint="eastAsia" w:ascii="宋体" w:hAnsi="宋体" w:cs="宋体"/>
          <w:color w:val="auto"/>
          <w:sz w:val="21"/>
          <w:szCs w:val="21"/>
          <w:highlight w:val="none"/>
        </w:rPr>
        <w:t>投标报价说明</w:t>
      </w:r>
      <w:bookmarkEnd w:id="49"/>
    </w:p>
    <w:p w14:paraId="28E0DD73">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758EAB8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1FD2C64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38BBC1D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694E37BE">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1481BC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493B38F7">
      <w:pPr>
        <w:shd w:val="clear"/>
        <w:rPr>
          <w:rFonts w:ascii="宋体" w:hAnsi="宋体" w:cs="宋体"/>
          <w:color w:val="auto"/>
          <w:highlight w:val="none"/>
        </w:rPr>
      </w:pPr>
    </w:p>
    <w:p w14:paraId="7EEC6E3B">
      <w:pPr>
        <w:pStyle w:val="8"/>
        <w:widowControl w:val="0"/>
        <w:numPr>
          <w:ilvl w:val="0"/>
          <w:numId w:val="4"/>
        </w:numPr>
        <w:shd w:val="clear"/>
        <w:overflowPunct w:val="0"/>
        <w:rPr>
          <w:rFonts w:ascii="宋体" w:hAnsi="宋体" w:cs="宋体"/>
          <w:color w:val="auto"/>
          <w:sz w:val="21"/>
          <w:szCs w:val="21"/>
          <w:highlight w:val="none"/>
        </w:rPr>
      </w:pPr>
      <w:bookmarkStart w:id="50" w:name="_Toc17812"/>
      <w:r>
        <w:rPr>
          <w:rFonts w:hint="eastAsia" w:ascii="宋体" w:hAnsi="宋体" w:cs="宋体"/>
          <w:color w:val="auto"/>
          <w:sz w:val="21"/>
          <w:szCs w:val="21"/>
          <w:highlight w:val="none"/>
        </w:rPr>
        <w:t>投标人所提供的服务或货物的证明文件</w:t>
      </w:r>
      <w:bookmarkEnd w:id="50"/>
    </w:p>
    <w:p w14:paraId="78F4FA98">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2D18F676">
      <w:pPr>
        <w:widowControl w:val="0"/>
        <w:numPr>
          <w:ilvl w:val="1"/>
          <w:numId w:val="4"/>
        </w:numPr>
        <w:shd w:val="clear"/>
        <w:overflowPunct w:val="0"/>
        <w:rPr>
          <w:rFonts w:ascii="宋体" w:hAnsi="宋体" w:cs="宋体"/>
          <w:color w:val="auto"/>
          <w:szCs w:val="21"/>
          <w:highlight w:val="none"/>
        </w:rPr>
      </w:pPr>
      <w:bookmarkStart w:id="51" w:name="_Hlt107925668"/>
      <w:bookmarkEnd w:id="51"/>
      <w:bookmarkStart w:id="52" w:name="_Hlt107925638"/>
      <w:bookmarkEnd w:id="52"/>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45F0A206">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3AD71FA4">
      <w:pPr>
        <w:pStyle w:val="42"/>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2D17D486">
      <w:pPr>
        <w:pStyle w:val="42"/>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127F43C4">
      <w:pPr>
        <w:pStyle w:val="42"/>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（1）使用伪造、变造的许可证件；</w:t>
      </w:r>
    </w:p>
    <w:p w14:paraId="4FB0324B">
      <w:pPr>
        <w:pStyle w:val="42"/>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（2）提供虚假的财务状况或者业绩；</w:t>
      </w:r>
    </w:p>
    <w:p w14:paraId="0ADE80AD">
      <w:pPr>
        <w:pStyle w:val="42"/>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0D311377">
      <w:pPr>
        <w:pStyle w:val="42"/>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（4）提供虚假的信用状况；</w:t>
      </w:r>
    </w:p>
    <w:p w14:paraId="5B520123">
      <w:pPr>
        <w:pStyle w:val="42"/>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（5）其他弄虚作假的行为。</w:t>
      </w:r>
    </w:p>
    <w:p w14:paraId="34D58855">
      <w:pPr>
        <w:pStyle w:val="8"/>
        <w:widowControl w:val="0"/>
        <w:numPr>
          <w:ilvl w:val="0"/>
          <w:numId w:val="4"/>
        </w:numPr>
        <w:shd w:val="clear"/>
        <w:overflowPunct w:val="0"/>
        <w:rPr>
          <w:rFonts w:ascii="宋体" w:hAnsi="宋体" w:cs="宋体"/>
          <w:color w:val="auto"/>
          <w:sz w:val="21"/>
          <w:szCs w:val="21"/>
          <w:highlight w:val="none"/>
        </w:rPr>
      </w:pPr>
      <w:bookmarkStart w:id="53" w:name="_Toc15258"/>
      <w:r>
        <w:rPr>
          <w:rFonts w:hint="eastAsia" w:ascii="宋体" w:hAnsi="宋体" w:cs="宋体"/>
          <w:color w:val="auto"/>
          <w:sz w:val="21"/>
          <w:szCs w:val="21"/>
          <w:highlight w:val="none"/>
        </w:rPr>
        <w:t>投标有效期</w:t>
      </w:r>
      <w:bookmarkEnd w:id="53"/>
    </w:p>
    <w:p w14:paraId="15185C0E">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1B9D888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0CE8BD47">
      <w:pPr>
        <w:widowControl w:val="0"/>
        <w:shd w:val="clear"/>
        <w:adjustRightInd/>
        <w:snapToGrid/>
        <w:ind w:left="567"/>
        <w:jc w:val="both"/>
        <w:rPr>
          <w:rFonts w:ascii="宋体" w:hAnsi="宋体" w:cs="宋体"/>
          <w:color w:val="auto"/>
          <w:highlight w:val="none"/>
        </w:rPr>
      </w:pPr>
    </w:p>
    <w:p w14:paraId="273F5B30">
      <w:pPr>
        <w:pStyle w:val="8"/>
        <w:widowControl w:val="0"/>
        <w:numPr>
          <w:ilvl w:val="0"/>
          <w:numId w:val="4"/>
        </w:numPr>
        <w:shd w:val="clear"/>
        <w:overflowPunct w:val="0"/>
        <w:rPr>
          <w:rFonts w:ascii="宋体" w:hAnsi="宋体" w:cs="宋体"/>
          <w:color w:val="auto"/>
          <w:sz w:val="21"/>
          <w:szCs w:val="21"/>
          <w:highlight w:val="none"/>
        </w:rPr>
      </w:pPr>
      <w:bookmarkStart w:id="54" w:name="_Toc29288"/>
      <w:r>
        <w:rPr>
          <w:rFonts w:hint="eastAsia" w:ascii="宋体" w:hAnsi="宋体" w:cs="宋体"/>
          <w:color w:val="auto"/>
          <w:sz w:val="21"/>
          <w:szCs w:val="21"/>
          <w:highlight w:val="none"/>
        </w:rPr>
        <w:t>投标保证金</w:t>
      </w:r>
      <w:bookmarkEnd w:id="54"/>
    </w:p>
    <w:p w14:paraId="5162DF72">
      <w:pPr>
        <w:pStyle w:val="42"/>
        <w:widowControl w:val="0"/>
        <w:numPr>
          <w:ilvl w:val="0"/>
          <w:numId w:val="5"/>
        </w:numPr>
        <w:shd w:val="clear"/>
        <w:adjustRightInd/>
        <w:snapToGrid/>
        <w:ind w:firstLineChars="0"/>
        <w:jc w:val="both"/>
        <w:rPr>
          <w:rFonts w:ascii="宋体" w:hAnsi="宋体" w:cs="宋体"/>
          <w:vanish/>
          <w:color w:val="auto"/>
          <w:szCs w:val="21"/>
          <w:highlight w:val="none"/>
        </w:rPr>
      </w:pPr>
      <w:bookmarkStart w:id="55" w:name="_Ref179619405"/>
    </w:p>
    <w:p w14:paraId="0FC99E9A">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55"/>
    </w:p>
    <w:p w14:paraId="78192C6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2258D07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47715D9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3904EE9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647C624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145A371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42E07BBE">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5C2BBE35">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526BF4AF">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4FCACD83">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4556860D">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237CDBD0">
      <w:pPr>
        <w:shd w:val="clear"/>
        <w:rPr>
          <w:rFonts w:ascii="宋体" w:hAnsi="宋体" w:cs="宋体"/>
          <w:color w:val="auto"/>
          <w:highlight w:val="none"/>
        </w:rPr>
      </w:pPr>
    </w:p>
    <w:p w14:paraId="416B44E7">
      <w:pPr>
        <w:pStyle w:val="7"/>
        <w:numPr>
          <w:ilvl w:val="0"/>
          <w:numId w:val="3"/>
        </w:numPr>
        <w:shd w:val="clear"/>
        <w:spacing w:before="0" w:after="0" w:line="360" w:lineRule="auto"/>
        <w:jc w:val="center"/>
        <w:rPr>
          <w:rFonts w:ascii="宋体" w:hAnsi="宋体" w:cs="宋体"/>
          <w:color w:val="auto"/>
          <w:highlight w:val="none"/>
        </w:rPr>
      </w:pPr>
      <w:bookmarkStart w:id="56" w:name="_Toc204"/>
      <w:r>
        <w:rPr>
          <w:rFonts w:hint="eastAsia" w:ascii="宋体" w:hAnsi="宋体" w:cs="宋体"/>
          <w:color w:val="auto"/>
          <w:highlight w:val="none"/>
        </w:rPr>
        <w:t>投标文件的递交</w:t>
      </w:r>
      <w:bookmarkEnd w:id="56"/>
    </w:p>
    <w:p w14:paraId="2C314F63">
      <w:pPr>
        <w:pStyle w:val="8"/>
        <w:widowControl w:val="0"/>
        <w:numPr>
          <w:ilvl w:val="0"/>
          <w:numId w:val="4"/>
        </w:numPr>
        <w:shd w:val="clear"/>
        <w:overflowPunct w:val="0"/>
        <w:rPr>
          <w:rFonts w:ascii="宋体" w:hAnsi="宋体" w:cs="宋体"/>
          <w:color w:val="auto"/>
          <w:sz w:val="21"/>
          <w:szCs w:val="21"/>
          <w:highlight w:val="none"/>
        </w:rPr>
      </w:pPr>
      <w:bookmarkStart w:id="57" w:name="_Toc382049111"/>
      <w:bookmarkStart w:id="58" w:name="_Toc24997"/>
      <w:bookmarkStart w:id="59" w:name="_Toc1254"/>
      <w:bookmarkStart w:id="60" w:name="_Toc303084264"/>
      <w:r>
        <w:rPr>
          <w:rFonts w:hint="eastAsia" w:ascii="宋体" w:hAnsi="宋体" w:cs="宋体"/>
          <w:color w:val="auto"/>
          <w:sz w:val="21"/>
          <w:szCs w:val="21"/>
          <w:highlight w:val="none"/>
        </w:rPr>
        <w:t>投标文件的装订，签署，密封和标记</w:t>
      </w:r>
      <w:bookmarkEnd w:id="57"/>
      <w:bookmarkEnd w:id="58"/>
      <w:bookmarkEnd w:id="59"/>
      <w:bookmarkEnd w:id="60"/>
    </w:p>
    <w:p w14:paraId="5988211D">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7C35B672">
      <w:pPr>
        <w:widowControl w:val="0"/>
        <w:numPr>
          <w:ilvl w:val="1"/>
          <w:numId w:val="4"/>
        </w:numPr>
        <w:shd w:val="clea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5A01A506">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0CF437C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135E019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439AB5E8">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29380C6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1FB472F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497061D3">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4BE81B18">
      <w:pPr>
        <w:widowControl w:val="0"/>
        <w:numPr>
          <w:ilvl w:val="1"/>
          <w:numId w:val="4"/>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0846FBA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7CF9CF59">
      <w:pPr>
        <w:keepNext w:val="0"/>
        <w:keepLines w:val="0"/>
        <w:pageBreakBefore w:val="0"/>
        <w:widowControl w:val="0"/>
        <w:numPr>
          <w:ilvl w:val="0"/>
          <w:numId w:val="7"/>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 xml:space="preserve">收件人： </w:t>
      </w:r>
    </w:p>
    <w:p w14:paraId="71489A58">
      <w:pPr>
        <w:keepNext w:val="0"/>
        <w:keepLines w:val="0"/>
        <w:pageBreakBefore w:val="0"/>
        <w:widowControl w:val="0"/>
        <w:numPr>
          <w:ilvl w:val="0"/>
          <w:numId w:val="7"/>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投标单位名称：</w:t>
      </w:r>
    </w:p>
    <w:p w14:paraId="6E8B63D6">
      <w:pPr>
        <w:keepNext w:val="0"/>
        <w:keepLines w:val="0"/>
        <w:pageBreakBefore w:val="0"/>
        <w:widowControl w:val="0"/>
        <w:numPr>
          <w:ilvl w:val="0"/>
          <w:numId w:val="7"/>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项目名称：</w:t>
      </w:r>
    </w:p>
    <w:p w14:paraId="370AC23E">
      <w:pPr>
        <w:keepNext w:val="0"/>
        <w:keepLines w:val="0"/>
        <w:pageBreakBefore w:val="0"/>
        <w:widowControl w:val="0"/>
        <w:numPr>
          <w:ilvl w:val="0"/>
          <w:numId w:val="7"/>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项目采购项目编号：</w:t>
      </w:r>
    </w:p>
    <w:p w14:paraId="02242E6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3BFEB92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4CDA24F8">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5745806E">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13DF17A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221B4963">
      <w:pPr>
        <w:shd w:val="clear"/>
        <w:rPr>
          <w:rFonts w:ascii="宋体" w:hAnsi="宋体" w:cs="宋体"/>
          <w:color w:val="auto"/>
          <w:highlight w:val="none"/>
        </w:rPr>
      </w:pPr>
    </w:p>
    <w:p w14:paraId="577420BE">
      <w:pPr>
        <w:pStyle w:val="8"/>
        <w:widowControl w:val="0"/>
        <w:numPr>
          <w:ilvl w:val="0"/>
          <w:numId w:val="4"/>
        </w:numPr>
        <w:shd w:val="clear"/>
        <w:overflowPunct w:val="0"/>
        <w:rPr>
          <w:rFonts w:ascii="宋体" w:hAnsi="宋体" w:cs="宋体"/>
          <w:color w:val="auto"/>
          <w:sz w:val="21"/>
          <w:szCs w:val="21"/>
          <w:highlight w:val="none"/>
        </w:rPr>
      </w:pPr>
      <w:bookmarkStart w:id="61" w:name="_Toc21431"/>
      <w:r>
        <w:rPr>
          <w:rFonts w:hint="eastAsia" w:ascii="宋体" w:hAnsi="宋体" w:cs="宋体"/>
          <w:color w:val="auto"/>
          <w:sz w:val="21"/>
          <w:szCs w:val="21"/>
          <w:highlight w:val="none"/>
        </w:rPr>
        <w:t>迟交的投标文件</w:t>
      </w:r>
      <w:bookmarkEnd w:id="61"/>
    </w:p>
    <w:p w14:paraId="4D862653">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1F34A05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6964D9B8">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6E99B266">
      <w:pPr>
        <w:shd w:val="clear"/>
        <w:rPr>
          <w:rFonts w:ascii="宋体" w:hAnsi="宋体" w:cs="宋体"/>
          <w:color w:val="auto"/>
          <w:highlight w:val="none"/>
        </w:rPr>
      </w:pPr>
    </w:p>
    <w:p w14:paraId="35E59D69">
      <w:pPr>
        <w:pStyle w:val="8"/>
        <w:widowControl w:val="0"/>
        <w:numPr>
          <w:ilvl w:val="0"/>
          <w:numId w:val="4"/>
        </w:numPr>
        <w:shd w:val="clear"/>
        <w:overflowPunct w:val="0"/>
        <w:rPr>
          <w:rFonts w:ascii="宋体" w:hAnsi="宋体" w:cs="宋体"/>
          <w:color w:val="auto"/>
          <w:sz w:val="21"/>
          <w:szCs w:val="21"/>
          <w:highlight w:val="none"/>
        </w:rPr>
      </w:pPr>
      <w:bookmarkStart w:id="62" w:name="_Toc23318"/>
      <w:r>
        <w:rPr>
          <w:rFonts w:hint="eastAsia" w:ascii="宋体" w:hAnsi="宋体" w:cs="宋体"/>
          <w:color w:val="auto"/>
          <w:sz w:val="21"/>
          <w:szCs w:val="21"/>
          <w:highlight w:val="none"/>
        </w:rPr>
        <w:t>投标样品（如需提交）</w:t>
      </w:r>
      <w:bookmarkEnd w:id="62"/>
    </w:p>
    <w:p w14:paraId="63BF62BA">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6D6C06B2">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1860279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06B41F12">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778DF133">
      <w:pPr>
        <w:shd w:val="clear"/>
        <w:rPr>
          <w:rFonts w:ascii="宋体" w:hAnsi="宋体" w:cs="宋体"/>
          <w:color w:val="auto"/>
          <w:highlight w:val="none"/>
        </w:rPr>
      </w:pPr>
    </w:p>
    <w:p w14:paraId="4FFD8CB9">
      <w:pPr>
        <w:pStyle w:val="8"/>
        <w:widowControl w:val="0"/>
        <w:numPr>
          <w:ilvl w:val="0"/>
          <w:numId w:val="4"/>
        </w:numPr>
        <w:shd w:val="clear"/>
        <w:overflowPunct w:val="0"/>
        <w:rPr>
          <w:rFonts w:ascii="宋体" w:hAnsi="宋体" w:cs="宋体"/>
          <w:color w:val="auto"/>
          <w:sz w:val="21"/>
          <w:szCs w:val="21"/>
          <w:highlight w:val="none"/>
        </w:rPr>
      </w:pPr>
      <w:bookmarkStart w:id="63" w:name="_Toc6644"/>
      <w:bookmarkStart w:id="64" w:name="_Toc382049112"/>
      <w:bookmarkStart w:id="65" w:name="_Toc303084265"/>
      <w:bookmarkStart w:id="66" w:name="_Toc9777"/>
      <w:r>
        <w:rPr>
          <w:rFonts w:hint="eastAsia" w:ascii="宋体" w:hAnsi="宋体" w:cs="宋体"/>
          <w:color w:val="auto"/>
          <w:sz w:val="21"/>
          <w:szCs w:val="21"/>
          <w:highlight w:val="none"/>
        </w:rPr>
        <w:t>投标截止期</w:t>
      </w:r>
      <w:bookmarkEnd w:id="63"/>
      <w:bookmarkEnd w:id="64"/>
      <w:bookmarkEnd w:id="65"/>
      <w:bookmarkEnd w:id="66"/>
    </w:p>
    <w:p w14:paraId="01FC121B">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4ACAECFD">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14259C6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58C57CBD">
      <w:pPr>
        <w:shd w:val="clear"/>
        <w:rPr>
          <w:rFonts w:ascii="宋体" w:hAnsi="宋体" w:cs="宋体"/>
          <w:color w:val="auto"/>
          <w:highlight w:val="none"/>
        </w:rPr>
      </w:pPr>
    </w:p>
    <w:p w14:paraId="41CF9E25">
      <w:pPr>
        <w:pStyle w:val="8"/>
        <w:widowControl w:val="0"/>
        <w:numPr>
          <w:ilvl w:val="0"/>
          <w:numId w:val="4"/>
        </w:numPr>
        <w:shd w:val="clear"/>
        <w:overflowPunct w:val="0"/>
        <w:rPr>
          <w:rFonts w:ascii="宋体" w:hAnsi="宋体" w:cs="宋体"/>
          <w:color w:val="auto"/>
          <w:sz w:val="21"/>
          <w:szCs w:val="21"/>
          <w:highlight w:val="none"/>
        </w:rPr>
      </w:pPr>
      <w:bookmarkStart w:id="67" w:name="_Toc3351"/>
      <w:r>
        <w:rPr>
          <w:rFonts w:hint="eastAsia" w:ascii="宋体" w:hAnsi="宋体" w:cs="宋体"/>
          <w:color w:val="auto"/>
          <w:sz w:val="21"/>
          <w:szCs w:val="21"/>
          <w:highlight w:val="none"/>
        </w:rPr>
        <w:t>投标文件的补充、修改与撤回</w:t>
      </w:r>
      <w:bookmarkEnd w:id="67"/>
    </w:p>
    <w:p w14:paraId="2A0A7AFC">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24BFB23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7E63FCB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4152051D">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275CAE6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6D0DC582">
      <w:pPr>
        <w:pStyle w:val="12"/>
        <w:shd w:val="clear"/>
        <w:rPr>
          <w:color w:val="auto"/>
          <w:highlight w:val="none"/>
        </w:rPr>
      </w:pPr>
    </w:p>
    <w:p w14:paraId="4AF8A5F8">
      <w:pPr>
        <w:pStyle w:val="7"/>
        <w:numPr>
          <w:ilvl w:val="0"/>
          <w:numId w:val="3"/>
        </w:numPr>
        <w:shd w:val="clear"/>
        <w:spacing w:before="0" w:after="0" w:line="360" w:lineRule="auto"/>
        <w:jc w:val="center"/>
        <w:rPr>
          <w:rFonts w:ascii="宋体" w:hAnsi="宋体" w:cs="宋体"/>
          <w:color w:val="auto"/>
          <w:highlight w:val="none"/>
        </w:rPr>
      </w:pPr>
      <w:bookmarkStart w:id="68" w:name="_Toc22634"/>
      <w:r>
        <w:rPr>
          <w:rFonts w:hint="eastAsia" w:ascii="宋体" w:hAnsi="宋体" w:cs="宋体"/>
          <w:color w:val="auto"/>
          <w:highlight w:val="none"/>
        </w:rPr>
        <w:t>开标与评标</w:t>
      </w:r>
      <w:bookmarkEnd w:id="68"/>
    </w:p>
    <w:p w14:paraId="5EE010D0">
      <w:pPr>
        <w:pStyle w:val="8"/>
        <w:widowControl w:val="0"/>
        <w:numPr>
          <w:ilvl w:val="0"/>
          <w:numId w:val="4"/>
        </w:numPr>
        <w:shd w:val="clear"/>
        <w:overflowPunct w:val="0"/>
        <w:rPr>
          <w:rFonts w:ascii="宋体" w:hAnsi="宋体" w:cs="宋体"/>
          <w:color w:val="auto"/>
          <w:sz w:val="21"/>
          <w:szCs w:val="21"/>
          <w:highlight w:val="none"/>
        </w:rPr>
      </w:pPr>
      <w:bookmarkStart w:id="69" w:name="_Toc11373"/>
      <w:r>
        <w:rPr>
          <w:rFonts w:hint="eastAsia" w:ascii="宋体" w:hAnsi="宋体" w:cs="宋体"/>
          <w:color w:val="auto"/>
          <w:sz w:val="21"/>
          <w:szCs w:val="21"/>
          <w:highlight w:val="none"/>
        </w:rPr>
        <w:t>开标</w:t>
      </w:r>
      <w:bookmarkEnd w:id="69"/>
    </w:p>
    <w:p w14:paraId="58D0CA62">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2759B91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4A19DE2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3F31781A">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18725A5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0CC426AE">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4C65628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45456C8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14:paraId="0FD221BA">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423CCDD6">
      <w:pPr>
        <w:widowControl w:val="0"/>
        <w:shd w:val="clear"/>
        <w:adjustRightInd/>
        <w:snapToGrid/>
        <w:ind w:left="567"/>
        <w:jc w:val="both"/>
        <w:rPr>
          <w:rFonts w:ascii="宋体" w:hAnsi="宋体" w:cs="宋体"/>
          <w:color w:val="auto"/>
          <w:highlight w:val="none"/>
        </w:rPr>
      </w:pPr>
    </w:p>
    <w:p w14:paraId="00D9FED9">
      <w:pPr>
        <w:pStyle w:val="8"/>
        <w:widowControl w:val="0"/>
        <w:numPr>
          <w:ilvl w:val="0"/>
          <w:numId w:val="4"/>
        </w:numPr>
        <w:shd w:val="clear"/>
        <w:overflowPunct w:val="0"/>
        <w:rPr>
          <w:rFonts w:ascii="宋体" w:hAnsi="宋体" w:cs="宋体"/>
          <w:color w:val="auto"/>
          <w:sz w:val="21"/>
          <w:szCs w:val="21"/>
          <w:highlight w:val="none"/>
        </w:rPr>
      </w:pPr>
      <w:bookmarkStart w:id="70" w:name="_Toc25051"/>
      <w:r>
        <w:rPr>
          <w:rFonts w:hint="eastAsia" w:ascii="宋体" w:hAnsi="宋体" w:cs="宋体"/>
          <w:color w:val="auto"/>
          <w:sz w:val="21"/>
          <w:szCs w:val="21"/>
          <w:highlight w:val="none"/>
        </w:rPr>
        <w:t>评标委员会及评标方法</w:t>
      </w:r>
      <w:bookmarkEnd w:id="70"/>
    </w:p>
    <w:p w14:paraId="45C05CBD">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510870E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7623B306">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38EDBD63">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301D2F9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4D5BFE4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5EABCE4A">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2FC2CC94">
      <w:pPr>
        <w:shd w:val="clear"/>
        <w:rPr>
          <w:rFonts w:ascii="宋体" w:hAnsi="宋体" w:cs="宋体"/>
          <w:color w:val="auto"/>
          <w:highlight w:val="none"/>
        </w:rPr>
      </w:pPr>
    </w:p>
    <w:p w14:paraId="09F8D8B7">
      <w:pPr>
        <w:pStyle w:val="8"/>
        <w:widowControl w:val="0"/>
        <w:numPr>
          <w:ilvl w:val="0"/>
          <w:numId w:val="4"/>
        </w:numPr>
        <w:shd w:val="clear"/>
        <w:overflowPunct w:val="0"/>
        <w:rPr>
          <w:rFonts w:ascii="宋体" w:hAnsi="宋体" w:cs="宋体"/>
          <w:color w:val="auto"/>
          <w:sz w:val="21"/>
          <w:szCs w:val="21"/>
          <w:highlight w:val="none"/>
        </w:rPr>
      </w:pPr>
      <w:bookmarkStart w:id="71" w:name="_Toc29409"/>
      <w:r>
        <w:rPr>
          <w:rFonts w:hint="eastAsia" w:ascii="宋体" w:hAnsi="宋体" w:cs="宋体"/>
          <w:color w:val="auto"/>
          <w:sz w:val="21"/>
          <w:szCs w:val="21"/>
          <w:highlight w:val="none"/>
        </w:rPr>
        <w:t>评审原则及评标过程的保密</w:t>
      </w:r>
      <w:bookmarkEnd w:id="71"/>
    </w:p>
    <w:p w14:paraId="681C3FD3">
      <w:pPr>
        <w:pStyle w:val="42"/>
        <w:widowControl w:val="0"/>
        <w:numPr>
          <w:ilvl w:val="0"/>
          <w:numId w:val="5"/>
        </w:numPr>
        <w:shd w:val="clear"/>
        <w:adjustRightInd/>
        <w:snapToGrid/>
        <w:ind w:firstLineChars="0"/>
        <w:jc w:val="both"/>
        <w:rPr>
          <w:rFonts w:ascii="宋体" w:hAnsi="宋体" w:cs="宋体"/>
          <w:vanish/>
          <w:color w:val="auto"/>
          <w:szCs w:val="21"/>
          <w:highlight w:val="none"/>
        </w:rPr>
      </w:pPr>
    </w:p>
    <w:p w14:paraId="72D3D3DE">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667D993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48F4C8D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452F9963">
      <w:pPr>
        <w:shd w:val="clear"/>
        <w:rPr>
          <w:rFonts w:ascii="宋体" w:hAnsi="宋体" w:cs="宋体"/>
          <w:color w:val="auto"/>
          <w:highlight w:val="none"/>
        </w:rPr>
      </w:pPr>
    </w:p>
    <w:p w14:paraId="75535267">
      <w:pPr>
        <w:pStyle w:val="8"/>
        <w:widowControl w:val="0"/>
        <w:numPr>
          <w:ilvl w:val="0"/>
          <w:numId w:val="4"/>
        </w:numPr>
        <w:shd w:val="clear"/>
        <w:overflowPunct w:val="0"/>
        <w:rPr>
          <w:rFonts w:ascii="宋体" w:hAnsi="宋体" w:cs="宋体"/>
          <w:color w:val="auto"/>
          <w:sz w:val="21"/>
          <w:szCs w:val="21"/>
          <w:highlight w:val="none"/>
        </w:rPr>
      </w:pPr>
      <w:bookmarkStart w:id="72" w:name="_Toc6866"/>
      <w:bookmarkStart w:id="73" w:name="_Toc7361"/>
      <w:r>
        <w:rPr>
          <w:rFonts w:hint="eastAsia" w:ascii="宋体" w:hAnsi="宋体" w:cs="宋体"/>
          <w:color w:val="auto"/>
          <w:sz w:val="21"/>
          <w:szCs w:val="21"/>
          <w:highlight w:val="none"/>
        </w:rPr>
        <w:t>评标程序</w:t>
      </w:r>
      <w:bookmarkEnd w:id="72"/>
    </w:p>
    <w:p w14:paraId="3BED4810">
      <w:pPr>
        <w:widowControl w:val="0"/>
        <w:numPr>
          <w:ilvl w:val="1"/>
          <w:numId w:val="4"/>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14:paraId="044B3E9A">
      <w:pPr>
        <w:widowControl w:val="0"/>
        <w:shd w:val="clear"/>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4D88A5BA">
      <w:pPr>
        <w:shd w:val="clea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0E2B6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1B73D71">
            <w:pPr>
              <w:shd w:val="clea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F9BC87A">
            <w:pPr>
              <w:shd w:val="clea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14:paraId="06FC4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0E3E602C">
            <w:pPr>
              <w:numPr>
                <w:ilvl w:val="0"/>
                <w:numId w:val="8"/>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B93A384">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28593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0ADA94C1">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778CBC9">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14:paraId="591B8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5E8F647F">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56380DB">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tc>
      </w:tr>
      <w:tr w14:paraId="70A43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35036838">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AC7B547">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45C2A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5957EA1">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2E8E982">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）符合投标人资格要求中其他要求（如有）。（提供《附件</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.相关资质证明文件》中对应证明文件。）</w:t>
            </w:r>
          </w:p>
        </w:tc>
      </w:tr>
      <w:tr w14:paraId="40EEC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5C43E11">
            <w:pPr>
              <w:numPr>
                <w:ilvl w:val="0"/>
                <w:numId w:val="8"/>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FEF8F57">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02745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B689896">
            <w:pPr>
              <w:numPr>
                <w:ilvl w:val="0"/>
                <w:numId w:val="8"/>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C81F727">
            <w:pPr>
              <w:shd w:val="clea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25773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FA2243A">
            <w:pPr>
              <w:numPr>
                <w:ilvl w:val="0"/>
                <w:numId w:val="8"/>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335EA9B">
            <w:pPr>
              <w:shd w:val="clear"/>
              <w:textAlignment w:val="center"/>
              <w:rPr>
                <w:rFonts w:ascii="宋体" w:hAnsi="宋体" w:cs="宋体"/>
                <w:color w:val="auto"/>
                <w:szCs w:val="21"/>
                <w:highlight w:val="none"/>
              </w:rPr>
            </w:pPr>
            <w:r>
              <w:rPr>
                <w:rFonts w:hint="eastAsia" w:ascii="宋体" w:hAnsi="宋体" w:eastAsia="宋体" w:cs="宋体"/>
                <w:color w:val="auto"/>
                <w:szCs w:val="21"/>
                <w:highlight w:val="none"/>
              </w:rPr>
              <w:t>投标</w:t>
            </w:r>
            <w:r>
              <w:rPr>
                <w:rFonts w:hint="eastAsia" w:ascii="宋体" w:hAnsi="宋体" w:eastAsia="宋体" w:cs="宋体"/>
                <w:color w:val="auto"/>
                <w:szCs w:val="21"/>
                <w:highlight w:val="none"/>
                <w:lang w:val="en-US" w:eastAsia="zh-CN"/>
              </w:rPr>
              <w:t>下浮率</w:t>
            </w:r>
            <w:r>
              <w:rPr>
                <w:rFonts w:hint="eastAsia" w:ascii="宋体" w:hAnsi="宋体" w:eastAsia="宋体" w:cs="宋体"/>
                <w:color w:val="auto"/>
                <w:szCs w:val="21"/>
                <w:highlight w:val="none"/>
              </w:rPr>
              <w:t>未超出采购文件中规定的</w:t>
            </w:r>
            <w:r>
              <w:rPr>
                <w:rFonts w:hint="eastAsia" w:ascii="宋体" w:hAnsi="宋体" w:eastAsia="宋体" w:cs="宋体"/>
                <w:color w:val="auto"/>
                <w:szCs w:val="21"/>
                <w:highlight w:val="none"/>
                <w:lang w:val="en-US" w:eastAsia="zh-CN"/>
              </w:rPr>
              <w:t>报价范围</w:t>
            </w:r>
            <w:r>
              <w:rPr>
                <w:rFonts w:hint="eastAsia" w:ascii="宋体" w:hAnsi="宋体" w:eastAsia="宋体" w:cs="宋体"/>
                <w:color w:val="auto"/>
                <w:szCs w:val="21"/>
                <w:highlight w:val="none"/>
              </w:rPr>
              <w:t>；</w:t>
            </w:r>
          </w:p>
        </w:tc>
      </w:tr>
      <w:tr w14:paraId="23524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8BDB06C">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FBE423B">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1CB0D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DC78640">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9FC971C">
            <w:pPr>
              <w:shd w:val="clea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0DC93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5D96E538">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5D90FAE">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法律、法规和招标文件规定的其他无效情形。</w:t>
            </w:r>
          </w:p>
        </w:tc>
      </w:tr>
      <w:bookmarkEnd w:id="73"/>
    </w:tbl>
    <w:p w14:paraId="60947E3F">
      <w:pPr>
        <w:widowControl w:val="0"/>
        <w:shd w:val="clear"/>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4B4F99A2">
      <w:pPr>
        <w:widowControl w:val="0"/>
        <w:numPr>
          <w:ilvl w:val="1"/>
          <w:numId w:val="4"/>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65C4D219">
      <w:pPr>
        <w:widowControl w:val="0"/>
        <w:numPr>
          <w:ilvl w:val="0"/>
          <w:numId w:val="9"/>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181EE4D6">
      <w:pPr>
        <w:widowControl w:val="0"/>
        <w:numPr>
          <w:ilvl w:val="0"/>
          <w:numId w:val="9"/>
        </w:numPr>
        <w:shd w:val="clea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09BF0D61">
      <w:pPr>
        <w:widowControl w:val="0"/>
        <w:numPr>
          <w:ilvl w:val="0"/>
          <w:numId w:val="9"/>
        </w:numPr>
        <w:shd w:val="clea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1C55D73F">
      <w:pPr>
        <w:widowControl w:val="0"/>
        <w:numPr>
          <w:ilvl w:val="0"/>
          <w:numId w:val="9"/>
        </w:numPr>
        <w:shd w:val="clea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22BA6E6A">
      <w:pPr>
        <w:widowControl w:val="0"/>
        <w:numPr>
          <w:ilvl w:val="0"/>
          <w:numId w:val="9"/>
        </w:numPr>
        <w:shd w:val="clea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65023406">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3D34CBA4">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586575A9">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22E9C002">
      <w:pPr>
        <w:pStyle w:val="12"/>
        <w:shd w:val="clear"/>
        <w:rPr>
          <w:color w:val="auto"/>
          <w:highlight w:val="none"/>
        </w:rPr>
      </w:pPr>
    </w:p>
    <w:p w14:paraId="7A88DBA9">
      <w:pPr>
        <w:pStyle w:val="8"/>
        <w:widowControl w:val="0"/>
        <w:numPr>
          <w:ilvl w:val="0"/>
          <w:numId w:val="4"/>
        </w:numPr>
        <w:shd w:val="clear"/>
        <w:overflowPunct w:val="0"/>
        <w:rPr>
          <w:rFonts w:ascii="宋体" w:hAnsi="宋体" w:cs="宋体"/>
          <w:color w:val="auto"/>
          <w:sz w:val="21"/>
          <w:szCs w:val="21"/>
          <w:highlight w:val="none"/>
        </w:rPr>
      </w:pPr>
      <w:bookmarkStart w:id="74" w:name="_Toc1317"/>
      <w:r>
        <w:rPr>
          <w:rFonts w:hint="eastAsia" w:ascii="宋体" w:hAnsi="宋体" w:cs="宋体"/>
          <w:color w:val="auto"/>
          <w:sz w:val="21"/>
          <w:szCs w:val="21"/>
          <w:highlight w:val="none"/>
        </w:rPr>
        <w:t>商务、技术、价格评审（具体评审项目详见投标资料表）</w:t>
      </w:r>
      <w:bookmarkEnd w:id="74"/>
    </w:p>
    <w:p w14:paraId="5D9236ED">
      <w:pPr>
        <w:pStyle w:val="42"/>
        <w:widowControl w:val="0"/>
        <w:numPr>
          <w:ilvl w:val="0"/>
          <w:numId w:val="5"/>
        </w:numPr>
        <w:shd w:val="clear"/>
        <w:tabs>
          <w:tab w:val="left" w:pos="907"/>
        </w:tabs>
        <w:adjustRightInd/>
        <w:snapToGrid/>
        <w:ind w:firstLineChars="0"/>
        <w:jc w:val="both"/>
        <w:rPr>
          <w:rFonts w:ascii="宋体" w:hAnsi="宋体" w:cs="宋体"/>
          <w:vanish/>
          <w:color w:val="auto"/>
          <w:szCs w:val="21"/>
          <w:highlight w:val="none"/>
        </w:rPr>
      </w:pPr>
    </w:p>
    <w:p w14:paraId="33435A52">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23495D90">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5BE1F1A8">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6B698938">
      <w:pPr>
        <w:widowControl w:val="0"/>
        <w:shd w:val="clear"/>
        <w:tabs>
          <w:tab w:val="left" w:pos="907"/>
        </w:tabs>
        <w:adjustRightInd/>
        <w:snapToGrid/>
        <w:ind w:left="567"/>
        <w:jc w:val="both"/>
        <w:rPr>
          <w:rFonts w:ascii="宋体" w:hAnsi="宋体" w:cs="宋体"/>
          <w:color w:val="auto"/>
          <w:szCs w:val="21"/>
          <w:highlight w:val="none"/>
        </w:rPr>
      </w:pPr>
    </w:p>
    <w:p w14:paraId="70DB5032">
      <w:pPr>
        <w:pStyle w:val="8"/>
        <w:widowControl w:val="0"/>
        <w:numPr>
          <w:ilvl w:val="0"/>
          <w:numId w:val="4"/>
        </w:numPr>
        <w:shd w:val="clear"/>
        <w:overflowPunct w:val="0"/>
        <w:rPr>
          <w:rFonts w:ascii="宋体" w:hAnsi="宋体" w:cs="宋体"/>
          <w:color w:val="auto"/>
          <w:sz w:val="21"/>
          <w:szCs w:val="21"/>
          <w:highlight w:val="none"/>
        </w:rPr>
      </w:pPr>
      <w:bookmarkStart w:id="75" w:name="_Toc316375620"/>
      <w:bookmarkStart w:id="76" w:name="_Toc382049120"/>
      <w:bookmarkStart w:id="77" w:name="_Toc1575"/>
      <w:bookmarkStart w:id="78" w:name="_Toc20328"/>
      <w:r>
        <w:rPr>
          <w:rFonts w:hint="eastAsia" w:ascii="宋体" w:hAnsi="宋体" w:cs="宋体"/>
          <w:color w:val="auto"/>
          <w:sz w:val="21"/>
          <w:szCs w:val="21"/>
          <w:highlight w:val="none"/>
        </w:rPr>
        <w:t>纪律和保密</w:t>
      </w:r>
      <w:bookmarkEnd w:id="75"/>
      <w:r>
        <w:rPr>
          <w:rFonts w:hint="eastAsia" w:ascii="宋体" w:hAnsi="宋体" w:cs="宋体"/>
          <w:color w:val="auto"/>
          <w:sz w:val="21"/>
          <w:szCs w:val="21"/>
          <w:highlight w:val="none"/>
        </w:rPr>
        <w:t>事项</w:t>
      </w:r>
      <w:bookmarkEnd w:id="76"/>
      <w:bookmarkEnd w:id="77"/>
      <w:bookmarkEnd w:id="78"/>
    </w:p>
    <w:p w14:paraId="480E9200">
      <w:pPr>
        <w:pStyle w:val="42"/>
        <w:widowControl w:val="0"/>
        <w:numPr>
          <w:ilvl w:val="0"/>
          <w:numId w:val="5"/>
        </w:numPr>
        <w:shd w:val="clear"/>
        <w:tabs>
          <w:tab w:val="left" w:pos="907"/>
        </w:tabs>
        <w:adjustRightInd/>
        <w:snapToGrid/>
        <w:ind w:firstLineChars="0"/>
        <w:jc w:val="both"/>
        <w:rPr>
          <w:rFonts w:ascii="宋体" w:hAnsi="宋体" w:cs="宋体"/>
          <w:vanish/>
          <w:color w:val="auto"/>
          <w:szCs w:val="21"/>
          <w:highlight w:val="none"/>
        </w:rPr>
      </w:pPr>
    </w:p>
    <w:p w14:paraId="74808F7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689AE94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0ABB9E7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6A3259FA">
      <w:pPr>
        <w:shd w:val="clear"/>
        <w:rPr>
          <w:rFonts w:ascii="宋体" w:hAnsi="宋体" w:cs="宋体"/>
          <w:color w:val="auto"/>
          <w:highlight w:val="none"/>
        </w:rPr>
      </w:pPr>
    </w:p>
    <w:p w14:paraId="7D8D0F43">
      <w:pPr>
        <w:pStyle w:val="7"/>
        <w:numPr>
          <w:ilvl w:val="0"/>
          <w:numId w:val="3"/>
        </w:numPr>
        <w:shd w:val="clear"/>
        <w:spacing w:before="0" w:after="0" w:line="360" w:lineRule="auto"/>
        <w:jc w:val="center"/>
        <w:rPr>
          <w:rFonts w:ascii="宋体" w:hAnsi="宋体" w:cs="宋体"/>
          <w:color w:val="auto"/>
          <w:highlight w:val="none"/>
        </w:rPr>
      </w:pPr>
      <w:bookmarkStart w:id="79" w:name="_Toc20446"/>
      <w:r>
        <w:rPr>
          <w:rFonts w:hint="eastAsia" w:ascii="宋体" w:hAnsi="宋体" w:cs="宋体"/>
          <w:color w:val="auto"/>
          <w:highlight w:val="none"/>
        </w:rPr>
        <w:t>授予合同</w:t>
      </w:r>
      <w:bookmarkEnd w:id="79"/>
    </w:p>
    <w:p w14:paraId="30EB8F6C">
      <w:pPr>
        <w:pStyle w:val="8"/>
        <w:widowControl w:val="0"/>
        <w:numPr>
          <w:ilvl w:val="0"/>
          <w:numId w:val="4"/>
        </w:numPr>
        <w:shd w:val="clear"/>
        <w:overflowPunct w:val="0"/>
        <w:rPr>
          <w:rFonts w:ascii="宋体" w:hAnsi="宋体" w:cs="宋体"/>
          <w:color w:val="auto"/>
          <w:sz w:val="21"/>
          <w:szCs w:val="21"/>
          <w:highlight w:val="none"/>
        </w:rPr>
      </w:pPr>
      <w:bookmarkStart w:id="80" w:name="_Toc9840"/>
      <w:bookmarkStart w:id="81" w:name="_Toc508284011"/>
      <w:r>
        <w:rPr>
          <w:rFonts w:hint="eastAsia" w:ascii="宋体" w:hAnsi="宋体" w:cs="宋体"/>
          <w:color w:val="auto"/>
          <w:sz w:val="21"/>
          <w:szCs w:val="21"/>
          <w:highlight w:val="none"/>
        </w:rPr>
        <w:t>合同授予标准</w:t>
      </w:r>
      <w:bookmarkEnd w:id="80"/>
      <w:bookmarkEnd w:id="81"/>
    </w:p>
    <w:p w14:paraId="1F48DE00">
      <w:pPr>
        <w:pStyle w:val="42"/>
        <w:widowControl w:val="0"/>
        <w:numPr>
          <w:ilvl w:val="0"/>
          <w:numId w:val="5"/>
        </w:numPr>
        <w:shd w:val="clear"/>
        <w:tabs>
          <w:tab w:val="left" w:pos="907"/>
        </w:tabs>
        <w:adjustRightInd/>
        <w:snapToGrid/>
        <w:ind w:firstLineChars="0"/>
        <w:jc w:val="both"/>
        <w:rPr>
          <w:rFonts w:ascii="宋体" w:hAnsi="宋体" w:cs="宋体"/>
          <w:vanish/>
          <w:color w:val="auto"/>
          <w:szCs w:val="21"/>
          <w:highlight w:val="none"/>
        </w:rPr>
      </w:pPr>
    </w:p>
    <w:p w14:paraId="518BE32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47BC9AEB">
      <w:pPr>
        <w:shd w:val="clear"/>
        <w:rPr>
          <w:rFonts w:ascii="宋体" w:hAnsi="宋体" w:cs="宋体"/>
          <w:color w:val="auto"/>
          <w:highlight w:val="none"/>
        </w:rPr>
      </w:pPr>
    </w:p>
    <w:p w14:paraId="01F425C3">
      <w:pPr>
        <w:pStyle w:val="8"/>
        <w:widowControl w:val="0"/>
        <w:numPr>
          <w:ilvl w:val="0"/>
          <w:numId w:val="4"/>
        </w:numPr>
        <w:shd w:val="clear"/>
        <w:overflowPunct w:val="0"/>
        <w:rPr>
          <w:rFonts w:ascii="宋体" w:hAnsi="宋体" w:cs="宋体"/>
          <w:color w:val="auto"/>
          <w:sz w:val="21"/>
          <w:szCs w:val="21"/>
          <w:highlight w:val="none"/>
        </w:rPr>
      </w:pPr>
      <w:bookmarkStart w:id="82" w:name="_Toc508284013"/>
      <w:bookmarkStart w:id="83" w:name="_Toc31174"/>
      <w:r>
        <w:rPr>
          <w:rFonts w:hint="eastAsia" w:ascii="宋体" w:hAnsi="宋体" w:cs="宋体"/>
          <w:color w:val="auto"/>
          <w:sz w:val="21"/>
          <w:szCs w:val="21"/>
          <w:highlight w:val="none"/>
        </w:rPr>
        <w:t>发布中标结果</w:t>
      </w:r>
      <w:bookmarkEnd w:id="82"/>
      <w:bookmarkEnd w:id="83"/>
    </w:p>
    <w:p w14:paraId="79A56BF9">
      <w:pPr>
        <w:pStyle w:val="42"/>
        <w:widowControl w:val="0"/>
        <w:numPr>
          <w:ilvl w:val="0"/>
          <w:numId w:val="5"/>
        </w:numPr>
        <w:shd w:val="clear"/>
        <w:tabs>
          <w:tab w:val="left" w:pos="907"/>
        </w:tabs>
        <w:adjustRightInd/>
        <w:snapToGrid/>
        <w:ind w:firstLineChars="0"/>
        <w:jc w:val="both"/>
        <w:rPr>
          <w:rFonts w:ascii="宋体" w:hAnsi="宋体" w:cs="宋体"/>
          <w:vanish/>
          <w:color w:val="auto"/>
          <w:szCs w:val="21"/>
          <w:highlight w:val="none"/>
        </w:rPr>
      </w:pPr>
    </w:p>
    <w:p w14:paraId="1F55124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375B88A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4D639092">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54584489">
      <w:pPr>
        <w:widowControl w:val="0"/>
        <w:shd w:val="clear"/>
        <w:tabs>
          <w:tab w:val="left" w:pos="907"/>
        </w:tabs>
        <w:adjustRightInd/>
        <w:snapToGrid/>
        <w:jc w:val="both"/>
        <w:rPr>
          <w:rFonts w:ascii="宋体" w:hAnsi="宋体" w:cs="宋体"/>
          <w:color w:val="auto"/>
          <w:szCs w:val="21"/>
          <w:highlight w:val="none"/>
        </w:rPr>
      </w:pPr>
    </w:p>
    <w:p w14:paraId="71979C3E">
      <w:pPr>
        <w:pStyle w:val="8"/>
        <w:widowControl w:val="0"/>
        <w:numPr>
          <w:ilvl w:val="0"/>
          <w:numId w:val="4"/>
        </w:numPr>
        <w:shd w:val="clear"/>
        <w:overflowPunct w:val="0"/>
        <w:rPr>
          <w:rFonts w:ascii="宋体" w:hAnsi="宋体" w:cs="宋体"/>
          <w:color w:val="auto"/>
          <w:sz w:val="21"/>
          <w:szCs w:val="21"/>
          <w:highlight w:val="none"/>
        </w:rPr>
      </w:pPr>
      <w:bookmarkStart w:id="84" w:name="_Toc25616"/>
      <w:r>
        <w:rPr>
          <w:rFonts w:hint="eastAsia" w:ascii="宋体" w:hAnsi="宋体" w:cs="宋体"/>
          <w:color w:val="auto"/>
          <w:sz w:val="21"/>
          <w:szCs w:val="21"/>
          <w:highlight w:val="none"/>
        </w:rPr>
        <w:t>资格后审</w:t>
      </w:r>
      <w:bookmarkEnd w:id="84"/>
    </w:p>
    <w:p w14:paraId="4D4E2369">
      <w:pPr>
        <w:pStyle w:val="42"/>
        <w:widowControl w:val="0"/>
        <w:numPr>
          <w:ilvl w:val="0"/>
          <w:numId w:val="5"/>
        </w:numPr>
        <w:shd w:val="clear"/>
        <w:tabs>
          <w:tab w:val="left" w:pos="567"/>
          <w:tab w:val="left" w:pos="907"/>
        </w:tabs>
        <w:adjustRightInd/>
        <w:snapToGrid/>
        <w:ind w:firstLineChars="0"/>
        <w:jc w:val="both"/>
        <w:rPr>
          <w:rFonts w:ascii="宋体" w:hAnsi="宋体" w:cs="宋体"/>
          <w:vanish/>
          <w:color w:val="auto"/>
          <w:szCs w:val="21"/>
          <w:highlight w:val="none"/>
        </w:rPr>
      </w:pPr>
    </w:p>
    <w:p w14:paraId="3E816B7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14:paraId="51013584">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39ADA2E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54265334">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5FF5BFA5">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4A5C31FE">
      <w:pPr>
        <w:shd w:val="clear"/>
        <w:rPr>
          <w:rFonts w:ascii="宋体" w:hAnsi="宋体" w:cs="宋体"/>
          <w:color w:val="auto"/>
          <w:highlight w:val="none"/>
        </w:rPr>
      </w:pPr>
    </w:p>
    <w:p w14:paraId="06372987">
      <w:pPr>
        <w:pStyle w:val="8"/>
        <w:widowControl w:val="0"/>
        <w:numPr>
          <w:ilvl w:val="0"/>
          <w:numId w:val="4"/>
        </w:numPr>
        <w:shd w:val="clear"/>
        <w:overflowPunct w:val="0"/>
        <w:rPr>
          <w:rFonts w:ascii="宋体" w:hAnsi="宋体" w:cs="宋体"/>
          <w:color w:val="auto"/>
          <w:sz w:val="21"/>
          <w:szCs w:val="21"/>
          <w:highlight w:val="none"/>
        </w:rPr>
      </w:pPr>
      <w:bookmarkStart w:id="85" w:name="_Toc31739"/>
      <w:r>
        <w:rPr>
          <w:rFonts w:hint="eastAsia" w:ascii="宋体" w:hAnsi="宋体" w:cs="宋体"/>
          <w:color w:val="auto"/>
          <w:sz w:val="21"/>
          <w:szCs w:val="21"/>
          <w:highlight w:val="none"/>
        </w:rPr>
        <w:t>合同的签订与履行</w:t>
      </w:r>
      <w:bookmarkEnd w:id="85"/>
    </w:p>
    <w:p w14:paraId="094EE860">
      <w:pPr>
        <w:pStyle w:val="42"/>
        <w:widowControl w:val="0"/>
        <w:numPr>
          <w:ilvl w:val="0"/>
          <w:numId w:val="5"/>
        </w:numPr>
        <w:shd w:val="clear"/>
        <w:tabs>
          <w:tab w:val="left" w:pos="907"/>
        </w:tabs>
        <w:adjustRightInd/>
        <w:snapToGrid/>
        <w:ind w:firstLineChars="0"/>
        <w:jc w:val="both"/>
        <w:rPr>
          <w:rFonts w:ascii="宋体" w:hAnsi="宋体" w:cs="宋体"/>
          <w:vanish/>
          <w:color w:val="auto"/>
          <w:szCs w:val="21"/>
          <w:highlight w:val="none"/>
        </w:rPr>
      </w:pPr>
    </w:p>
    <w:p w14:paraId="775E2882">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3EC40773">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56492444">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4C7D5E1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75E724A7">
      <w:pPr>
        <w:widowControl w:val="0"/>
        <w:shd w:val="clear"/>
        <w:tabs>
          <w:tab w:val="left" w:pos="907"/>
        </w:tabs>
        <w:adjustRightInd/>
        <w:snapToGrid/>
        <w:jc w:val="both"/>
        <w:rPr>
          <w:rFonts w:ascii="宋体" w:hAnsi="宋体" w:cs="宋体"/>
          <w:color w:val="auto"/>
          <w:highlight w:val="none"/>
        </w:rPr>
      </w:pPr>
    </w:p>
    <w:p w14:paraId="422C2879">
      <w:pPr>
        <w:pStyle w:val="8"/>
        <w:widowControl w:val="0"/>
        <w:numPr>
          <w:ilvl w:val="0"/>
          <w:numId w:val="4"/>
        </w:numPr>
        <w:shd w:val="clear"/>
        <w:overflowPunct w:val="0"/>
        <w:rPr>
          <w:rFonts w:ascii="宋体" w:hAnsi="宋体" w:cs="宋体"/>
          <w:color w:val="auto"/>
          <w:sz w:val="21"/>
          <w:szCs w:val="21"/>
          <w:highlight w:val="none"/>
        </w:rPr>
      </w:pPr>
      <w:bookmarkStart w:id="86" w:name="_Toc29009"/>
      <w:bookmarkStart w:id="87" w:name="_Toc303084277"/>
      <w:bookmarkStart w:id="88" w:name="_Toc382049124"/>
      <w:bookmarkStart w:id="89" w:name="_Toc25808"/>
      <w:r>
        <w:rPr>
          <w:rFonts w:hint="eastAsia" w:ascii="宋体" w:hAnsi="宋体" w:cs="宋体"/>
          <w:color w:val="auto"/>
          <w:sz w:val="21"/>
          <w:szCs w:val="21"/>
          <w:highlight w:val="none"/>
        </w:rPr>
        <w:t>履约</w:t>
      </w:r>
      <w:bookmarkEnd w:id="86"/>
      <w:bookmarkEnd w:id="87"/>
      <w:bookmarkEnd w:id="88"/>
      <w:r>
        <w:rPr>
          <w:rFonts w:hint="eastAsia" w:ascii="宋体" w:hAnsi="宋体" w:cs="宋体"/>
          <w:color w:val="auto"/>
          <w:sz w:val="21"/>
          <w:szCs w:val="21"/>
          <w:highlight w:val="none"/>
        </w:rPr>
        <w:t>担保</w:t>
      </w:r>
      <w:bookmarkEnd w:id="89"/>
    </w:p>
    <w:p w14:paraId="288540E8">
      <w:pPr>
        <w:pStyle w:val="42"/>
        <w:widowControl w:val="0"/>
        <w:numPr>
          <w:ilvl w:val="0"/>
          <w:numId w:val="5"/>
        </w:numPr>
        <w:shd w:val="clear"/>
        <w:tabs>
          <w:tab w:val="left" w:pos="907"/>
        </w:tabs>
        <w:adjustRightInd/>
        <w:snapToGrid/>
        <w:ind w:firstLineChars="0"/>
        <w:jc w:val="both"/>
        <w:rPr>
          <w:rFonts w:ascii="宋体" w:hAnsi="宋体" w:cs="宋体"/>
          <w:vanish/>
          <w:color w:val="auto"/>
          <w:szCs w:val="21"/>
          <w:highlight w:val="none"/>
        </w:rPr>
      </w:pPr>
    </w:p>
    <w:p w14:paraId="725558A2">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6F66638E">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09EF96A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21DC33E9">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1242BC9D">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3765521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3644D067">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405DDE4A">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2E42CFEC">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28C967CA">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38DCF2DE">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3EA7E3F3">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4AFFEE16">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4DAC4A35">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1D6BE6BF">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6D8787B1">
      <w:pPr>
        <w:widowControl w:val="0"/>
        <w:shd w:val="clear"/>
        <w:tabs>
          <w:tab w:val="left" w:pos="907"/>
        </w:tabs>
        <w:adjustRightInd/>
        <w:snapToGrid/>
        <w:jc w:val="both"/>
        <w:rPr>
          <w:rFonts w:ascii="宋体" w:hAnsi="宋体" w:cs="宋体"/>
          <w:color w:val="auto"/>
          <w:highlight w:val="none"/>
        </w:rPr>
      </w:pPr>
    </w:p>
    <w:p w14:paraId="0968C757">
      <w:pPr>
        <w:pStyle w:val="8"/>
        <w:widowControl w:val="0"/>
        <w:numPr>
          <w:ilvl w:val="0"/>
          <w:numId w:val="4"/>
        </w:numPr>
        <w:shd w:val="clear"/>
        <w:overflowPunct w:val="0"/>
        <w:rPr>
          <w:rFonts w:ascii="宋体" w:hAnsi="宋体" w:cs="宋体"/>
          <w:color w:val="auto"/>
          <w:sz w:val="21"/>
          <w:szCs w:val="21"/>
          <w:highlight w:val="none"/>
        </w:rPr>
      </w:pPr>
      <w:bookmarkStart w:id="90" w:name="_Toc14782"/>
      <w:r>
        <w:rPr>
          <w:rFonts w:hint="eastAsia" w:ascii="宋体" w:hAnsi="宋体" w:cs="宋体"/>
          <w:color w:val="auto"/>
          <w:sz w:val="21"/>
          <w:szCs w:val="21"/>
          <w:highlight w:val="none"/>
        </w:rPr>
        <w:t>预付款保函（适用于预付款支付）</w:t>
      </w:r>
      <w:bookmarkEnd w:id="90"/>
    </w:p>
    <w:p w14:paraId="7A85C396">
      <w:pPr>
        <w:pStyle w:val="42"/>
        <w:widowControl w:val="0"/>
        <w:numPr>
          <w:ilvl w:val="0"/>
          <w:numId w:val="5"/>
        </w:numPr>
        <w:shd w:val="clear"/>
        <w:tabs>
          <w:tab w:val="left" w:pos="567"/>
          <w:tab w:val="left" w:pos="907"/>
        </w:tabs>
        <w:adjustRightInd/>
        <w:snapToGrid/>
        <w:ind w:firstLineChars="0"/>
        <w:jc w:val="both"/>
        <w:rPr>
          <w:rFonts w:ascii="宋体" w:hAnsi="宋体" w:cs="宋体"/>
          <w:vanish/>
          <w:color w:val="auto"/>
          <w:szCs w:val="21"/>
          <w:highlight w:val="none"/>
        </w:rPr>
      </w:pPr>
    </w:p>
    <w:p w14:paraId="6FAD1D81">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2EAD66AD">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3EAB6362">
      <w:pPr>
        <w:keepNext w:val="0"/>
        <w:keepLines w:val="0"/>
        <w:pageBreakBefore w:val="0"/>
        <w:widowControl w:val="0"/>
        <w:shd w:val="clear"/>
        <w:tabs>
          <w:tab w:val="left" w:pos="907"/>
        </w:tabs>
        <w:kinsoku/>
        <w:wordWrap/>
        <w:overflowPunct/>
        <w:topLinePunct w:val="0"/>
        <w:autoSpaceDE/>
        <w:autoSpaceDN/>
        <w:bidi w:val="0"/>
        <w:adjustRightInd/>
        <w:snapToGrid/>
        <w:spacing w:line="264"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10FC82BD">
      <w:pPr>
        <w:keepNext w:val="0"/>
        <w:keepLines w:val="0"/>
        <w:pageBreakBefore w:val="0"/>
        <w:widowControl w:val="0"/>
        <w:shd w:val="clear"/>
        <w:tabs>
          <w:tab w:val="left" w:pos="907"/>
        </w:tabs>
        <w:kinsoku/>
        <w:wordWrap/>
        <w:overflowPunct/>
        <w:topLinePunct w:val="0"/>
        <w:autoSpaceDE/>
        <w:autoSpaceDN/>
        <w:bidi w:val="0"/>
        <w:adjustRightInd/>
        <w:snapToGrid/>
        <w:spacing w:line="264"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（2）必须打印，手写、涂改无效</w:t>
      </w:r>
    </w:p>
    <w:p w14:paraId="670A621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7F6ECBDB">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142C1EA7">
      <w:pPr>
        <w:shd w:val="clear"/>
        <w:rPr>
          <w:rFonts w:ascii="宋体" w:hAnsi="宋体" w:cs="宋体"/>
          <w:color w:val="auto"/>
          <w:highlight w:val="none"/>
        </w:rPr>
      </w:pPr>
    </w:p>
    <w:p w14:paraId="6459B41B">
      <w:pPr>
        <w:pStyle w:val="7"/>
        <w:numPr>
          <w:ilvl w:val="0"/>
          <w:numId w:val="3"/>
        </w:numPr>
        <w:shd w:val="clear"/>
        <w:spacing w:before="0" w:after="0" w:line="360" w:lineRule="auto"/>
        <w:jc w:val="center"/>
        <w:rPr>
          <w:rFonts w:ascii="宋体" w:hAnsi="宋体" w:cs="宋体"/>
          <w:color w:val="auto"/>
          <w:highlight w:val="none"/>
        </w:rPr>
      </w:pPr>
      <w:bookmarkStart w:id="91" w:name="_Toc26912"/>
      <w:r>
        <w:rPr>
          <w:rFonts w:hint="eastAsia" w:ascii="宋体" w:hAnsi="宋体" w:cs="宋体"/>
          <w:color w:val="auto"/>
          <w:highlight w:val="none"/>
        </w:rPr>
        <w:t>异议</w:t>
      </w:r>
      <w:bookmarkEnd w:id="91"/>
    </w:p>
    <w:p w14:paraId="5B6E2D12">
      <w:pPr>
        <w:pStyle w:val="8"/>
        <w:pageBreakBefore w:val="0"/>
        <w:widowControl w:val="0"/>
        <w:numPr>
          <w:ilvl w:val="0"/>
          <w:numId w:val="4"/>
        </w:numPr>
        <w:shd w:val="clear"/>
        <w:kinsoku/>
        <w:wordWrap/>
        <w:overflowPunct w:val="0"/>
        <w:topLinePunct w:val="0"/>
        <w:autoSpaceDE/>
        <w:autoSpaceDN/>
        <w:bidi w:val="0"/>
        <w:textAlignment w:val="auto"/>
        <w:rPr>
          <w:rFonts w:ascii="宋体" w:hAnsi="宋体" w:cs="宋体"/>
          <w:color w:val="auto"/>
          <w:sz w:val="21"/>
          <w:szCs w:val="21"/>
          <w:highlight w:val="none"/>
        </w:rPr>
      </w:pPr>
      <w:bookmarkStart w:id="92" w:name="_Toc31531"/>
      <w:r>
        <w:rPr>
          <w:rFonts w:hint="eastAsia" w:ascii="宋体" w:hAnsi="宋体" w:cs="宋体"/>
          <w:color w:val="auto"/>
          <w:sz w:val="21"/>
          <w:szCs w:val="21"/>
          <w:highlight w:val="none"/>
        </w:rPr>
        <w:t>异议</w:t>
      </w:r>
      <w:bookmarkEnd w:id="92"/>
    </w:p>
    <w:p w14:paraId="64230CC5">
      <w:pPr>
        <w:pStyle w:val="42"/>
        <w:pageBreakBefore w:val="0"/>
        <w:widowControl w:val="0"/>
        <w:numPr>
          <w:ilvl w:val="0"/>
          <w:numId w:val="5"/>
        </w:numPr>
        <w:shd w:val="clear"/>
        <w:tabs>
          <w:tab w:val="left" w:pos="907"/>
        </w:tabs>
        <w:kinsoku/>
        <w:wordWrap/>
        <w:topLinePunct w:val="0"/>
        <w:autoSpaceDE/>
        <w:autoSpaceDN/>
        <w:bidi w:val="0"/>
        <w:adjustRightInd/>
        <w:snapToGrid/>
        <w:ind w:firstLineChars="0"/>
        <w:jc w:val="both"/>
        <w:textAlignment w:val="auto"/>
        <w:rPr>
          <w:rFonts w:ascii="宋体" w:hAnsi="宋体" w:cs="宋体"/>
          <w:vanish/>
          <w:color w:val="auto"/>
          <w:szCs w:val="21"/>
          <w:highlight w:val="none"/>
        </w:rPr>
      </w:pPr>
    </w:p>
    <w:p w14:paraId="2A0C3D7F">
      <w:pPr>
        <w:pageBreakBefore w:val="0"/>
        <w:widowControl w:val="0"/>
        <w:numPr>
          <w:ilvl w:val="1"/>
          <w:numId w:val="4"/>
        </w:numPr>
        <w:shd w:val="clear"/>
        <w:kinsoku/>
        <w:wordWrap/>
        <w:overflowPunct w:val="0"/>
        <w:topLinePunct w:val="0"/>
        <w:autoSpaceDE/>
        <w:autoSpaceDN/>
        <w:bidi w:val="0"/>
        <w:textAlignment w:val="auto"/>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22F6063F">
      <w:pPr>
        <w:keepNext w:val="0"/>
        <w:keepLines w:val="0"/>
        <w:pageBreakBefore w:val="0"/>
        <w:widowControl w:val="0"/>
        <w:shd w:val="clear"/>
        <w:tabs>
          <w:tab w:val="left" w:pos="907"/>
        </w:tabs>
        <w:kinsoku/>
        <w:wordWrap/>
        <w:overflowPunct/>
        <w:topLinePunct w:val="0"/>
        <w:autoSpaceDE/>
        <w:autoSpaceDN/>
        <w:bidi w:val="0"/>
        <w:adjustRightInd/>
        <w:snapToGrid/>
        <w:spacing w:line="360" w:lineRule="auto"/>
        <w:ind w:left="420" w:leftChars="200" w:firstLine="0" w:firstLineChars="0"/>
        <w:jc w:val="both"/>
        <w:textAlignment w:val="auto"/>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2E4C02D1">
      <w:pPr>
        <w:pageBreakBefore w:val="0"/>
        <w:widowControl w:val="0"/>
        <w:numPr>
          <w:ilvl w:val="1"/>
          <w:numId w:val="4"/>
        </w:numPr>
        <w:shd w:val="clear"/>
        <w:kinsoku/>
        <w:wordWrap/>
        <w:overflowPunct w:val="0"/>
        <w:topLinePunct w:val="0"/>
        <w:autoSpaceDE/>
        <w:autoSpaceDN/>
        <w:bidi w:val="0"/>
        <w:textAlignment w:val="auto"/>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1BFA3DE9">
      <w:pPr>
        <w:keepNext w:val="0"/>
        <w:keepLines w:val="0"/>
        <w:pageBreakBefore w:val="0"/>
        <w:widowControl w:val="0"/>
        <w:shd w:val="clear"/>
        <w:tabs>
          <w:tab w:val="left" w:pos="907"/>
        </w:tabs>
        <w:kinsoku/>
        <w:wordWrap/>
        <w:overflowPunct/>
        <w:topLinePunct w:val="0"/>
        <w:autoSpaceDE/>
        <w:autoSpaceDN/>
        <w:bidi w:val="0"/>
        <w:adjustRightInd/>
        <w:snapToGrid/>
        <w:spacing w:line="360" w:lineRule="auto"/>
        <w:ind w:left="420" w:leftChars="200" w:firstLine="0" w:firstLineChars="0"/>
        <w:jc w:val="both"/>
        <w:textAlignment w:val="auto"/>
        <w:rPr>
          <w:rFonts w:hint="eastAsia" w:ascii="宋体" w:hAnsi="宋体" w:eastAsia="宋体" w:cs="宋体"/>
          <w:bCs/>
          <w:color w:val="auto"/>
          <w:kern w:val="2"/>
          <w:szCs w:val="21"/>
          <w:highlight w:val="none"/>
          <w:lang w:val="zh-CN"/>
        </w:rPr>
      </w:pPr>
      <w:r>
        <w:rPr>
          <w:rFonts w:hint="eastAsia" w:ascii="宋体" w:hAnsi="宋体" w:eastAsia="宋体" w:cs="宋体"/>
          <w:bCs/>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6B826716">
      <w:pPr>
        <w:keepNext w:val="0"/>
        <w:keepLines w:val="0"/>
        <w:pageBreakBefore w:val="0"/>
        <w:widowControl w:val="0"/>
        <w:shd w:val="clear"/>
        <w:tabs>
          <w:tab w:val="left" w:pos="907"/>
        </w:tabs>
        <w:kinsoku/>
        <w:wordWrap/>
        <w:overflowPunct/>
        <w:topLinePunct w:val="0"/>
        <w:autoSpaceDE/>
        <w:autoSpaceDN/>
        <w:bidi w:val="0"/>
        <w:adjustRightInd/>
        <w:snapToGrid/>
        <w:spacing w:line="360" w:lineRule="auto"/>
        <w:ind w:left="420" w:leftChars="200" w:firstLine="0" w:firstLineChars="0"/>
        <w:jc w:val="both"/>
        <w:textAlignment w:val="auto"/>
        <w:rPr>
          <w:rFonts w:hint="eastAsia" w:ascii="宋体" w:hAnsi="宋体" w:eastAsia="宋体" w:cs="宋体"/>
          <w:bCs/>
          <w:color w:val="auto"/>
          <w:kern w:val="2"/>
          <w:szCs w:val="21"/>
          <w:highlight w:val="none"/>
          <w:lang w:val="zh-CN"/>
        </w:rPr>
      </w:pPr>
      <w:r>
        <w:rPr>
          <w:rFonts w:hint="eastAsia" w:ascii="宋体" w:hAnsi="宋体" w:eastAsia="宋体" w:cs="宋体"/>
          <w:bCs/>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3C6BD6B1">
      <w:pPr>
        <w:pageBreakBefore w:val="0"/>
        <w:widowControl w:val="0"/>
        <w:numPr>
          <w:ilvl w:val="1"/>
          <w:numId w:val="4"/>
        </w:numPr>
        <w:shd w:val="clear"/>
        <w:kinsoku/>
        <w:wordWrap/>
        <w:overflowPunct w:val="0"/>
        <w:topLinePunct w:val="0"/>
        <w:autoSpaceDE/>
        <w:autoSpaceDN/>
        <w:bidi w:val="0"/>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04185DCD">
      <w:pPr>
        <w:shd w:val="clear"/>
        <w:rPr>
          <w:rFonts w:ascii="宋体" w:hAnsi="宋体" w:cs="宋体"/>
          <w:color w:val="auto"/>
          <w:highlight w:val="none"/>
        </w:rPr>
      </w:pPr>
    </w:p>
    <w:p w14:paraId="7CDA6656">
      <w:pPr>
        <w:pStyle w:val="7"/>
        <w:numPr>
          <w:ilvl w:val="0"/>
          <w:numId w:val="3"/>
        </w:numPr>
        <w:shd w:val="clear"/>
        <w:spacing w:before="0" w:after="0" w:line="360" w:lineRule="auto"/>
        <w:jc w:val="center"/>
        <w:rPr>
          <w:rFonts w:ascii="宋体" w:hAnsi="宋体" w:cs="宋体"/>
          <w:color w:val="auto"/>
          <w:highlight w:val="none"/>
        </w:rPr>
      </w:pPr>
      <w:bookmarkStart w:id="93" w:name="_Toc9324"/>
      <w:r>
        <w:rPr>
          <w:rFonts w:hint="eastAsia" w:ascii="宋体" w:hAnsi="宋体" w:cs="宋体"/>
          <w:color w:val="auto"/>
          <w:highlight w:val="none"/>
        </w:rPr>
        <w:t>其他</w:t>
      </w:r>
      <w:bookmarkEnd w:id="93"/>
    </w:p>
    <w:p w14:paraId="4ED3EBBE">
      <w:pPr>
        <w:pStyle w:val="8"/>
        <w:widowControl w:val="0"/>
        <w:numPr>
          <w:ilvl w:val="0"/>
          <w:numId w:val="4"/>
        </w:numPr>
        <w:shd w:val="clear"/>
        <w:overflowPunct w:val="0"/>
        <w:rPr>
          <w:rFonts w:ascii="宋体" w:hAnsi="宋体" w:cs="宋体"/>
          <w:color w:val="auto"/>
          <w:sz w:val="21"/>
          <w:szCs w:val="21"/>
          <w:highlight w:val="none"/>
        </w:rPr>
      </w:pPr>
      <w:bookmarkStart w:id="94" w:name="_Toc2737"/>
      <w:r>
        <w:rPr>
          <w:rFonts w:hint="eastAsia" w:ascii="宋体" w:hAnsi="宋体" w:cs="宋体"/>
          <w:color w:val="auto"/>
          <w:sz w:val="21"/>
          <w:szCs w:val="21"/>
          <w:highlight w:val="none"/>
        </w:rPr>
        <w:t>采购文件的解释权</w:t>
      </w:r>
      <w:bookmarkEnd w:id="94"/>
    </w:p>
    <w:p w14:paraId="3181F3A5">
      <w:pPr>
        <w:pStyle w:val="42"/>
        <w:widowControl w:val="0"/>
        <w:numPr>
          <w:ilvl w:val="0"/>
          <w:numId w:val="5"/>
        </w:numPr>
        <w:shd w:val="clear"/>
        <w:tabs>
          <w:tab w:val="left" w:pos="907"/>
        </w:tabs>
        <w:adjustRightInd/>
        <w:snapToGrid/>
        <w:ind w:firstLineChars="0"/>
        <w:jc w:val="both"/>
        <w:rPr>
          <w:rFonts w:ascii="宋体" w:hAnsi="宋体" w:cs="宋体"/>
          <w:vanish/>
          <w:color w:val="auto"/>
          <w:szCs w:val="21"/>
          <w:highlight w:val="none"/>
        </w:rPr>
      </w:pPr>
    </w:p>
    <w:p w14:paraId="068A0640">
      <w:pPr>
        <w:widowControl w:val="0"/>
        <w:numPr>
          <w:ilvl w:val="1"/>
          <w:numId w:val="4"/>
        </w:numPr>
        <w:shd w:val="clea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7FAC4AF6">
      <w:pPr>
        <w:widowControl w:val="0"/>
        <w:numPr>
          <w:ilvl w:val="1"/>
          <w:numId w:val="5"/>
        </w:numPr>
        <w:shd w:val="clear"/>
        <w:tabs>
          <w:tab w:val="left" w:pos="907"/>
        </w:tabs>
        <w:adjustRightInd/>
        <w:snapToGrid/>
        <w:jc w:val="both"/>
        <w:rPr>
          <w:rFonts w:ascii="宋体" w:hAnsi="宋体" w:cs="宋体"/>
          <w:color w:val="auto"/>
          <w:szCs w:val="21"/>
          <w:highlight w:val="none"/>
        </w:rPr>
      </w:pPr>
      <w:r>
        <w:rPr>
          <w:rFonts w:hint="eastAsia" w:ascii="宋体" w:hAnsi="宋体" w:cs="宋体"/>
          <w:color w:val="auto"/>
          <w:szCs w:val="21"/>
          <w:highlight w:val="none"/>
        </w:rPr>
        <w:br w:type="page"/>
      </w:r>
    </w:p>
    <w:p w14:paraId="066D7BF0">
      <w:pPr>
        <w:pStyle w:val="6"/>
        <w:shd w:val="clear"/>
        <w:spacing w:before="0" w:after="0" w:line="240" w:lineRule="auto"/>
        <w:rPr>
          <w:color w:val="auto"/>
          <w:sz w:val="28"/>
          <w:szCs w:val="28"/>
          <w:highlight w:val="none"/>
        </w:rPr>
      </w:pPr>
      <w:bookmarkStart w:id="95" w:name="_Toc28982"/>
      <w:r>
        <w:rPr>
          <w:rFonts w:hint="eastAsia"/>
          <w:color w:val="auto"/>
          <w:sz w:val="28"/>
          <w:szCs w:val="28"/>
          <w:highlight w:val="none"/>
        </w:rPr>
        <w:t>第五部分  合同条款格式</w:t>
      </w:r>
      <w:bookmarkEnd w:id="95"/>
      <w:bookmarkStart w:id="96" w:name="_Toc15636"/>
    </w:p>
    <w:bookmarkEnd w:id="96"/>
    <w:p w14:paraId="7820583C">
      <w:pPr>
        <w:shd w:val="clear"/>
        <w:rPr>
          <w:color w:val="auto"/>
          <w:highlight w:val="none"/>
          <w:lang w:bidi="zh-CN"/>
        </w:rPr>
      </w:pPr>
      <w:bookmarkStart w:id="97" w:name="_Hlt109815959"/>
      <w:bookmarkEnd w:id="97"/>
    </w:p>
    <w:p w14:paraId="1E948800">
      <w:pPr>
        <w:spacing w:line="460" w:lineRule="exact"/>
        <w:rPr>
          <w:rFonts w:hint="eastAsia" w:ascii="宋体" w:hAnsi="宋体"/>
          <w:b/>
          <w:color w:val="auto"/>
          <w:sz w:val="24"/>
          <w:highlight w:val="none"/>
        </w:rPr>
      </w:pPr>
      <w:bookmarkStart w:id="98" w:name="_Toc18720"/>
      <w:r>
        <w:rPr>
          <w:rFonts w:hint="eastAsia" w:ascii="宋体" w:hAnsi="宋体"/>
          <w:color w:val="auto"/>
          <w:sz w:val="24"/>
          <w:highlight w:val="none"/>
          <w:lang w:val="en-US" w:eastAsia="zh-CN"/>
        </w:rPr>
        <w:t xml:space="preserve">   </w:t>
      </w:r>
      <w:bookmarkEnd w:id="98"/>
      <w:r>
        <w:rPr>
          <w:rFonts w:hint="eastAsia" w:ascii="宋体" w:hAnsi="宋体"/>
          <w:color w:val="auto"/>
          <w:sz w:val="28"/>
          <w:szCs w:val="28"/>
          <w:highlight w:val="none"/>
        </w:rPr>
        <w:t>【</w:t>
      </w:r>
      <w:r>
        <w:rPr>
          <w:rFonts w:hint="eastAsia" w:ascii="宋体" w:hAnsi="宋体"/>
          <w:b/>
          <w:color w:val="auto"/>
          <w:sz w:val="28"/>
          <w:szCs w:val="28"/>
          <w:highlight w:val="none"/>
        </w:rPr>
        <w:t>合同编号：</w:t>
      </w:r>
      <w:bookmarkStart w:id="99" w:name="合同编号"/>
      <w:r>
        <w:rPr>
          <w:rFonts w:hint="eastAsia" w:ascii="宋体" w:hAnsi="宋体"/>
          <w:b/>
          <w:color w:val="auto"/>
          <w:sz w:val="28"/>
          <w:szCs w:val="28"/>
          <w:highlight w:val="none"/>
        </w:rPr>
        <w:t>XFGFSG202</w:t>
      </w:r>
      <w:permStart w:id="0" w:edGrp="everyone"/>
      <w:r>
        <w:rPr>
          <w:rFonts w:hint="eastAsia" w:ascii="宋体" w:hAnsi="宋体"/>
          <w:b/>
          <w:color w:val="auto"/>
          <w:sz w:val="28"/>
          <w:szCs w:val="28"/>
          <w:highlight w:val="none"/>
        </w:rPr>
        <w:t>X</w:t>
      </w:r>
      <w:permEnd w:id="0"/>
      <w:r>
        <w:rPr>
          <w:rFonts w:hint="eastAsia" w:ascii="宋体" w:hAnsi="宋体"/>
          <w:b/>
          <w:color w:val="auto"/>
          <w:sz w:val="28"/>
          <w:szCs w:val="28"/>
          <w:highlight w:val="none"/>
        </w:rPr>
        <w:t>0</w:t>
      </w:r>
      <w:permStart w:id="1" w:edGrp="everyone"/>
      <w:r>
        <w:rPr>
          <w:rFonts w:hint="eastAsia" w:ascii="宋体" w:hAnsi="宋体"/>
          <w:b/>
          <w:color w:val="auto"/>
          <w:sz w:val="28"/>
          <w:szCs w:val="28"/>
          <w:highlight w:val="none"/>
        </w:rPr>
        <w:t>XX</w:t>
      </w:r>
      <w:bookmarkEnd w:id="99"/>
      <w:permEnd w:id="1"/>
      <w:r>
        <w:rPr>
          <w:rFonts w:hint="eastAsia" w:ascii="宋体" w:hAnsi="宋体"/>
          <w:color w:val="auto"/>
          <w:sz w:val="28"/>
          <w:szCs w:val="28"/>
          <w:highlight w:val="none"/>
        </w:rPr>
        <w:t>】</w:t>
      </w:r>
    </w:p>
    <w:p w14:paraId="010F65FD">
      <w:pPr>
        <w:ind w:firstLine="1626" w:firstLineChars="540"/>
        <w:rPr>
          <w:rFonts w:hint="eastAsia" w:ascii="宋体" w:hAnsi="宋体"/>
          <w:b/>
          <w:color w:val="auto"/>
          <w:sz w:val="30"/>
          <w:highlight w:val="none"/>
        </w:rPr>
      </w:pPr>
    </w:p>
    <w:p w14:paraId="75A3CECB">
      <w:pPr>
        <w:ind w:firstLine="1626" w:firstLineChars="540"/>
        <w:rPr>
          <w:rFonts w:hint="eastAsia" w:ascii="宋体" w:hAnsi="宋体"/>
          <w:b/>
          <w:color w:val="auto"/>
          <w:sz w:val="30"/>
          <w:highlight w:val="none"/>
        </w:rPr>
      </w:pPr>
    </w:p>
    <w:p w14:paraId="027D51E9">
      <w:pPr>
        <w:ind w:firstLine="1626" w:firstLineChars="540"/>
        <w:rPr>
          <w:rFonts w:hint="eastAsia" w:ascii="宋体" w:hAnsi="宋体"/>
          <w:b/>
          <w:color w:val="auto"/>
          <w:sz w:val="30"/>
          <w:highlight w:val="none"/>
        </w:rPr>
      </w:pPr>
    </w:p>
    <w:p w14:paraId="5E81AEBA">
      <w:pPr>
        <w:jc w:val="center"/>
        <w:rPr>
          <w:rFonts w:hint="eastAsia" w:ascii="宋体" w:hAnsi="宋体" w:eastAsia="宋体"/>
          <w:b/>
          <w:color w:val="auto"/>
          <w:sz w:val="52"/>
          <w:szCs w:val="52"/>
          <w:highlight w:val="none"/>
          <w:lang w:eastAsia="zh-CN"/>
        </w:rPr>
      </w:pPr>
      <w:r>
        <w:rPr>
          <w:rFonts w:hint="eastAsia" w:ascii="宋体" w:hAnsi="宋体"/>
          <w:b/>
          <w:color w:val="auto"/>
          <w:sz w:val="52"/>
          <w:szCs w:val="52"/>
          <w:highlight w:val="none"/>
          <w:lang w:eastAsia="zh-CN"/>
        </w:rPr>
        <w:t>东莞市新锋新能源有限公司</w:t>
      </w:r>
    </w:p>
    <w:p w14:paraId="5DCA7EBE">
      <w:pPr>
        <w:jc w:val="center"/>
        <w:rPr>
          <w:rFonts w:hint="eastAsia" w:ascii="宋体" w:hAnsi="宋体"/>
          <w:b/>
          <w:color w:val="auto"/>
          <w:sz w:val="52"/>
          <w:szCs w:val="52"/>
          <w:highlight w:val="none"/>
        </w:rPr>
      </w:pPr>
      <w:permStart w:id="2" w:edGrp="everyone"/>
      <w:r>
        <w:rPr>
          <w:rFonts w:hint="eastAsia" w:ascii="宋体" w:hAnsi="宋体"/>
          <w:b/>
          <w:color w:val="auto"/>
          <w:sz w:val="52"/>
          <w:szCs w:val="52"/>
          <w:highlight w:val="none"/>
        </w:rPr>
        <w:t>XX</w:t>
      </w:r>
      <w:r>
        <w:rPr>
          <w:rFonts w:hint="eastAsia" w:ascii="宋体" w:hAnsi="宋体"/>
          <w:b/>
          <w:color w:val="auto"/>
          <w:sz w:val="52"/>
          <w:szCs w:val="52"/>
          <w:highlight w:val="none"/>
          <w:lang w:val="en-US" w:eastAsia="zh-CN"/>
        </w:rPr>
        <w:t>厂区</w:t>
      </w:r>
      <w:permEnd w:id="2"/>
      <w:r>
        <w:rPr>
          <w:rFonts w:hint="eastAsia" w:ascii="宋体" w:hAnsi="宋体"/>
          <w:b/>
          <w:color w:val="auto"/>
          <w:sz w:val="52"/>
          <w:szCs w:val="52"/>
          <w:highlight w:val="none"/>
        </w:rPr>
        <w:t>分布式光伏发电项目</w:t>
      </w:r>
    </w:p>
    <w:p w14:paraId="78953D03">
      <w:pPr>
        <w:jc w:val="center"/>
        <w:rPr>
          <w:rFonts w:hint="eastAsia" w:ascii="宋体" w:hAnsi="宋体"/>
          <w:b/>
          <w:color w:val="auto"/>
          <w:sz w:val="52"/>
          <w:szCs w:val="52"/>
          <w:highlight w:val="none"/>
        </w:rPr>
      </w:pPr>
      <w:r>
        <w:rPr>
          <w:rFonts w:hint="eastAsia" w:ascii="宋体" w:hAnsi="宋体"/>
          <w:b/>
          <w:color w:val="auto"/>
          <w:sz w:val="52"/>
          <w:szCs w:val="52"/>
          <w:highlight w:val="none"/>
        </w:rPr>
        <w:t>总承包合同</w:t>
      </w:r>
    </w:p>
    <w:p w14:paraId="2AF198C4">
      <w:pPr>
        <w:ind w:firstLine="1626" w:firstLineChars="540"/>
        <w:rPr>
          <w:rFonts w:hint="eastAsia" w:ascii="宋体" w:hAnsi="宋体"/>
          <w:b/>
          <w:color w:val="auto"/>
          <w:sz w:val="30"/>
          <w:highlight w:val="none"/>
        </w:rPr>
      </w:pPr>
    </w:p>
    <w:p w14:paraId="130D6980">
      <w:pPr>
        <w:ind w:firstLine="1626" w:firstLineChars="540"/>
        <w:rPr>
          <w:rFonts w:hint="eastAsia" w:ascii="宋体" w:hAnsi="宋体"/>
          <w:b/>
          <w:color w:val="auto"/>
          <w:sz w:val="30"/>
          <w:highlight w:val="none"/>
        </w:rPr>
      </w:pPr>
    </w:p>
    <w:p w14:paraId="7ACF6247">
      <w:pPr>
        <w:rPr>
          <w:rFonts w:hint="eastAsia" w:ascii="宋体" w:hAnsi="宋体"/>
          <w:b/>
          <w:color w:val="auto"/>
          <w:sz w:val="30"/>
          <w:highlight w:val="none"/>
        </w:rPr>
      </w:pPr>
    </w:p>
    <w:p w14:paraId="730EF14A">
      <w:pPr>
        <w:rPr>
          <w:rFonts w:hint="eastAsia" w:ascii="宋体" w:hAnsi="宋体"/>
          <w:b/>
          <w:color w:val="auto"/>
          <w:sz w:val="30"/>
          <w:highlight w:val="none"/>
        </w:rPr>
      </w:pPr>
    </w:p>
    <w:p w14:paraId="414A1CC9">
      <w:pPr>
        <w:pStyle w:val="12"/>
        <w:adjustRightInd w:val="0"/>
        <w:snapToGrid w:val="0"/>
        <w:spacing w:line="288" w:lineRule="auto"/>
        <w:ind w:firstLine="900" w:firstLineChars="280"/>
        <w:outlineLvl w:val="0"/>
        <w:rPr>
          <w:rFonts w:hint="eastAsia" w:ascii="宋体" w:hAnsi="宋体" w:eastAsia="宋体"/>
          <w:b/>
          <w:color w:val="auto"/>
          <w:sz w:val="32"/>
          <w:szCs w:val="32"/>
          <w:highlight w:val="none"/>
          <w:u w:val="single"/>
          <w:lang w:eastAsia="zh-CN"/>
        </w:rPr>
      </w:pPr>
      <w:r>
        <w:rPr>
          <w:rFonts w:hint="eastAsia" w:ascii="宋体" w:hAnsi="宋体"/>
          <w:b/>
          <w:color w:val="auto"/>
          <w:sz w:val="32"/>
          <w:szCs w:val="32"/>
          <w:highlight w:val="none"/>
        </w:rPr>
        <w:t xml:space="preserve">  </w:t>
      </w:r>
      <w:bookmarkStart w:id="100" w:name="_Toc29528"/>
      <w:bookmarkStart w:id="101" w:name="_Toc12771"/>
      <w:r>
        <w:rPr>
          <w:rFonts w:hint="eastAsia" w:ascii="宋体" w:hAnsi="宋体"/>
          <w:b/>
          <w:color w:val="auto"/>
          <w:sz w:val="32"/>
          <w:szCs w:val="32"/>
          <w:highlight w:val="none"/>
        </w:rPr>
        <w:t xml:space="preserve">发包人（甲方）： </w:t>
      </w:r>
      <w:r>
        <w:rPr>
          <w:rFonts w:hint="eastAsia" w:ascii="宋体" w:hAnsi="宋体"/>
          <w:b/>
          <w:color w:val="auto"/>
          <w:sz w:val="32"/>
          <w:szCs w:val="32"/>
          <w:highlight w:val="none"/>
          <w:u w:val="single"/>
          <w:lang w:eastAsia="zh-CN"/>
        </w:rPr>
        <w:t>东莞市新锋新能源有限公司</w:t>
      </w:r>
      <w:bookmarkEnd w:id="100"/>
      <w:bookmarkEnd w:id="101"/>
    </w:p>
    <w:p w14:paraId="4BE1728D">
      <w:pPr>
        <w:pStyle w:val="12"/>
        <w:adjustRightInd w:val="0"/>
        <w:snapToGrid w:val="0"/>
        <w:spacing w:line="288" w:lineRule="auto"/>
        <w:ind w:firstLine="900" w:firstLineChars="280"/>
        <w:outlineLvl w:val="0"/>
        <w:rPr>
          <w:rFonts w:hint="eastAsia" w:ascii="宋体" w:hAnsi="宋体"/>
          <w:b/>
          <w:color w:val="auto"/>
          <w:sz w:val="32"/>
          <w:szCs w:val="32"/>
          <w:highlight w:val="none"/>
          <w:u w:val="single"/>
        </w:rPr>
      </w:pPr>
    </w:p>
    <w:p w14:paraId="3E71AAA4">
      <w:pPr>
        <w:pStyle w:val="12"/>
        <w:adjustRightInd w:val="0"/>
        <w:snapToGrid w:val="0"/>
        <w:spacing w:line="288" w:lineRule="auto"/>
        <w:ind w:firstLine="900" w:firstLineChars="280"/>
        <w:outlineLvl w:val="0"/>
        <w:rPr>
          <w:rFonts w:hint="eastAsia" w:ascii="宋体" w:hAnsi="宋体" w:eastAsia="宋体" w:cs="宋体"/>
          <w:b/>
          <w:color w:val="auto"/>
          <w:sz w:val="32"/>
          <w:szCs w:val="32"/>
          <w:highlight w:val="none"/>
          <w:lang w:eastAsia="zh-CN"/>
        </w:rPr>
      </w:pPr>
      <w:r>
        <w:rPr>
          <w:rFonts w:hint="eastAsia" w:ascii="宋体" w:hAnsi="宋体"/>
          <w:b/>
          <w:color w:val="auto"/>
          <w:sz w:val="32"/>
          <w:szCs w:val="32"/>
          <w:highlight w:val="none"/>
        </w:rPr>
        <w:t xml:space="preserve">  </w:t>
      </w:r>
      <w:bookmarkStart w:id="102" w:name="_Toc2412"/>
      <w:bookmarkStart w:id="103" w:name="_Toc1741"/>
      <w:r>
        <w:rPr>
          <w:rFonts w:hint="eastAsia" w:ascii="宋体" w:hAnsi="宋体"/>
          <w:b/>
          <w:color w:val="auto"/>
          <w:sz w:val="32"/>
          <w:szCs w:val="32"/>
          <w:highlight w:val="none"/>
        </w:rPr>
        <w:t xml:space="preserve">承包人（乙方）： </w:t>
      </w:r>
      <w:r>
        <w:rPr>
          <w:rFonts w:hint="eastAsia" w:ascii="宋体" w:hAnsi="宋体"/>
          <w:b/>
          <w:color w:val="auto"/>
          <w:sz w:val="32"/>
          <w:szCs w:val="32"/>
          <w:highlight w:val="none"/>
          <w:u w:val="single"/>
        </w:rPr>
        <w:t>(</w:t>
      </w:r>
      <w:r>
        <w:rPr>
          <w:rFonts w:hint="eastAsia" w:ascii="宋体" w:hAnsi="宋体" w:eastAsia="宋体" w:cs="宋体"/>
          <w:b/>
          <w:color w:val="auto"/>
          <w:sz w:val="32"/>
          <w:szCs w:val="32"/>
          <w:highlight w:val="none"/>
          <w:u w:val="single"/>
        </w:rPr>
        <w:t>主)</w:t>
      </w:r>
      <w:permStart w:id="3" w:edGrp="everyone"/>
      <w:r>
        <w:rPr>
          <w:rFonts w:hint="eastAsia" w:ascii="宋体" w:hAnsi="宋体" w:eastAsia="宋体" w:cs="宋体"/>
          <w:b/>
          <w:color w:val="auto"/>
          <w:sz w:val="32"/>
          <w:szCs w:val="32"/>
          <w:highlight w:val="none"/>
          <w:u w:val="single"/>
          <w:lang w:eastAsia="zh-CN"/>
        </w:rPr>
        <w:t>（</w:t>
      </w:r>
      <w:r>
        <w:rPr>
          <w:rFonts w:hint="eastAsia" w:ascii="宋体" w:hAnsi="宋体" w:eastAsia="宋体" w:cs="宋体"/>
          <w:b/>
          <w:color w:val="auto"/>
          <w:sz w:val="32"/>
          <w:szCs w:val="32"/>
          <w:highlight w:val="none"/>
          <w:u w:val="single"/>
          <w:lang w:val="en-US" w:eastAsia="zh-CN"/>
        </w:rPr>
        <w:t>盖章</w:t>
      </w:r>
      <w:r>
        <w:rPr>
          <w:rFonts w:hint="eastAsia" w:ascii="宋体" w:hAnsi="宋体" w:eastAsia="宋体" w:cs="宋体"/>
          <w:b/>
          <w:color w:val="auto"/>
          <w:sz w:val="32"/>
          <w:szCs w:val="32"/>
          <w:highlight w:val="none"/>
          <w:u w:val="single"/>
          <w:lang w:eastAsia="zh-CN"/>
        </w:rPr>
        <w:t>）</w:t>
      </w:r>
      <w:r>
        <w:rPr>
          <w:rFonts w:hint="eastAsia" w:ascii="宋体" w:hAnsi="宋体" w:eastAsia="宋体" w:cs="宋体"/>
          <w:b/>
          <w:color w:val="auto"/>
          <w:sz w:val="32"/>
          <w:szCs w:val="32"/>
          <w:highlight w:val="none"/>
          <w:u w:val="single"/>
        </w:rPr>
        <w:fldChar w:fldCharType="begin"/>
      </w:r>
      <w:r>
        <w:rPr>
          <w:rFonts w:hint="eastAsia" w:ascii="宋体" w:hAnsi="宋体" w:eastAsia="宋体" w:cs="宋体"/>
          <w:b/>
          <w:color w:val="auto"/>
          <w:sz w:val="32"/>
          <w:szCs w:val="32"/>
          <w:highlight w:val="none"/>
          <w:u w:val="single"/>
        </w:rPr>
        <w:instrText xml:space="preserve"> REF 乙方（主） \h </w:instrText>
      </w:r>
      <w:r>
        <w:rPr>
          <w:rFonts w:hint="eastAsia" w:ascii="宋体" w:hAnsi="宋体" w:eastAsia="宋体" w:cs="宋体"/>
          <w:b/>
          <w:color w:val="auto"/>
          <w:sz w:val="32"/>
          <w:szCs w:val="32"/>
          <w:highlight w:val="none"/>
          <w:u w:val="single"/>
        </w:rPr>
        <w:fldChar w:fldCharType="separate"/>
      </w:r>
      <w:r>
        <w:rPr>
          <w:rFonts w:hint="eastAsia" w:ascii="宋体" w:hAnsi="宋体" w:eastAsia="宋体" w:cs="宋体"/>
          <w:b/>
          <w:color w:val="auto"/>
          <w:sz w:val="32"/>
          <w:szCs w:val="32"/>
          <w:highlight w:val="none"/>
          <w:u w:val="single"/>
        </w:rPr>
        <w:t>XX有限公司</w:t>
      </w:r>
      <w:r>
        <w:rPr>
          <w:rFonts w:hint="eastAsia" w:ascii="宋体" w:hAnsi="宋体" w:eastAsia="宋体" w:cs="宋体"/>
          <w:b/>
          <w:color w:val="auto"/>
          <w:sz w:val="32"/>
          <w:szCs w:val="32"/>
          <w:highlight w:val="none"/>
          <w:u w:val="single"/>
        </w:rPr>
        <w:fldChar w:fldCharType="end"/>
      </w:r>
      <w:bookmarkEnd w:id="102"/>
      <w:bookmarkEnd w:id="103"/>
      <w:permEnd w:id="3"/>
    </w:p>
    <w:p w14:paraId="578FF63A">
      <w:pPr>
        <w:pStyle w:val="12"/>
        <w:adjustRightInd w:val="0"/>
        <w:snapToGrid w:val="0"/>
        <w:spacing w:line="288" w:lineRule="auto"/>
        <w:ind w:firstLine="900" w:firstLineChars="280"/>
        <w:outlineLvl w:val="0"/>
        <w:rPr>
          <w:rFonts w:hint="eastAsia" w:ascii="宋体" w:hAnsi="宋体"/>
          <w:b/>
          <w:color w:val="auto"/>
          <w:sz w:val="32"/>
          <w:szCs w:val="32"/>
          <w:highlight w:val="none"/>
        </w:rPr>
      </w:pPr>
      <w:r>
        <w:rPr>
          <w:rFonts w:hint="eastAsia" w:ascii="宋体" w:hAnsi="宋体" w:eastAsia="宋体" w:cs="宋体"/>
          <w:b/>
          <w:color w:val="auto"/>
          <w:sz w:val="32"/>
          <w:szCs w:val="32"/>
          <w:highlight w:val="none"/>
        </w:rPr>
        <w:t xml:space="preserve">                 </w:t>
      </w:r>
      <w:r>
        <w:rPr>
          <w:rFonts w:hint="eastAsia" w:ascii="宋体" w:hAnsi="宋体" w:eastAsia="宋体" w:cs="宋体"/>
          <w:b/>
          <w:color w:val="auto"/>
          <w:sz w:val="32"/>
          <w:szCs w:val="32"/>
          <w:highlight w:val="none"/>
          <w:lang w:val="en-US" w:eastAsia="zh-CN"/>
        </w:rPr>
        <w:t xml:space="preserve"> </w:t>
      </w:r>
      <w:bookmarkStart w:id="104" w:name="_Toc3600"/>
      <w:bookmarkStart w:id="105" w:name="_Toc15984"/>
      <w:r>
        <w:rPr>
          <w:rFonts w:hint="eastAsia" w:ascii="宋体" w:hAnsi="宋体" w:eastAsia="宋体" w:cs="宋体"/>
          <w:b/>
          <w:color w:val="auto"/>
          <w:sz w:val="32"/>
          <w:szCs w:val="32"/>
          <w:highlight w:val="none"/>
          <w:u w:val="single"/>
        </w:rPr>
        <w:t>(成)</w:t>
      </w:r>
      <w:permStart w:id="4" w:edGrp="everyone"/>
      <w:r>
        <w:rPr>
          <w:rFonts w:hint="eastAsia" w:ascii="宋体" w:hAnsi="宋体" w:eastAsia="宋体" w:cs="宋体"/>
          <w:b/>
          <w:color w:val="auto"/>
          <w:sz w:val="32"/>
          <w:szCs w:val="32"/>
          <w:highlight w:val="none"/>
          <w:u w:val="single"/>
        </w:rPr>
        <w:t>（盖章）</w:t>
      </w:r>
      <w:r>
        <w:rPr>
          <w:rFonts w:hint="eastAsia" w:ascii="宋体" w:hAnsi="宋体" w:eastAsia="宋体" w:cs="宋体"/>
          <w:b/>
          <w:color w:val="auto"/>
          <w:sz w:val="32"/>
          <w:szCs w:val="32"/>
          <w:highlight w:val="none"/>
          <w:u w:val="single"/>
        </w:rPr>
        <w:fldChar w:fldCharType="begin"/>
      </w:r>
      <w:r>
        <w:rPr>
          <w:rFonts w:hint="eastAsia" w:ascii="宋体" w:hAnsi="宋体" w:eastAsia="宋体" w:cs="宋体"/>
          <w:b/>
          <w:color w:val="auto"/>
          <w:sz w:val="32"/>
          <w:szCs w:val="32"/>
          <w:highlight w:val="none"/>
          <w:u w:val="single"/>
        </w:rPr>
        <w:instrText xml:space="preserve"> REF 乙方（成） \h </w:instrText>
      </w:r>
      <w:r>
        <w:rPr>
          <w:rFonts w:hint="eastAsia" w:ascii="宋体" w:hAnsi="宋体" w:eastAsia="宋体" w:cs="宋体"/>
          <w:b/>
          <w:color w:val="auto"/>
          <w:sz w:val="32"/>
          <w:szCs w:val="32"/>
          <w:highlight w:val="none"/>
          <w:u w:val="single"/>
        </w:rPr>
        <w:fldChar w:fldCharType="separate"/>
      </w:r>
      <w:r>
        <w:rPr>
          <w:rFonts w:hint="eastAsia" w:ascii="宋体" w:hAnsi="宋体" w:eastAsia="宋体" w:cs="宋体"/>
          <w:b/>
          <w:color w:val="auto"/>
          <w:sz w:val="32"/>
          <w:szCs w:val="32"/>
          <w:highlight w:val="none"/>
          <w:u w:val="single"/>
        </w:rPr>
        <w:t>XX有限公司</w:t>
      </w:r>
      <w:r>
        <w:rPr>
          <w:rFonts w:hint="eastAsia" w:ascii="宋体" w:hAnsi="宋体" w:eastAsia="宋体" w:cs="宋体"/>
          <w:b/>
          <w:color w:val="auto"/>
          <w:sz w:val="32"/>
          <w:szCs w:val="32"/>
          <w:highlight w:val="none"/>
          <w:u w:val="single"/>
        </w:rPr>
        <w:fldChar w:fldCharType="end"/>
      </w:r>
      <w:permEnd w:id="4"/>
      <w:bookmarkEnd w:id="104"/>
      <w:bookmarkEnd w:id="105"/>
    </w:p>
    <w:p w14:paraId="5EEBCF4C">
      <w:pPr>
        <w:pStyle w:val="36"/>
        <w:spacing w:before="156"/>
        <w:ind w:firstLine="0" w:firstLineChars="0"/>
        <w:rPr>
          <w:color w:val="auto"/>
          <w:highlight w:val="none"/>
        </w:rPr>
      </w:pPr>
    </w:p>
    <w:p w14:paraId="21D3F4D1">
      <w:pPr>
        <w:adjustRightInd w:val="0"/>
        <w:snapToGrid w:val="0"/>
        <w:spacing w:line="288" w:lineRule="auto"/>
        <w:jc w:val="center"/>
        <w:rPr>
          <w:rFonts w:hint="eastAsia" w:ascii="宋体" w:hAnsi="宋体"/>
          <w:b/>
          <w:color w:val="auto"/>
          <w:sz w:val="32"/>
          <w:szCs w:val="32"/>
          <w:highlight w:val="none"/>
        </w:rPr>
      </w:pPr>
      <w:r>
        <w:rPr>
          <w:rFonts w:hint="eastAsia" w:ascii="宋体" w:hAnsi="宋体"/>
          <w:b/>
          <w:color w:val="auto"/>
          <w:sz w:val="32"/>
          <w:szCs w:val="32"/>
          <w:highlight w:val="none"/>
        </w:rPr>
        <w:t>广东省 东莞市</w:t>
      </w:r>
    </w:p>
    <w:p w14:paraId="72B38819">
      <w:pPr>
        <w:adjustRightInd w:val="0"/>
        <w:snapToGrid w:val="0"/>
        <w:spacing w:line="288" w:lineRule="auto"/>
        <w:jc w:val="center"/>
        <w:rPr>
          <w:rFonts w:hint="eastAsia" w:ascii="宋体" w:hAnsi="宋体"/>
          <w:b/>
          <w:color w:val="auto"/>
          <w:sz w:val="32"/>
          <w:szCs w:val="32"/>
          <w:highlight w:val="none"/>
        </w:rPr>
      </w:pPr>
    </w:p>
    <w:p w14:paraId="78676501">
      <w:pPr>
        <w:adjustRightInd w:val="0"/>
        <w:snapToGrid w:val="0"/>
        <w:spacing w:line="288" w:lineRule="auto"/>
        <w:jc w:val="center"/>
        <w:rPr>
          <w:rFonts w:hint="eastAsia" w:ascii="宋体" w:hAnsi="宋体"/>
          <w:b/>
          <w:color w:val="auto"/>
          <w:sz w:val="32"/>
          <w:szCs w:val="32"/>
          <w:highlight w:val="none"/>
        </w:rPr>
      </w:pP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年</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月</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日</w:t>
      </w:r>
    </w:p>
    <w:p w14:paraId="53BBA4B7">
      <w:pPr>
        <w:rPr>
          <w:color w:val="auto"/>
          <w:highlight w:val="none"/>
        </w:rPr>
      </w:pPr>
    </w:p>
    <w:p w14:paraId="3C2BEFC4">
      <w:pPr>
        <w:spacing w:line="360" w:lineRule="auto"/>
        <w:jc w:val="center"/>
        <w:rPr>
          <w:rFonts w:hint="eastAsia" w:ascii="宋体" w:hAnsi="宋体"/>
          <w:b/>
          <w:color w:val="auto"/>
          <w:sz w:val="32"/>
          <w:szCs w:val="32"/>
          <w:highlight w:val="none"/>
        </w:rPr>
        <w:sectPr>
          <w:headerReference r:id="rId10" w:type="first"/>
          <w:footerReference r:id="rId11" w:type="default"/>
          <w:footerReference r:id="rId12" w:type="even"/>
          <w:pgSz w:w="11906" w:h="16838"/>
          <w:pgMar w:top="1440" w:right="1803" w:bottom="1440" w:left="1803" w:header="851" w:footer="992" w:gutter="0"/>
          <w:pgBorders>
            <w:top w:val="none" w:sz="0" w:space="0"/>
            <w:left w:val="none" w:sz="0" w:space="0"/>
            <w:bottom w:val="none" w:sz="0" w:space="0"/>
            <w:right w:val="none" w:sz="0" w:space="0"/>
          </w:pgBorders>
          <w:cols w:space="720" w:num="1"/>
          <w:titlePg/>
          <w:docGrid w:type="lines" w:linePitch="312" w:charSpace="0"/>
        </w:sectPr>
      </w:pPr>
    </w:p>
    <w:p w14:paraId="40B73D13">
      <w:pPr>
        <w:spacing w:line="360" w:lineRule="auto"/>
        <w:jc w:val="center"/>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东莞市新锋新能源有限公司</w:t>
      </w:r>
    </w:p>
    <w:p w14:paraId="46C80165">
      <w:pPr>
        <w:spacing w:line="360" w:lineRule="auto"/>
        <w:jc w:val="center"/>
        <w:rPr>
          <w:rFonts w:hint="eastAsia" w:ascii="宋体" w:hAnsi="宋体"/>
          <w:b/>
          <w:color w:val="auto"/>
          <w:sz w:val="32"/>
          <w:szCs w:val="32"/>
          <w:highlight w:val="none"/>
        </w:rPr>
      </w:pPr>
      <w:permStart w:id="5" w:edGrp="everyone"/>
      <w:r>
        <w:rPr>
          <w:rFonts w:hint="eastAsia" w:ascii="宋体" w:hAnsi="宋体"/>
          <w:b/>
          <w:color w:val="auto"/>
          <w:sz w:val="32"/>
          <w:szCs w:val="32"/>
          <w:highlight w:val="none"/>
          <w:lang w:val="en-US" w:eastAsia="zh-CN"/>
        </w:rPr>
        <w:t>XX</w:t>
      </w:r>
      <w:r>
        <w:rPr>
          <w:rFonts w:hint="eastAsia" w:ascii="宋体" w:hAnsi="宋体"/>
          <w:b/>
          <w:color w:val="auto"/>
          <w:sz w:val="32"/>
          <w:szCs w:val="32"/>
          <w:highlight w:val="none"/>
        </w:rPr>
        <w:t>厂区</w:t>
      </w:r>
      <w:permEnd w:id="5"/>
      <w:r>
        <w:rPr>
          <w:rFonts w:hint="eastAsia" w:ascii="宋体" w:hAnsi="宋体"/>
          <w:b/>
          <w:color w:val="auto"/>
          <w:sz w:val="32"/>
          <w:szCs w:val="32"/>
          <w:highlight w:val="none"/>
        </w:rPr>
        <w:t>分布式光伏发电项目总承包合同</w:t>
      </w:r>
    </w:p>
    <w:p w14:paraId="51ED0665">
      <w:pPr>
        <w:spacing w:line="360" w:lineRule="auto"/>
        <w:rPr>
          <w:rFonts w:hint="default" w:ascii="仿宋_GB2312" w:eastAsia="仿宋_GB2312"/>
          <w:color w:val="auto"/>
          <w:sz w:val="24"/>
          <w:highlight w:val="none"/>
        </w:rPr>
      </w:pPr>
    </w:p>
    <w:p w14:paraId="248BE293">
      <w:pPr>
        <w:spacing w:line="360" w:lineRule="auto"/>
        <w:rPr>
          <w:rFonts w:hint="eastAsia" w:ascii="仿宋_GB2312" w:eastAsia="仿宋_GB2312"/>
          <w:color w:val="auto"/>
          <w:sz w:val="24"/>
          <w:highlight w:val="none"/>
          <w:u w:val="none"/>
          <w:lang w:eastAsia="zh-CN"/>
        </w:rPr>
      </w:pPr>
      <w:r>
        <w:rPr>
          <w:rFonts w:hint="eastAsia" w:ascii="仿宋_GB2312" w:eastAsia="仿宋_GB2312"/>
          <w:b/>
          <w:color w:val="auto"/>
          <w:sz w:val="24"/>
          <w:highlight w:val="none"/>
        </w:rPr>
        <w:t>发包单位</w:t>
      </w:r>
      <w:r>
        <w:rPr>
          <w:rFonts w:hint="eastAsia" w:ascii="仿宋_GB2312" w:eastAsia="仿宋_GB2312"/>
          <w:color w:val="auto"/>
          <w:sz w:val="24"/>
          <w:highlight w:val="none"/>
        </w:rPr>
        <w:t>（以下简称甲方）</w:t>
      </w:r>
      <w:r>
        <w:rPr>
          <w:rFonts w:hint="eastAsia" w:ascii="仿宋_GB2312" w:eastAsia="仿宋_GB2312"/>
          <w:color w:val="auto"/>
          <w:sz w:val="24"/>
          <w:highlight w:val="none"/>
          <w:u w:val="none"/>
        </w:rPr>
        <w:t>：</w:t>
      </w:r>
      <w:r>
        <w:rPr>
          <w:rFonts w:hint="eastAsia" w:ascii="仿宋_GB2312" w:eastAsia="仿宋_GB2312"/>
          <w:color w:val="auto"/>
          <w:sz w:val="24"/>
          <w:highlight w:val="none"/>
          <w:u w:val="none"/>
          <w:lang w:eastAsia="zh-CN"/>
        </w:rPr>
        <w:t>东莞市新锋新能源有限公司</w:t>
      </w:r>
    </w:p>
    <w:p w14:paraId="11D3A352">
      <w:pPr>
        <w:spacing w:line="360" w:lineRule="auto"/>
        <w:rPr>
          <w:rFonts w:hint="default" w:ascii="仿宋_GB2312" w:eastAsia="仿宋_GB2312"/>
          <w:color w:val="auto"/>
          <w:sz w:val="24"/>
          <w:highlight w:val="none"/>
          <w:u w:val="none"/>
        </w:rPr>
      </w:pPr>
      <w:r>
        <w:rPr>
          <w:rFonts w:hint="eastAsia" w:ascii="仿宋_GB2312" w:eastAsia="仿宋_GB2312"/>
          <w:b/>
          <w:color w:val="auto"/>
          <w:sz w:val="24"/>
          <w:highlight w:val="none"/>
          <w:u w:val="none"/>
        </w:rPr>
        <w:t>承包单位</w:t>
      </w:r>
      <w:r>
        <w:rPr>
          <w:rFonts w:hint="eastAsia" w:ascii="仿宋_GB2312" w:eastAsia="仿宋_GB2312"/>
          <w:color w:val="auto"/>
          <w:sz w:val="24"/>
          <w:highlight w:val="none"/>
          <w:u w:val="none"/>
        </w:rPr>
        <w:t>（以下简称乙方）：(主)</w:t>
      </w:r>
      <w:permStart w:id="6" w:edGrp="everyone"/>
      <w:bookmarkStart w:id="106" w:name="乙方（主）"/>
      <w:r>
        <w:rPr>
          <w:rFonts w:hint="eastAsia" w:ascii="仿宋_GB2312" w:eastAsia="仿宋_GB2312"/>
          <w:color w:val="auto"/>
          <w:sz w:val="24"/>
          <w:highlight w:val="none"/>
          <w:u w:val="none"/>
        </w:rPr>
        <w:t>XX</w:t>
      </w:r>
      <w:permEnd w:id="6"/>
      <w:r>
        <w:rPr>
          <w:rFonts w:hint="eastAsia" w:ascii="仿宋_GB2312" w:eastAsia="仿宋_GB2312"/>
          <w:color w:val="auto"/>
          <w:sz w:val="24"/>
          <w:highlight w:val="none"/>
          <w:u w:val="none"/>
        </w:rPr>
        <w:t>有限公司</w:t>
      </w:r>
      <w:bookmarkEnd w:id="106"/>
      <w:r>
        <w:rPr>
          <w:rFonts w:hint="eastAsia" w:ascii="仿宋_GB2312" w:eastAsia="仿宋_GB2312"/>
          <w:color w:val="auto"/>
          <w:sz w:val="24"/>
          <w:highlight w:val="none"/>
          <w:u w:val="none"/>
        </w:rPr>
        <w:t>、(成)</w:t>
      </w:r>
      <w:permStart w:id="7" w:edGrp="everyone"/>
      <w:bookmarkStart w:id="107" w:name="乙方（成）"/>
      <w:r>
        <w:rPr>
          <w:rFonts w:hint="eastAsia" w:ascii="仿宋_GB2312" w:eastAsia="仿宋_GB2312"/>
          <w:color w:val="auto"/>
          <w:sz w:val="24"/>
          <w:highlight w:val="none"/>
          <w:u w:val="none"/>
        </w:rPr>
        <w:t>XX</w:t>
      </w:r>
      <w:permEnd w:id="7"/>
      <w:r>
        <w:rPr>
          <w:rFonts w:hint="eastAsia" w:ascii="仿宋_GB2312" w:eastAsia="仿宋_GB2312"/>
          <w:color w:val="auto"/>
          <w:sz w:val="24"/>
          <w:highlight w:val="none"/>
          <w:u w:val="none"/>
        </w:rPr>
        <w:t>有限公司</w:t>
      </w:r>
      <w:bookmarkEnd w:id="107"/>
    </w:p>
    <w:p w14:paraId="3C6C9DB1">
      <w:pPr>
        <w:spacing w:line="360" w:lineRule="auto"/>
        <w:rPr>
          <w:rFonts w:hint="default" w:ascii="仿宋_GB2312" w:eastAsia="仿宋_GB2312"/>
          <w:color w:val="auto"/>
          <w:sz w:val="24"/>
          <w:highlight w:val="none"/>
        </w:rPr>
      </w:pPr>
    </w:p>
    <w:p w14:paraId="61BA643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经甲乙双方协商一致，确定由乙方作为</w:t>
      </w:r>
      <w:bookmarkStart w:id="108" w:name="项目名称"/>
      <w:permStart w:id="8" w:edGrp="everyone"/>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w:t>
      </w:r>
      <w:permEnd w:id="8"/>
      <w:r>
        <w:rPr>
          <w:rFonts w:hint="eastAsia" w:ascii="仿宋_GB2312" w:eastAsia="仿宋_GB2312"/>
          <w:color w:val="auto"/>
          <w:sz w:val="24"/>
          <w:highlight w:val="none"/>
        </w:rPr>
        <w:t>分布式光伏发电项目</w:t>
      </w:r>
      <w:bookmarkEnd w:id="108"/>
      <w:r>
        <w:rPr>
          <w:rFonts w:hint="eastAsia" w:ascii="仿宋_GB2312" w:eastAsia="仿宋_GB2312"/>
          <w:color w:val="auto"/>
          <w:sz w:val="24"/>
          <w:highlight w:val="none"/>
        </w:rPr>
        <w:t>相关设备及配套设施设计、采购及安装等服务的承包单位,为明确双方的权利、义务，保质、保量、按期完成工程任务，双方根据《中华人民共和国民法典》、《中华人民共和国建筑法》等法律法规，签订本合同，供双方共同遵守执行。</w:t>
      </w:r>
    </w:p>
    <w:p w14:paraId="7A91010B">
      <w:pPr>
        <w:spacing w:line="360" w:lineRule="auto"/>
        <w:rPr>
          <w:rFonts w:hint="default" w:ascii="仿宋_GB2312" w:eastAsia="仿宋_GB2312"/>
          <w:b/>
          <w:color w:val="auto"/>
          <w:sz w:val="24"/>
          <w:highlight w:val="none"/>
        </w:rPr>
      </w:pPr>
    </w:p>
    <w:p w14:paraId="187DB35D">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一、工程概况</w:t>
      </w:r>
    </w:p>
    <w:p w14:paraId="18D8EF0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1．工程名称：</w:t>
      </w:r>
      <w:permStart w:id="9" w:edGrp="everyone"/>
      <w:r>
        <w:rPr>
          <w:rFonts w:hint="eastAsia" w:ascii="仿宋_GB2312" w:eastAsia="仿宋_GB2312"/>
          <w:color w:val="auto"/>
          <w:sz w:val="24"/>
          <w:highlight w:val="none"/>
          <w:lang w:eastAsia="zh-CN"/>
        </w:rPr>
        <w:fldChar w:fldCharType="begin"/>
      </w:r>
      <w:r>
        <w:rPr>
          <w:rFonts w:hint="eastAsia" w:ascii="仿宋_GB2312" w:eastAsia="仿宋_GB2312"/>
          <w:color w:val="auto"/>
          <w:sz w:val="24"/>
          <w:highlight w:val="none"/>
          <w:lang w:eastAsia="zh-CN"/>
        </w:rPr>
        <w:instrText xml:space="preserve"> REF 项目名称 \h </w:instrText>
      </w:r>
      <w:r>
        <w:rPr>
          <w:rFonts w:hint="eastAsia" w:ascii="仿宋_GB2312" w:eastAsia="仿宋_GB2312"/>
          <w:color w:val="auto"/>
          <w:sz w:val="24"/>
          <w:highlight w:val="none"/>
          <w:lang w:eastAsia="zh-CN"/>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eastAsia="仿宋_GB2312"/>
          <w:color w:val="auto"/>
          <w:sz w:val="24"/>
          <w:highlight w:val="none"/>
          <w:lang w:eastAsia="zh-CN"/>
        </w:rPr>
        <w:fldChar w:fldCharType="end"/>
      </w:r>
      <w:permEnd w:id="9"/>
    </w:p>
    <w:p w14:paraId="59127EE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2．工程地点：广东省东莞市</w:t>
      </w:r>
      <w:permStart w:id="10" w:edGrp="everyone"/>
      <w:r>
        <w:rPr>
          <w:rFonts w:hint="eastAsia" w:ascii="仿宋_GB2312" w:eastAsia="仿宋_GB2312"/>
          <w:color w:val="auto"/>
          <w:sz w:val="24"/>
          <w:highlight w:val="none"/>
        </w:rPr>
        <w:t>XX</w:t>
      </w:r>
      <w:permEnd w:id="10"/>
      <w:r>
        <w:rPr>
          <w:rFonts w:hint="eastAsia" w:ascii="仿宋_GB2312" w:eastAsia="仿宋_GB2312"/>
          <w:color w:val="auto"/>
          <w:sz w:val="24"/>
          <w:highlight w:val="none"/>
        </w:rPr>
        <w:t>镇/街道</w:t>
      </w:r>
      <w:permStart w:id="11" w:edGrp="everyone"/>
      <w:r>
        <w:rPr>
          <w:rFonts w:hint="eastAsia" w:ascii="仿宋_GB2312" w:eastAsia="仿宋_GB2312"/>
          <w:color w:val="auto"/>
          <w:sz w:val="24"/>
          <w:highlight w:val="none"/>
        </w:rPr>
        <w:t>XXX</w:t>
      </w:r>
      <w:permEnd w:id="11"/>
    </w:p>
    <w:p w14:paraId="46A4E6E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3．工程规模：</w:t>
      </w:r>
      <w:permStart w:id="12" w:edGrp="everyone"/>
      <w:r>
        <w:rPr>
          <w:rFonts w:hint="eastAsia" w:ascii="仿宋_GB2312" w:eastAsia="仿宋_GB2312"/>
          <w:color w:val="auto"/>
          <w:sz w:val="24"/>
          <w:highlight w:val="none"/>
        </w:rPr>
        <w:t>XX</w:t>
      </w:r>
      <w:permEnd w:id="12"/>
      <w:r>
        <w:rPr>
          <w:rFonts w:hint="eastAsia" w:ascii="仿宋_GB2312" w:eastAsia="仿宋_GB2312"/>
          <w:color w:val="auto"/>
          <w:sz w:val="24"/>
          <w:highlight w:val="none"/>
        </w:rPr>
        <w:t>kWp（其中平铺式XXXkWp，阵列式XXXkWp，棚架式XXXkWp）</w:t>
      </w:r>
    </w:p>
    <w:p w14:paraId="72D8A407">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4. 安装方式：</w:t>
      </w:r>
      <w:permStart w:id="13" w:edGrp="everyone"/>
      <w:r>
        <w:rPr>
          <w:rFonts w:hint="eastAsia" w:ascii="仿宋_GB2312" w:eastAsia="仿宋_GB2312"/>
          <w:color w:val="auto"/>
          <w:sz w:val="24"/>
          <w:highlight w:val="none"/>
        </w:rPr>
        <w:t>平铺式、</w:t>
      </w:r>
      <w:r>
        <w:rPr>
          <w:rFonts w:hint="eastAsia" w:ascii="仿宋_GB2312" w:eastAsia="仿宋_GB2312"/>
          <w:color w:val="auto"/>
          <w:sz w:val="24"/>
          <w:highlight w:val="none"/>
          <w:lang w:val="en-US" w:eastAsia="zh-CN"/>
        </w:rPr>
        <w:t>阵列式、</w:t>
      </w:r>
      <w:r>
        <w:rPr>
          <w:rFonts w:hint="eastAsia" w:ascii="仿宋_GB2312" w:eastAsia="仿宋_GB2312"/>
          <w:color w:val="auto"/>
          <w:sz w:val="24"/>
          <w:highlight w:val="none"/>
        </w:rPr>
        <w:t>棚架式，自发自用，余电上网</w:t>
      </w:r>
    </w:p>
    <w:p w14:paraId="096DC1BE">
      <w:pPr>
        <w:pStyle w:val="12"/>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ascii="仿宋_GB2312" w:hAnsi="Times New Roman" w:eastAsia="仿宋_GB2312" w:cs="Times New Roman"/>
          <w:color w:val="auto"/>
          <w:kern w:val="2"/>
          <w:sz w:val="24"/>
          <w:szCs w:val="24"/>
          <w:highlight w:val="none"/>
          <w:lang w:val="en-US" w:eastAsia="zh-CN" w:bidi="ar-SA"/>
        </w:rPr>
      </w:pPr>
      <w:r>
        <w:rPr>
          <w:rFonts w:hint="eastAsia" w:ascii="仿宋_GB2312" w:hAnsi="Times New Roman" w:eastAsia="仿宋_GB2312" w:cs="Times New Roman"/>
          <w:color w:val="auto"/>
          <w:kern w:val="2"/>
          <w:sz w:val="24"/>
          <w:szCs w:val="24"/>
          <w:highlight w:val="none"/>
          <w:lang w:val="en-US" w:eastAsia="zh-CN" w:bidi="ar-SA"/>
        </w:rPr>
        <w:t>5. 其他增加项：</w:t>
      </w:r>
      <w:permEnd w:id="13"/>
    </w:p>
    <w:p w14:paraId="7A3D7B5A">
      <w:pPr>
        <w:spacing w:line="360" w:lineRule="auto"/>
        <w:rPr>
          <w:rFonts w:hint="default" w:ascii="仿宋_GB2312" w:eastAsia="仿宋_GB2312"/>
          <w:b/>
          <w:color w:val="auto"/>
          <w:sz w:val="24"/>
          <w:highlight w:val="none"/>
        </w:rPr>
      </w:pPr>
    </w:p>
    <w:p w14:paraId="573A2B41">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二、承包范围与承包方式</w:t>
      </w:r>
    </w:p>
    <w:p w14:paraId="3A4A510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1．承包范围：</w:t>
      </w:r>
      <w:permStart w:id="14" w:edGrp="everyone"/>
      <w:r>
        <w:rPr>
          <w:rFonts w:hint="eastAsia" w:ascii="仿宋_GB2312" w:eastAsia="仿宋_GB2312"/>
          <w:color w:val="auto"/>
          <w:sz w:val="24"/>
          <w:highlight w:val="none"/>
          <w:lang w:eastAsia="zh-CN"/>
        </w:rPr>
        <w:fldChar w:fldCharType="begin"/>
      </w:r>
      <w:r>
        <w:rPr>
          <w:rFonts w:hint="eastAsia" w:ascii="仿宋_GB2312" w:eastAsia="仿宋_GB2312"/>
          <w:color w:val="auto"/>
          <w:sz w:val="24"/>
          <w:highlight w:val="none"/>
          <w:lang w:eastAsia="zh-CN"/>
        </w:rPr>
        <w:instrText xml:space="preserve"> REF 项目名称 \h </w:instrText>
      </w:r>
      <w:r>
        <w:rPr>
          <w:rFonts w:hint="eastAsia" w:ascii="仿宋_GB2312" w:eastAsia="仿宋_GB2312"/>
          <w:color w:val="auto"/>
          <w:sz w:val="24"/>
          <w:highlight w:val="none"/>
          <w:lang w:eastAsia="zh-CN"/>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eastAsia="仿宋_GB2312"/>
          <w:color w:val="auto"/>
          <w:sz w:val="24"/>
          <w:highlight w:val="none"/>
          <w:lang w:eastAsia="zh-CN"/>
        </w:rPr>
        <w:fldChar w:fldCharType="end"/>
      </w:r>
      <w:permEnd w:id="14"/>
      <w:r>
        <w:rPr>
          <w:rFonts w:hint="eastAsia" w:ascii="仿宋_GB2312" w:eastAsia="仿宋_GB2312"/>
          <w:color w:val="auto"/>
          <w:sz w:val="24"/>
          <w:highlight w:val="none"/>
        </w:rPr>
        <w:t>前期勘察、施工图纸设计、发改备案、两违办报建、供电报装、采购施工、并网投运及相应视频监控系统、水清洗系统、安全设施、运维设施安装及其他为实现合同目的所涉及的承包范围。</w:t>
      </w:r>
    </w:p>
    <w:p w14:paraId="0FF46C3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2．具体承包范围包含但不限于如下内容：</w:t>
      </w:r>
    </w:p>
    <w:p w14:paraId="22480876">
      <w:pPr>
        <w:numPr>
          <w:ilvl w:val="2"/>
          <w:numId w:val="10"/>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乙方已进行了实地勘察并全面了解本工程施工现场情况，根据招标技术要求及施工现场情况自行负责委托具备相应资质的设计单位进行施工图纸深化设计、供电方案编制并确保通过甲方和当地供电部门审核通过，工程因未通过有关部门的审查或按有关部门提出的审查修改意见进行整改而增加的任何费用均已含在本合同总价内，由乙方自行负责解决；</w:t>
      </w:r>
    </w:p>
    <w:p w14:paraId="648C258A">
      <w:pPr>
        <w:numPr>
          <w:ilvl w:val="2"/>
          <w:numId w:val="10"/>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本工程分布式光伏发电项目接入南方电网所有报装手续的办理（包括配合发改备案证办理、负责物业办电信用报告或供水供电报装证明办理、房屋安全鉴定与承重报告等）、审图及验收，报装过程中所需其他手续及增加费用已含在本合同总价内，由乙方自行负责解决；</w:t>
      </w:r>
    </w:p>
    <w:p w14:paraId="43DD7202">
      <w:pPr>
        <w:numPr>
          <w:ilvl w:val="2"/>
          <w:numId w:val="10"/>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负责光伏组件（含导流器等）、并网逆变器（含通讯模块等）、并网计量柜（含槽钢基础，按供电公司要求配置）、视频监控（含全年流量等）、直流电缆、交流电缆的采购、安装（敷设）、调试与通电；</w:t>
      </w:r>
    </w:p>
    <w:p w14:paraId="03460D37">
      <w:pPr>
        <w:numPr>
          <w:ilvl w:val="2"/>
          <w:numId w:val="10"/>
        </w:numPr>
        <w:spacing w:line="360" w:lineRule="auto"/>
        <w:rPr>
          <w:color w:val="auto"/>
          <w:highlight w:val="none"/>
        </w:rPr>
      </w:pPr>
      <w:permStart w:id="15" w:edGrp="everyone"/>
      <w:r>
        <w:rPr>
          <w:rFonts w:hint="eastAsia" w:ascii="仿宋_GB2312" w:eastAsia="仿宋_GB2312"/>
          <w:color w:val="auto"/>
          <w:sz w:val="24"/>
          <w:highlight w:val="none"/>
        </w:rPr>
        <w:t>负责混凝土屋顶光伏阵列式支架（含预制水泥墩基础等）的制作与安装</w:t>
      </w:r>
      <w:r>
        <w:rPr>
          <w:rFonts w:hint="eastAsia" w:ascii="仿宋_GB2312" w:eastAsia="仿宋_GB2312"/>
          <w:color w:val="auto"/>
          <w:sz w:val="24"/>
          <w:highlight w:val="none"/>
          <w:lang w:val="en-US" w:eastAsia="zh-CN"/>
        </w:rPr>
        <w:t>阵列式</w:t>
      </w:r>
      <w:permEnd w:id="15"/>
      <w:r>
        <w:rPr>
          <w:rFonts w:hint="eastAsia" w:ascii="仿宋_GB2312" w:eastAsia="仿宋_GB2312"/>
          <w:color w:val="auto"/>
          <w:sz w:val="24"/>
          <w:highlight w:val="none"/>
        </w:rPr>
        <w:t>；</w:t>
      </w:r>
    </w:p>
    <w:p w14:paraId="156A3DCC">
      <w:pPr>
        <w:numPr>
          <w:ilvl w:val="2"/>
          <w:numId w:val="10"/>
        </w:numPr>
        <w:spacing w:line="360" w:lineRule="auto"/>
        <w:rPr>
          <w:rFonts w:hint="default" w:ascii="仿宋_GB2312" w:eastAsia="仿宋_GB2312"/>
          <w:color w:val="auto"/>
          <w:sz w:val="24"/>
          <w:highlight w:val="none"/>
        </w:rPr>
      </w:pPr>
      <w:permStart w:id="16" w:edGrp="everyone"/>
      <w:r>
        <w:rPr>
          <w:rFonts w:hint="eastAsia" w:ascii="仿宋_GB2312" w:eastAsia="仿宋_GB2312"/>
          <w:color w:val="auto"/>
          <w:sz w:val="24"/>
          <w:highlight w:val="none"/>
        </w:rPr>
        <w:t>负责混凝土屋顶光伏防水结构棚架（含基础防水、排水系统、结构防水等）的制作与安装棚架式</w:t>
      </w:r>
      <w:permEnd w:id="16"/>
      <w:r>
        <w:rPr>
          <w:rFonts w:hint="eastAsia" w:ascii="仿宋_GB2312" w:eastAsia="仿宋_GB2312"/>
          <w:color w:val="auto"/>
          <w:sz w:val="24"/>
          <w:highlight w:val="none"/>
        </w:rPr>
        <w:t>；</w:t>
      </w:r>
    </w:p>
    <w:p w14:paraId="18996DE9">
      <w:pPr>
        <w:numPr>
          <w:ilvl w:val="2"/>
          <w:numId w:val="10"/>
        </w:numPr>
        <w:spacing w:line="360" w:lineRule="auto"/>
        <w:rPr>
          <w:rFonts w:hint="default" w:ascii="仿宋_GB2312" w:eastAsia="仿宋_GB2312"/>
          <w:color w:val="auto"/>
          <w:sz w:val="24"/>
          <w:highlight w:val="none"/>
        </w:rPr>
      </w:pPr>
      <w:permStart w:id="17" w:edGrp="everyone"/>
      <w:r>
        <w:rPr>
          <w:rFonts w:hint="eastAsia" w:ascii="仿宋_GB2312" w:eastAsia="仿宋_GB2312"/>
          <w:color w:val="auto"/>
          <w:sz w:val="24"/>
          <w:highlight w:val="none"/>
        </w:rPr>
        <w:t>负责彩钢瓦屋顶光伏导轨支架（含彩钢瓦夹具等）的制作与安装平铺式</w:t>
      </w:r>
      <w:permEnd w:id="17"/>
      <w:r>
        <w:rPr>
          <w:rFonts w:hint="eastAsia" w:ascii="仿宋_GB2312" w:eastAsia="仿宋_GB2312"/>
          <w:color w:val="auto"/>
          <w:sz w:val="24"/>
          <w:highlight w:val="none"/>
        </w:rPr>
        <w:t>；</w:t>
      </w:r>
    </w:p>
    <w:p w14:paraId="3B0D382D">
      <w:pPr>
        <w:numPr>
          <w:ilvl w:val="2"/>
          <w:numId w:val="10"/>
        </w:numPr>
        <w:spacing w:line="360" w:lineRule="auto"/>
        <w:rPr>
          <w:rFonts w:hint="default" w:ascii="仿宋_GB2312" w:eastAsia="仿宋_GB2312"/>
          <w:color w:val="auto"/>
          <w:sz w:val="24"/>
          <w:highlight w:val="none"/>
        </w:rPr>
      </w:pPr>
      <w:permStart w:id="18" w:edGrp="everyone"/>
      <w:r>
        <w:rPr>
          <w:rFonts w:hint="eastAsia" w:ascii="仿宋_GB2312" w:eastAsia="仿宋_GB2312"/>
          <w:color w:val="auto"/>
          <w:sz w:val="24"/>
          <w:highlight w:val="none"/>
        </w:rPr>
        <w:t>负责彩钢瓦屋顶光伏防水支架（含排水系统、结构防水等）的制作与安装平铺式</w:t>
      </w:r>
      <w:permEnd w:id="18"/>
      <w:r>
        <w:rPr>
          <w:rFonts w:hint="eastAsia" w:ascii="仿宋_GB2312" w:eastAsia="仿宋_GB2312"/>
          <w:color w:val="auto"/>
          <w:sz w:val="24"/>
          <w:highlight w:val="none"/>
        </w:rPr>
        <w:t>；</w:t>
      </w:r>
    </w:p>
    <w:p w14:paraId="5E081286">
      <w:pPr>
        <w:numPr>
          <w:ilvl w:val="2"/>
          <w:numId w:val="10"/>
        </w:numPr>
        <w:spacing w:line="360" w:lineRule="auto"/>
        <w:rPr>
          <w:rFonts w:hint="default" w:ascii="仿宋_GB2312" w:eastAsia="仿宋_GB2312"/>
          <w:color w:val="auto"/>
          <w:sz w:val="24"/>
          <w:highlight w:val="none"/>
        </w:rPr>
      </w:pPr>
      <w:r>
        <w:rPr>
          <w:rFonts w:hint="default" w:ascii="仿宋_GB2312" w:eastAsia="仿宋_GB2312"/>
          <w:color w:val="auto"/>
          <w:sz w:val="24"/>
          <w:highlight w:val="none"/>
        </w:rPr>
        <w:t>负责硬化地面光伏防水车棚架（含基础防水、排水系统、结构防水等）的制作与安装车棚</w:t>
      </w:r>
      <w:r>
        <w:rPr>
          <w:rFonts w:hint="eastAsia" w:ascii="仿宋_GB2312" w:eastAsia="仿宋_GB2312"/>
          <w:color w:val="auto"/>
          <w:sz w:val="24"/>
          <w:highlight w:val="none"/>
          <w:lang w:eastAsia="zh-CN"/>
        </w:rPr>
        <w:t>；</w:t>
      </w:r>
    </w:p>
    <w:p w14:paraId="6A45FB6A">
      <w:pPr>
        <w:numPr>
          <w:ilvl w:val="2"/>
          <w:numId w:val="10"/>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负责屋顶分布式光伏发电项目在内、至配电房并网点的电缆桥架采购及安装、电缆通道（含电缆保护管、电缆井等）施工以及完成与电缆敷设工程相关的封堵、套管、标识工作；</w:t>
      </w:r>
    </w:p>
    <w:p w14:paraId="184798DC">
      <w:pPr>
        <w:numPr>
          <w:ilvl w:val="2"/>
          <w:numId w:val="10"/>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负责屋顶分布式光伏发电项目接地网、独立接地极安装和接地电阻测试（包括并网柜）；</w:t>
      </w:r>
    </w:p>
    <w:p w14:paraId="3D5F09F3">
      <w:pPr>
        <w:numPr>
          <w:ilvl w:val="2"/>
          <w:numId w:val="10"/>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负责屋顶分布式光伏发电项目安全设施（含安全护栏、“生命线”、灭火器箱、安全警示牌、逆变器挡雨棚、绝缘垫等）的制作与安装；</w:t>
      </w:r>
    </w:p>
    <w:p w14:paraId="6087C868">
      <w:pPr>
        <w:numPr>
          <w:ilvl w:val="2"/>
          <w:numId w:val="10"/>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负责屋顶分布式光伏发电项目附属运维设施（含运维通道、运维步梯、运维直爬梯</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rPr>
        <w:t>水清洗系统、标识牌、接入系统图板等）的制作与安装；</w:t>
      </w:r>
    </w:p>
    <w:p w14:paraId="5A629441">
      <w:pPr>
        <w:numPr>
          <w:ilvl w:val="2"/>
          <w:numId w:val="10"/>
        </w:num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负责屋顶分布式光伏发电项目其他附属工程，如彩钢瓦屋面换瓦工程、彩钢瓦屋面结构加固工程、屋面防水工程（按《</w:t>
      </w:r>
      <w:r>
        <w:rPr>
          <w:rFonts w:hint="eastAsia" w:ascii="仿宋_GB2312" w:eastAsia="仿宋_GB2312"/>
          <w:color w:val="auto"/>
          <w:sz w:val="24"/>
          <w:highlight w:val="none"/>
          <w:lang w:val="en-US" w:eastAsia="zh-CN"/>
        </w:rPr>
        <w:t>建设</w:t>
      </w:r>
      <w:r>
        <w:rPr>
          <w:rFonts w:hint="eastAsia" w:ascii="仿宋_GB2312" w:eastAsia="仿宋_GB2312"/>
          <w:color w:val="auto"/>
          <w:sz w:val="24"/>
          <w:highlight w:val="none"/>
        </w:rPr>
        <w:t>工程质量管理条例》保修期执行，因乙方施工运维不当导致如漏水、破损等情况均由乙方负责修复）、供配电设备改造工程、箱变安装工程等</w:t>
      </w:r>
    </w:p>
    <w:p w14:paraId="24B16A39">
      <w:pPr>
        <w:numPr>
          <w:ilvl w:val="2"/>
          <w:numId w:val="10"/>
        </w:numPr>
        <w:spacing w:line="360" w:lineRule="auto"/>
        <w:rPr>
          <w:rFonts w:hint="default" w:eastAsia="仿宋_GB2312"/>
          <w:color w:val="auto"/>
          <w:highlight w:val="none"/>
        </w:rPr>
      </w:pPr>
      <w:r>
        <w:rPr>
          <w:rFonts w:hint="eastAsia" w:ascii="仿宋_GB2312" w:eastAsia="仿宋_GB2312"/>
          <w:color w:val="auto"/>
          <w:sz w:val="24"/>
          <w:highlight w:val="none"/>
        </w:rPr>
        <w:t>负责并网前所有设备的委托试验工作，包括验收、并网的所有手续办理、资料提交、人员资质审核、技术培训等工作；</w:t>
      </w:r>
    </w:p>
    <w:p w14:paraId="129515E6">
      <w:pPr>
        <w:numPr>
          <w:ilvl w:val="2"/>
          <w:numId w:val="10"/>
        </w:numPr>
        <w:spacing w:line="360" w:lineRule="auto"/>
        <w:rPr>
          <w:color w:val="auto"/>
          <w:highlight w:val="none"/>
        </w:rPr>
      </w:pPr>
      <w:r>
        <w:rPr>
          <w:rFonts w:hint="eastAsia" w:ascii="仿宋_GB2312" w:eastAsia="仿宋_GB2312"/>
          <w:color w:val="auto"/>
          <w:sz w:val="24"/>
          <w:highlight w:val="none"/>
        </w:rPr>
        <w:t>负责其他为本工程通过供电局验收所必须施工的项目内容；</w:t>
      </w:r>
    </w:p>
    <w:p w14:paraId="216EC8FA">
      <w:pPr>
        <w:numPr>
          <w:ilvl w:val="2"/>
          <w:numId w:val="10"/>
        </w:numPr>
        <w:spacing w:line="360" w:lineRule="auto"/>
        <w:rPr>
          <w:color w:val="auto"/>
          <w:highlight w:val="none"/>
        </w:rPr>
      </w:pPr>
      <w:r>
        <w:rPr>
          <w:rFonts w:hint="eastAsia" w:ascii="仿宋_GB2312" w:eastAsia="仿宋_GB2312"/>
          <w:color w:val="auto"/>
          <w:sz w:val="24"/>
          <w:highlight w:val="none"/>
        </w:rPr>
        <w:t>以上所有工作以及为完成本工程所需向有关部门、单位缴纳的费用均已包含在合同总价内,乙方不得以任何理由、任何形式要求甲方再为此项工程支付任何费用。</w:t>
      </w:r>
    </w:p>
    <w:p w14:paraId="7357442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3．承包方式：以暂定总价、以固定每瓦单价总承包的方式承包，最终根据实际安装容量对合同总价作相应调整。在此约定下，乙方包施工图纸设计、包供应设备及其配件、包工包料包</w:t>
      </w:r>
      <w:r>
        <w:rPr>
          <w:rFonts w:hint="default" w:ascii="仿宋_GB2312" w:eastAsia="仿宋_GB2312"/>
          <w:color w:val="auto"/>
          <w:sz w:val="24"/>
          <w:highlight w:val="none"/>
        </w:rPr>
        <w:t>安装、</w:t>
      </w:r>
      <w:r>
        <w:rPr>
          <w:rFonts w:hint="eastAsia" w:ascii="仿宋_GB2312" w:eastAsia="仿宋_GB2312"/>
          <w:color w:val="auto"/>
          <w:sz w:val="24"/>
          <w:highlight w:val="none"/>
        </w:rPr>
        <w:t>包调试及检测、包质量、包工期、包施工图纸通过甲方和供电部门审定、包供电部门的验收合格并网、包资料、包安全、包</w:t>
      </w:r>
      <w:r>
        <w:rPr>
          <w:rFonts w:hint="default" w:ascii="仿宋_GB2312" w:eastAsia="仿宋_GB2312"/>
          <w:color w:val="auto"/>
          <w:sz w:val="24"/>
          <w:highlight w:val="none"/>
        </w:rPr>
        <w:t>管理、</w:t>
      </w:r>
      <w:r>
        <w:rPr>
          <w:rFonts w:hint="eastAsia" w:ascii="仿宋_GB2312" w:eastAsia="仿宋_GB2312"/>
          <w:color w:val="auto"/>
          <w:sz w:val="24"/>
          <w:highlight w:val="none"/>
        </w:rPr>
        <w:t>包</w:t>
      </w:r>
      <w:r>
        <w:rPr>
          <w:rFonts w:hint="default" w:ascii="仿宋_GB2312" w:eastAsia="仿宋_GB2312"/>
          <w:color w:val="auto"/>
          <w:sz w:val="24"/>
          <w:highlight w:val="none"/>
        </w:rPr>
        <w:t>利润</w:t>
      </w:r>
      <w:r>
        <w:rPr>
          <w:rFonts w:hint="eastAsia" w:ascii="仿宋_GB2312" w:eastAsia="仿宋_GB2312"/>
          <w:color w:val="auto"/>
          <w:sz w:val="24"/>
          <w:highlight w:val="none"/>
        </w:rPr>
        <w:t>、包税金、包安全文明施工、包材料及成品保管、包保险、包保修等。</w:t>
      </w:r>
    </w:p>
    <w:p w14:paraId="4AA06927">
      <w:pPr>
        <w:spacing w:line="360" w:lineRule="auto"/>
        <w:rPr>
          <w:rFonts w:hint="default" w:ascii="仿宋_GB2312" w:eastAsia="仿宋_GB2312"/>
          <w:color w:val="auto"/>
          <w:sz w:val="24"/>
          <w:highlight w:val="none"/>
        </w:rPr>
      </w:pPr>
    </w:p>
    <w:p w14:paraId="3709D00F">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三、合同工期</w:t>
      </w:r>
    </w:p>
    <w:p w14:paraId="2453A47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1．合同总工期数为</w:t>
      </w:r>
      <w:permStart w:id="19" w:edGrp="everyone"/>
      <w:r>
        <w:rPr>
          <w:rFonts w:hint="eastAsia" w:ascii="仿宋_GB2312" w:eastAsia="仿宋_GB2312"/>
          <w:color w:val="auto"/>
          <w:sz w:val="24"/>
          <w:highlight w:val="none"/>
          <w:u w:val="single"/>
        </w:rPr>
        <w:t xml:space="preserve"> 1</w:t>
      </w:r>
      <w:r>
        <w:rPr>
          <w:rFonts w:hint="eastAsia" w:ascii="仿宋_GB2312" w:eastAsia="仿宋_GB2312"/>
          <w:color w:val="auto"/>
          <w:sz w:val="24"/>
          <w:highlight w:val="none"/>
          <w:u w:val="single"/>
          <w:lang w:val="en-US" w:eastAsia="zh-CN"/>
        </w:rPr>
        <w:t>3</w:t>
      </w:r>
      <w:r>
        <w:rPr>
          <w:rFonts w:hint="eastAsia" w:ascii="仿宋_GB2312" w:eastAsia="仿宋_GB2312"/>
          <w:color w:val="auto"/>
          <w:sz w:val="24"/>
          <w:highlight w:val="none"/>
          <w:u w:val="single"/>
        </w:rPr>
        <w:t xml:space="preserve">0 </w:t>
      </w:r>
      <w:permEnd w:id="19"/>
      <w:r>
        <w:rPr>
          <w:rFonts w:hint="eastAsia" w:ascii="仿宋_GB2312" w:eastAsia="仿宋_GB2312"/>
          <w:color w:val="auto"/>
          <w:sz w:val="24"/>
          <w:highlight w:val="none"/>
        </w:rPr>
        <w:t>个日历天。</w:t>
      </w:r>
    </w:p>
    <w:p w14:paraId="0AC3AB2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（1）计划开工日期为：</w:t>
      </w:r>
      <w:permStart w:id="20" w:edGrp="everyone"/>
      <w:r>
        <w:rPr>
          <w:rFonts w:hint="eastAsia" w:ascii="仿宋_GB2312" w:eastAsia="仿宋_GB2312"/>
          <w:color w:val="auto"/>
          <w:sz w:val="24"/>
          <w:highlight w:val="none"/>
          <w:u w:val="single"/>
        </w:rPr>
        <w:t xml:space="preserve">      </w:t>
      </w:r>
      <w:permEnd w:id="20"/>
      <w:r>
        <w:rPr>
          <w:rFonts w:hint="eastAsia" w:ascii="仿宋_GB2312" w:eastAsia="仿宋_GB2312"/>
          <w:color w:val="auto"/>
          <w:sz w:val="24"/>
          <w:highlight w:val="none"/>
        </w:rPr>
        <w:t>年</w:t>
      </w:r>
      <w:permStart w:id="21" w:edGrp="everyone"/>
      <w:r>
        <w:rPr>
          <w:rFonts w:hint="eastAsia" w:ascii="仿宋_GB2312" w:eastAsia="仿宋_GB2312"/>
          <w:color w:val="auto"/>
          <w:sz w:val="24"/>
          <w:highlight w:val="none"/>
          <w:u w:val="single"/>
        </w:rPr>
        <w:t xml:space="preserve">    </w:t>
      </w:r>
      <w:permEnd w:id="21"/>
      <w:r>
        <w:rPr>
          <w:rFonts w:hint="eastAsia" w:ascii="仿宋_GB2312" w:eastAsia="仿宋_GB2312"/>
          <w:color w:val="auto"/>
          <w:sz w:val="24"/>
          <w:highlight w:val="none"/>
        </w:rPr>
        <w:t>月</w:t>
      </w:r>
      <w:permStart w:id="22" w:edGrp="everyone"/>
      <w:r>
        <w:rPr>
          <w:rFonts w:hint="eastAsia" w:ascii="仿宋_GB2312" w:eastAsia="仿宋_GB2312"/>
          <w:color w:val="auto"/>
          <w:sz w:val="24"/>
          <w:highlight w:val="none"/>
          <w:u w:val="single"/>
        </w:rPr>
        <w:t xml:space="preserve">    </w:t>
      </w:r>
      <w:permEnd w:id="22"/>
      <w:r>
        <w:rPr>
          <w:rFonts w:hint="eastAsia" w:ascii="仿宋_GB2312" w:eastAsia="仿宋_GB2312"/>
          <w:color w:val="auto"/>
          <w:sz w:val="24"/>
          <w:highlight w:val="none"/>
        </w:rPr>
        <w:t>日，具体以甲方签发的中标通知书确定的中标日期为准；若甲方无另行通知的，乙方应按照前述约定日期开工。</w:t>
      </w:r>
    </w:p>
    <w:p w14:paraId="52EA424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（2）计划竣工日期为：</w:t>
      </w:r>
      <w:permStart w:id="23" w:edGrp="everyone"/>
      <w:r>
        <w:rPr>
          <w:rFonts w:hint="eastAsia" w:ascii="仿宋_GB2312" w:eastAsia="仿宋_GB2312"/>
          <w:color w:val="auto"/>
          <w:sz w:val="24"/>
          <w:highlight w:val="none"/>
          <w:u w:val="single"/>
        </w:rPr>
        <w:t xml:space="preserve">      </w:t>
      </w:r>
      <w:permEnd w:id="23"/>
      <w:r>
        <w:rPr>
          <w:rFonts w:hint="eastAsia" w:ascii="仿宋_GB2312" w:eastAsia="仿宋_GB2312"/>
          <w:color w:val="auto"/>
          <w:sz w:val="24"/>
          <w:highlight w:val="none"/>
        </w:rPr>
        <w:t>年</w:t>
      </w:r>
      <w:permStart w:id="24" w:edGrp="everyone"/>
      <w:r>
        <w:rPr>
          <w:rFonts w:hint="eastAsia" w:ascii="仿宋_GB2312" w:eastAsia="仿宋_GB2312"/>
          <w:color w:val="auto"/>
          <w:sz w:val="24"/>
          <w:highlight w:val="none"/>
          <w:u w:val="single"/>
        </w:rPr>
        <w:t xml:space="preserve">    </w:t>
      </w:r>
      <w:permEnd w:id="24"/>
      <w:r>
        <w:rPr>
          <w:rFonts w:hint="eastAsia" w:ascii="仿宋_GB2312" w:eastAsia="仿宋_GB2312"/>
          <w:color w:val="auto"/>
          <w:sz w:val="24"/>
          <w:highlight w:val="none"/>
        </w:rPr>
        <w:t>月</w:t>
      </w:r>
      <w:permStart w:id="25" w:edGrp="everyone"/>
      <w:r>
        <w:rPr>
          <w:rFonts w:hint="eastAsia" w:ascii="仿宋_GB2312" w:eastAsia="仿宋_GB2312"/>
          <w:color w:val="auto"/>
          <w:sz w:val="24"/>
          <w:highlight w:val="none"/>
          <w:u w:val="single"/>
        </w:rPr>
        <w:t xml:space="preserve">    </w:t>
      </w:r>
      <w:permEnd w:id="25"/>
      <w:r>
        <w:rPr>
          <w:rFonts w:hint="eastAsia" w:ascii="仿宋_GB2312" w:eastAsia="仿宋_GB2312"/>
          <w:color w:val="auto"/>
          <w:sz w:val="24"/>
          <w:highlight w:val="none"/>
        </w:rPr>
        <w:t>日，乙方须保证于此日期前通过当地供电局验收合格并完成并网投运。</w:t>
      </w:r>
    </w:p>
    <w:p w14:paraId="4F9F719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如乙方预计施工进度将滞后于合同约定的竣工日期，不论工期的延误是何种原因造成，乙方均应在完工前向甲方提出书面申请报告，详细解释工期延误发生的原因提供相关证明资料。虽然甲方根据乙方提供的书面申请报告重新调整竣工日期，但不视为甲方免除乙方工期延误的相关责任，甲方仍有权根据本合同条款内容要求乙方承担违约责任。</w:t>
      </w:r>
    </w:p>
    <w:p w14:paraId="731803C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3．本工程工期已充分考虑各种因素的影响，除按照本条第4款约定经甲方签证后相应顺延工期外，工期不因其他任何因素而顺延，具体包括但不限于：</w:t>
      </w:r>
    </w:p>
    <w:p w14:paraId="502EF59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（1）下雨、大风、高低温天气等气候干扰等；</w:t>
      </w:r>
    </w:p>
    <w:p w14:paraId="5614CD7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（2）施工中可能遇到的设备材料不能按时备货、交叉作业、现场配合、停水、停电、扰民、有关部门人员及权限变动、政策调整、市场价格变动等因素引起工期延误。</w:t>
      </w:r>
    </w:p>
    <w:p w14:paraId="19B20C8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4．因下列原因且经甲方签证确认，乙方工期可相应顺延：</w:t>
      </w:r>
    </w:p>
    <w:p w14:paraId="7FA1AB6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（1）甲方未能履行本合同规定之责任；</w:t>
      </w:r>
    </w:p>
    <w:p w14:paraId="74C9409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（2）屋顶业主、当地有关部门对设计方案、施工图纸进行变更或工作配合导致施工无法正常进行而影响进度；</w:t>
      </w:r>
    </w:p>
    <w:p w14:paraId="530F655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（3）人力不可抗拒的自然灾害（如特大暴雨、台风等）。</w:t>
      </w:r>
    </w:p>
    <w:p w14:paraId="70416849">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若发生上述原因，未经甲方签证确认，乙方工期不顺延。非乙方原因造成的停工或工期延误，该拖延后果确属不可避免，且有充分证据证明该事件的停工或工期延误对工期造成影响，经甲方确认，工期可相应顺延，甲方不承担乙方因停工或工期延误造成如窝工、停工、误工、机械停滞、机械进出场等增加的费用与其它款项。</w:t>
      </w:r>
    </w:p>
    <w:p w14:paraId="5D5A6112">
      <w:pPr>
        <w:pStyle w:val="36"/>
        <w:rPr>
          <w:rFonts w:hint="default"/>
          <w:color w:val="auto"/>
          <w:highlight w:val="none"/>
        </w:rPr>
      </w:pPr>
    </w:p>
    <w:p w14:paraId="2E1B781D">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四、合同价款</w:t>
      </w:r>
    </w:p>
    <w:p w14:paraId="494BD930">
      <w:pPr>
        <w:keepNext w:val="0"/>
        <w:keepLines w:val="0"/>
        <w:pageBreakBefore w:val="0"/>
        <w:widowControl w:val="0"/>
        <w:kinsoku/>
        <w:wordWrap/>
        <w:overflowPunct/>
        <w:topLinePunct w:val="0"/>
        <w:autoSpaceDE/>
        <w:autoSpaceDN/>
        <w:adjustRightInd w:val="0"/>
        <w:snapToGrid/>
        <w:spacing w:line="360" w:lineRule="auto"/>
        <w:ind w:firstLine="480" w:firstLineChars="200"/>
        <w:textAlignment w:val="auto"/>
        <w:rPr>
          <w:rFonts w:hint="default" w:ascii="仿宋_GB2312" w:eastAsia="仿宋_GB2312"/>
          <w:color w:val="auto"/>
          <w:sz w:val="24"/>
          <w:highlight w:val="none"/>
          <w:u w:val="none"/>
          <w:lang w:val="en-US" w:eastAsia="zh-CN"/>
        </w:rPr>
      </w:pPr>
      <w:r>
        <w:rPr>
          <w:rFonts w:hint="eastAsia" w:ascii="仿宋_GB2312" w:eastAsia="仿宋_GB2312"/>
          <w:color w:val="auto"/>
          <w:sz w:val="24"/>
          <w:highlight w:val="none"/>
        </w:rPr>
        <w:t>1．</w:t>
      </w:r>
      <w:r>
        <w:rPr>
          <w:rFonts w:hint="eastAsia" w:ascii="仿宋_GB2312" w:eastAsia="仿宋_GB2312"/>
          <w:color w:val="auto"/>
          <w:sz w:val="24"/>
          <w:highlight w:val="none"/>
          <w:lang w:val="en-US" w:eastAsia="zh-CN"/>
        </w:rPr>
        <w:t>中标下浮率：</w:t>
      </w:r>
      <w:r>
        <w:rPr>
          <w:rFonts w:hint="eastAsia" w:ascii="仿宋_GB2312" w:eastAsia="仿宋_GB2312"/>
          <w:color w:val="auto"/>
          <w:sz w:val="24"/>
          <w:highlight w:val="none"/>
          <w:u w:val="single"/>
          <w:lang w:val="en-US" w:eastAsia="zh-CN"/>
        </w:rPr>
        <w:t>%（百分之）</w:t>
      </w:r>
      <w:r>
        <w:rPr>
          <w:rFonts w:hint="eastAsia" w:ascii="仿宋_GB2312" w:eastAsia="仿宋_GB2312"/>
          <w:color w:val="auto"/>
          <w:sz w:val="24"/>
          <w:highlight w:val="none"/>
          <w:u w:val="none"/>
          <w:lang w:val="en-US" w:eastAsia="zh-CN"/>
        </w:rPr>
        <w:t>；</w:t>
      </w:r>
    </w:p>
    <w:tbl>
      <w:tblPr>
        <w:tblStyle w:val="29"/>
        <w:tblpPr w:leftFromText="180" w:rightFromText="180" w:vertAnchor="text" w:horzAnchor="page" w:tblpX="1147" w:tblpY="27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17"/>
        <w:gridCol w:w="1740"/>
        <w:gridCol w:w="3501"/>
        <w:gridCol w:w="1635"/>
        <w:gridCol w:w="623"/>
      </w:tblGrid>
      <w:tr w14:paraId="35EBF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22C73C">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安装方式</w:t>
            </w:r>
          </w:p>
        </w:tc>
        <w:tc>
          <w:tcPr>
            <w:tcW w:w="0" w:type="auto"/>
            <w:tcBorders>
              <w:top w:val="single" w:color="auto" w:sz="4" w:space="0"/>
              <w:left w:val="nil"/>
              <w:bottom w:val="single" w:color="auto" w:sz="4" w:space="0"/>
              <w:right w:val="single" w:color="auto" w:sz="4" w:space="0"/>
            </w:tcBorders>
            <w:shd w:val="clear" w:color="auto" w:fill="auto"/>
            <w:vAlign w:val="center"/>
          </w:tcPr>
          <w:p w14:paraId="1E367E6A">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装机容量（kWp）</w:t>
            </w:r>
          </w:p>
        </w:tc>
        <w:tc>
          <w:tcPr>
            <w:tcW w:w="0" w:type="auto"/>
            <w:tcBorders>
              <w:top w:val="single" w:color="auto" w:sz="4" w:space="0"/>
              <w:left w:val="nil"/>
              <w:bottom w:val="single" w:color="auto" w:sz="4" w:space="0"/>
              <w:right w:val="single" w:color="auto" w:sz="4" w:space="0"/>
            </w:tcBorders>
            <w:shd w:val="clear" w:color="auto" w:fill="auto"/>
            <w:vAlign w:val="center"/>
          </w:tcPr>
          <w:p w14:paraId="68AB1BB7">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含税综合单价（元/Wp）保留三位小数</w:t>
            </w:r>
          </w:p>
        </w:tc>
        <w:tc>
          <w:tcPr>
            <w:tcW w:w="0" w:type="auto"/>
            <w:tcBorders>
              <w:top w:val="single" w:color="auto" w:sz="4" w:space="0"/>
              <w:left w:val="nil"/>
              <w:bottom w:val="single" w:color="auto" w:sz="4" w:space="0"/>
              <w:right w:val="single" w:color="auto" w:sz="4" w:space="0"/>
            </w:tcBorders>
            <w:shd w:val="clear" w:color="auto" w:fill="auto"/>
            <w:vAlign w:val="center"/>
          </w:tcPr>
          <w:p w14:paraId="2653C738">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含税合价（元）</w:t>
            </w:r>
          </w:p>
        </w:tc>
        <w:tc>
          <w:tcPr>
            <w:tcW w:w="0" w:type="auto"/>
            <w:tcBorders>
              <w:top w:val="single" w:color="auto" w:sz="4" w:space="0"/>
              <w:left w:val="nil"/>
              <w:bottom w:val="single" w:color="auto" w:sz="4" w:space="0"/>
              <w:right w:val="single" w:color="auto" w:sz="4" w:space="0"/>
            </w:tcBorders>
            <w:shd w:val="clear" w:color="auto" w:fill="auto"/>
            <w:vAlign w:val="center"/>
          </w:tcPr>
          <w:p w14:paraId="442830A4">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备注</w:t>
            </w:r>
          </w:p>
        </w:tc>
      </w:tr>
      <w:tr w14:paraId="0304A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2866F9">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14A0F905">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5938051C">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455621D4">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6125138B">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r>
      <w:tr w14:paraId="4D91F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5C427D">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2185FFB4">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0E994BFB">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350F7B40">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1657CA7D">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r>
      <w:tr w14:paraId="65115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0" w:type="auto"/>
            <w:gridSpan w:val="3"/>
            <w:tcBorders>
              <w:top w:val="single" w:color="auto" w:sz="4" w:space="0"/>
              <w:left w:val="single" w:color="auto" w:sz="4" w:space="0"/>
              <w:bottom w:val="single" w:color="auto" w:sz="4" w:space="0"/>
              <w:right w:val="single" w:color="auto" w:sz="4" w:space="0"/>
            </w:tcBorders>
            <w:shd w:val="clear" w:color="auto" w:fill="auto"/>
            <w:vAlign w:val="center"/>
          </w:tcPr>
          <w:p w14:paraId="46D587E2">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Times New Roman"/>
                <w:color w:val="auto"/>
                <w:kern w:val="2"/>
                <w:sz w:val="21"/>
                <w:szCs w:val="21"/>
                <w:highlight w:val="none"/>
                <w:lang w:val="en-US" w:eastAsia="zh-CN"/>
              </w:rPr>
            </w:pPr>
            <w:r>
              <w:rPr>
                <w:rFonts w:hint="eastAsia" w:ascii="仿宋_GB2312" w:hAnsi="Times New Roman" w:eastAsia="仿宋_GB2312" w:cs="仿宋_GB2312"/>
                <w:color w:val="auto"/>
                <w:kern w:val="2"/>
                <w:sz w:val="21"/>
                <w:szCs w:val="21"/>
                <w:highlight w:val="none"/>
                <w:lang w:val="en-US" w:eastAsia="zh-CN" w:bidi="ar-SA"/>
              </w:rPr>
              <w:t>合计（含税）</w:t>
            </w:r>
          </w:p>
        </w:tc>
        <w:tc>
          <w:tcPr>
            <w:tcW w:w="0" w:type="auto"/>
            <w:tcBorders>
              <w:top w:val="single" w:color="auto" w:sz="4" w:space="0"/>
              <w:left w:val="nil"/>
              <w:bottom w:val="single" w:color="auto" w:sz="4" w:space="0"/>
              <w:right w:val="single" w:color="auto" w:sz="4" w:space="0"/>
            </w:tcBorders>
            <w:shd w:val="clear" w:color="auto" w:fill="auto"/>
            <w:vAlign w:val="center"/>
          </w:tcPr>
          <w:p w14:paraId="73CC7C42">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c>
          <w:tcPr>
            <w:tcW w:w="0" w:type="auto"/>
            <w:tcBorders>
              <w:top w:val="single" w:color="auto" w:sz="4" w:space="0"/>
              <w:left w:val="nil"/>
              <w:bottom w:val="single" w:color="auto" w:sz="4" w:space="0"/>
              <w:right w:val="single" w:color="auto" w:sz="4" w:space="0"/>
            </w:tcBorders>
            <w:shd w:val="clear" w:color="auto" w:fill="auto"/>
            <w:vAlign w:val="center"/>
          </w:tcPr>
          <w:p w14:paraId="335512FE">
            <w:pPr>
              <w:keepNext w:val="0"/>
              <w:keepLines w:val="0"/>
              <w:widowControl w:val="0"/>
              <w:suppressLineNumbers w:val="0"/>
              <w:autoSpaceDE w:val="0"/>
              <w:autoSpaceDN/>
              <w:adjustRightInd w:val="0"/>
              <w:spacing w:before="0" w:beforeAutospacing="0" w:after="0" w:afterAutospacing="0"/>
              <w:ind w:left="0" w:right="0" w:firstLine="0" w:firstLineChars="0"/>
              <w:jc w:val="center"/>
              <w:rPr>
                <w:rFonts w:hint="eastAsia" w:ascii="仿宋_GB2312" w:hAnsi="Times New Roman" w:eastAsia="仿宋_GB2312" w:cs="仿宋_GB2312"/>
                <w:color w:val="auto"/>
                <w:kern w:val="2"/>
                <w:sz w:val="21"/>
                <w:szCs w:val="21"/>
                <w:highlight w:val="none"/>
                <w:lang w:val="en-US" w:eastAsia="zh-CN"/>
              </w:rPr>
            </w:pPr>
          </w:p>
        </w:tc>
      </w:tr>
    </w:tbl>
    <w:p w14:paraId="19E78F3F">
      <w:pPr>
        <w:keepNext w:val="0"/>
        <w:keepLines w:val="0"/>
        <w:pageBreakBefore w:val="0"/>
        <w:widowControl w:val="0"/>
        <w:numPr>
          <w:ilvl w:val="1"/>
          <w:numId w:val="10"/>
        </w:numPr>
        <w:kinsoku/>
        <w:wordWrap/>
        <w:overflowPunct/>
        <w:topLinePunct w:val="0"/>
        <w:autoSpaceDE/>
        <w:autoSpaceDN/>
        <w:adjustRightInd w:val="0"/>
        <w:snapToGrid/>
        <w:spacing w:line="360" w:lineRule="auto"/>
        <w:ind w:left="0" w:leftChars="0" w:firstLine="420" w:firstLineChars="0"/>
        <w:textAlignment w:val="auto"/>
        <w:rPr>
          <w:rFonts w:hint="eastAsia" w:ascii="仿宋_GB2312" w:eastAsia="仿宋_GB2312"/>
          <w:color w:val="auto"/>
          <w:sz w:val="24"/>
          <w:highlight w:val="none"/>
        </w:rPr>
      </w:pPr>
      <w:r>
        <w:rPr>
          <w:rFonts w:hint="eastAsia" w:ascii="仿宋_GB2312" w:eastAsia="仿宋_GB2312"/>
          <w:color w:val="auto"/>
          <w:sz w:val="24"/>
          <w:highlight w:val="none"/>
        </w:rPr>
        <w:t>签约合同价（含税）为：</w:t>
      </w:r>
      <w:r>
        <w:rPr>
          <w:rFonts w:hint="eastAsia" w:ascii="仿宋_GB2312" w:hAnsi="仿宋_GB2312" w:eastAsia="仿宋_GB2312" w:cs="仿宋_GB2312"/>
          <w:color w:val="auto"/>
          <w:sz w:val="24"/>
          <w:highlight w:val="none"/>
        </w:rPr>
        <w:t>¥</w:t>
      </w:r>
      <w:permStart w:id="26" w:edGrp="everyone"/>
      <w:r>
        <w:rPr>
          <w:rFonts w:hint="eastAsia" w:ascii="仿宋_GB2312" w:eastAsia="仿宋_GB2312"/>
          <w:color w:val="auto"/>
          <w:sz w:val="24"/>
          <w:highlight w:val="none"/>
          <w:u w:val="single"/>
        </w:rPr>
        <w:t xml:space="preserve"> XX,XXX,XXX.XX</w:t>
      </w:r>
      <w:permEnd w:id="26"/>
      <w:r>
        <w:rPr>
          <w:rFonts w:hint="eastAsia" w:ascii="仿宋_GB2312" w:eastAsia="仿宋_GB2312"/>
          <w:color w:val="auto"/>
          <w:sz w:val="24"/>
          <w:highlight w:val="none"/>
        </w:rPr>
        <w:t>元（大写：</w:t>
      </w:r>
      <w:permStart w:id="27" w:edGrp="everyone"/>
      <w:r>
        <w:rPr>
          <w:rFonts w:hint="eastAsia" w:ascii="仿宋_GB2312" w:eastAsia="仿宋_GB2312"/>
          <w:color w:val="auto"/>
          <w:sz w:val="24"/>
          <w:highlight w:val="none"/>
          <w:u w:val="single"/>
        </w:rPr>
        <w:t xml:space="preserve"> X仟X佰X拾X万X仟X佰X拾X元X角X分</w:t>
      </w:r>
      <w:permEnd w:id="27"/>
      <w:r>
        <w:rPr>
          <w:rFonts w:hint="eastAsia" w:ascii="仿宋_GB2312" w:eastAsia="仿宋_GB2312"/>
          <w:color w:val="auto"/>
          <w:sz w:val="24"/>
          <w:highlight w:val="none"/>
          <w:u w:val="single"/>
        </w:rPr>
        <w:t>整</w:t>
      </w:r>
      <w:r>
        <w:rPr>
          <w:rFonts w:hint="eastAsia" w:ascii="仿宋_GB2312" w:eastAsia="仿宋_GB2312"/>
          <w:color w:val="auto"/>
          <w:sz w:val="24"/>
          <w:highlight w:val="none"/>
        </w:rPr>
        <w:t>），每瓦单价为¥</w:t>
      </w:r>
      <w:r>
        <w:rPr>
          <w:rFonts w:hint="eastAsia" w:ascii="仿宋_GB2312" w:eastAsia="仿宋_GB2312"/>
          <w:color w:val="auto"/>
          <w:sz w:val="24"/>
          <w:highlight w:val="none"/>
          <w:u w:val="single"/>
        </w:rPr>
        <w:t xml:space="preserve"> XX,XXX,XXX.XX</w:t>
      </w:r>
      <w:r>
        <w:rPr>
          <w:rFonts w:hint="eastAsia" w:ascii="仿宋_GB2312" w:eastAsia="仿宋_GB2312"/>
          <w:color w:val="auto"/>
          <w:sz w:val="24"/>
          <w:highlight w:val="none"/>
        </w:rPr>
        <w:t>元。其中设计费（含税）为：</w:t>
      </w:r>
      <w:r>
        <w:rPr>
          <w:rFonts w:hint="eastAsia" w:ascii="仿宋_GB2312" w:hAnsi="仿宋_GB2312" w:eastAsia="仿宋_GB2312" w:cs="仿宋_GB2312"/>
          <w:color w:val="auto"/>
          <w:sz w:val="24"/>
          <w:highlight w:val="none"/>
        </w:rPr>
        <w:t>¥</w:t>
      </w:r>
      <w:permStart w:id="28" w:edGrp="everyone"/>
      <w:r>
        <w:rPr>
          <w:rFonts w:hint="eastAsia" w:ascii="仿宋_GB2312" w:eastAsia="仿宋_GB2312"/>
          <w:color w:val="auto"/>
          <w:sz w:val="24"/>
          <w:highlight w:val="none"/>
          <w:u w:val="single"/>
        </w:rPr>
        <w:t xml:space="preserve"> XX,XXX,XXX.XX</w:t>
      </w:r>
      <w:permEnd w:id="28"/>
      <w:r>
        <w:rPr>
          <w:rFonts w:hint="eastAsia" w:ascii="仿宋_GB2312" w:eastAsia="仿宋_GB2312"/>
          <w:color w:val="auto"/>
          <w:sz w:val="24"/>
          <w:highlight w:val="none"/>
        </w:rPr>
        <w:t>元（大写：</w:t>
      </w:r>
      <w:permStart w:id="29" w:edGrp="everyone"/>
      <w:r>
        <w:rPr>
          <w:rFonts w:hint="eastAsia" w:ascii="仿宋_GB2312" w:eastAsia="仿宋_GB2312"/>
          <w:color w:val="auto"/>
          <w:sz w:val="24"/>
          <w:highlight w:val="none"/>
          <w:u w:val="single"/>
        </w:rPr>
        <w:t xml:space="preserve"> X仟X佰X拾X万X仟X佰X拾X元X角X分</w:t>
      </w:r>
      <w:permEnd w:id="29"/>
      <w:r>
        <w:rPr>
          <w:rFonts w:hint="eastAsia" w:ascii="仿宋_GB2312" w:eastAsia="仿宋_GB2312"/>
          <w:color w:val="auto"/>
          <w:sz w:val="24"/>
          <w:highlight w:val="none"/>
          <w:u w:val="single"/>
        </w:rPr>
        <w:t>整</w:t>
      </w:r>
      <w:r>
        <w:rPr>
          <w:rFonts w:hint="eastAsia" w:ascii="仿宋_GB2312" w:eastAsia="仿宋_GB2312"/>
          <w:color w:val="auto"/>
          <w:sz w:val="24"/>
          <w:highlight w:val="none"/>
        </w:rPr>
        <w:t>），施工费（含税）为：</w:t>
      </w:r>
      <w:r>
        <w:rPr>
          <w:rFonts w:hint="eastAsia" w:ascii="仿宋_GB2312" w:hAnsi="仿宋_GB2312" w:eastAsia="仿宋_GB2312" w:cs="仿宋_GB2312"/>
          <w:color w:val="auto"/>
          <w:sz w:val="24"/>
          <w:highlight w:val="none"/>
        </w:rPr>
        <w:t>¥</w:t>
      </w:r>
      <w:permStart w:id="30" w:edGrp="everyone"/>
      <w:r>
        <w:rPr>
          <w:rFonts w:hint="eastAsia" w:ascii="仿宋_GB2312" w:eastAsia="仿宋_GB2312"/>
          <w:color w:val="auto"/>
          <w:sz w:val="24"/>
          <w:highlight w:val="none"/>
          <w:u w:val="single"/>
        </w:rPr>
        <w:t xml:space="preserve"> XX,XXX,XXX.XX</w:t>
      </w:r>
      <w:permEnd w:id="30"/>
      <w:r>
        <w:rPr>
          <w:rFonts w:hint="eastAsia" w:ascii="仿宋_GB2312" w:eastAsia="仿宋_GB2312"/>
          <w:color w:val="auto"/>
          <w:sz w:val="24"/>
          <w:highlight w:val="none"/>
        </w:rPr>
        <w:t>元（大写：</w:t>
      </w:r>
      <w:permStart w:id="31" w:edGrp="everyone"/>
      <w:r>
        <w:rPr>
          <w:rFonts w:hint="eastAsia" w:ascii="仿宋_GB2312" w:eastAsia="仿宋_GB2312"/>
          <w:color w:val="auto"/>
          <w:sz w:val="24"/>
          <w:highlight w:val="none"/>
          <w:u w:val="single"/>
        </w:rPr>
        <w:t xml:space="preserve"> X仟X佰X拾X万X仟X佰X拾X元X角X分</w:t>
      </w:r>
      <w:permEnd w:id="31"/>
      <w:r>
        <w:rPr>
          <w:rFonts w:hint="eastAsia" w:ascii="仿宋_GB2312" w:eastAsia="仿宋_GB2312"/>
          <w:color w:val="auto"/>
          <w:sz w:val="24"/>
          <w:highlight w:val="none"/>
          <w:u w:val="single"/>
        </w:rPr>
        <w:t>整</w:t>
      </w:r>
      <w:r>
        <w:rPr>
          <w:rFonts w:hint="eastAsia" w:ascii="仿宋_GB2312" w:eastAsia="仿宋_GB2312"/>
          <w:color w:val="auto"/>
          <w:sz w:val="24"/>
          <w:highlight w:val="none"/>
        </w:rPr>
        <w:t>）。税率9%（增值税额按业务发生时国家政策规定增值税率计算），分项价格如下表所示：</w:t>
      </w:r>
    </w:p>
    <w:p w14:paraId="26E9A71F">
      <w:pPr>
        <w:keepNext w:val="0"/>
        <w:keepLines w:val="0"/>
        <w:pageBreakBefore w:val="0"/>
        <w:widowControl w:val="0"/>
        <w:kinsoku/>
        <w:wordWrap/>
        <w:overflowPunct/>
        <w:topLinePunct w:val="0"/>
        <w:autoSpaceDE/>
        <w:autoSpaceDN/>
        <w:adjustRightInd w:val="0"/>
        <w:snapToGrid/>
        <w:spacing w:line="360" w:lineRule="auto"/>
        <w:ind w:firstLine="480" w:firstLineChars="200"/>
        <w:textAlignment w:val="auto"/>
        <w:rPr>
          <w:rFonts w:hint="default" w:ascii="仿宋_GB2312" w:eastAsia="仿宋_GB2312"/>
          <w:color w:val="auto"/>
          <w:sz w:val="24"/>
          <w:highlight w:val="none"/>
        </w:rPr>
      </w:pPr>
      <w:r>
        <w:rPr>
          <w:rFonts w:hint="eastAsia" w:ascii="仿宋_GB2312" w:eastAsia="仿宋_GB2312"/>
          <w:color w:val="auto"/>
          <w:sz w:val="24"/>
          <w:highlight w:val="none"/>
        </w:rPr>
        <w:t>该签约合同价包含但不限于：</w:t>
      </w:r>
    </w:p>
    <w:p w14:paraId="291C76B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（1）前期勘察费、设计费、鉴定费、资料费、结构加固费、报建费、报装费等费用；</w:t>
      </w:r>
    </w:p>
    <w:p w14:paraId="70F1941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场地清理费、材料费、辅材费、人工费、设备及配件费、施工机具费、包装运输费、吊装费、安装费、保险费、保修费、测试及检测费、采保费、施工管理费、临水临电费、赶工费、安全防护措施费、文明施工措施费、其他一切项目措施费、规费、人员培训教育、售后技术服务等费用、管理</w:t>
      </w:r>
      <w:r>
        <w:rPr>
          <w:rFonts w:hint="default" w:ascii="仿宋_GB2312" w:eastAsia="仿宋_GB2312"/>
          <w:color w:val="auto"/>
          <w:sz w:val="24"/>
          <w:highlight w:val="none"/>
        </w:rPr>
        <w:t>费、</w:t>
      </w:r>
      <w:r>
        <w:rPr>
          <w:rFonts w:hint="eastAsia" w:ascii="仿宋_GB2312" w:eastAsia="仿宋_GB2312"/>
          <w:color w:val="auto"/>
          <w:sz w:val="24"/>
          <w:highlight w:val="none"/>
        </w:rPr>
        <w:t>利润</w:t>
      </w:r>
      <w:r>
        <w:rPr>
          <w:rFonts w:hint="default" w:ascii="仿宋_GB2312" w:eastAsia="仿宋_GB2312"/>
          <w:color w:val="auto"/>
          <w:sz w:val="24"/>
          <w:highlight w:val="none"/>
        </w:rPr>
        <w:t>、</w:t>
      </w:r>
      <w:r>
        <w:rPr>
          <w:rFonts w:hint="eastAsia" w:ascii="仿宋_GB2312" w:eastAsia="仿宋_GB2312"/>
          <w:color w:val="auto"/>
          <w:sz w:val="24"/>
          <w:highlight w:val="none"/>
        </w:rPr>
        <w:t>税金等所有费用。</w:t>
      </w:r>
    </w:p>
    <w:p w14:paraId="6694BCA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（3）本工程产生的建筑垃圾、生活垃圾、临建搭拆及施工所需的设备、线材、辅材、人工等费用和乙方为履行本合同项下的义务而应承担的一切可预见或不可预见的费用。</w:t>
      </w:r>
    </w:p>
    <w:p w14:paraId="47080CF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2．除本工程价款外，甲方为实现本合同项下权益，无需再向乙方或任何第三方支付其他任何费用或款项。</w:t>
      </w:r>
    </w:p>
    <w:p w14:paraId="4EA9EEDB">
      <w:pPr>
        <w:spacing w:line="360" w:lineRule="auto"/>
        <w:ind w:firstLine="480" w:firstLineChars="200"/>
        <w:rPr>
          <w:rFonts w:hint="default" w:ascii="仿宋_GB2312" w:eastAsia="仿宋_GB2312"/>
          <w:dstrike/>
          <w:color w:val="auto"/>
          <w:sz w:val="24"/>
          <w:highlight w:val="none"/>
        </w:rPr>
      </w:pPr>
      <w:r>
        <w:rPr>
          <w:rFonts w:hint="eastAsia" w:ascii="仿宋_GB2312" w:eastAsia="仿宋_GB2312"/>
          <w:color w:val="auto"/>
          <w:sz w:val="24"/>
          <w:highlight w:val="none"/>
        </w:rPr>
        <w:t>3．本合同在承包范围内总价包干，除容量变动外不予调整，增值税按业务发生时国家增值税率计算。</w:t>
      </w:r>
    </w:p>
    <w:p w14:paraId="72B8DAB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4．经甲方确认后的施工图纸不得进行变更。</w:t>
      </w:r>
    </w:p>
    <w:p w14:paraId="391AC1D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乙方在本合同签订前已到工地现场踏勘，已充分了解工地位置、场地情况、道路情况、安装空间、装卸限制及任何其他足以影响承包总价的情况，任何因忽视或误解工地情况导致的索赔（增补）或工期延长申请将不被批准。</w:t>
      </w:r>
    </w:p>
    <w:p w14:paraId="60D1210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乙方应具备相应的专业资格及丰富施工经验，在本合同签订前已综合考虑行业规范、政府要求、施工图纸、资料说明或专业交叉施工将要发生质量缺陷、验收风险等，任何因素导致的索赔（增补）或工期延长申请将不被批准。</w:t>
      </w:r>
    </w:p>
    <w:p w14:paraId="5C176436">
      <w:pPr>
        <w:spacing w:line="360" w:lineRule="auto"/>
        <w:rPr>
          <w:rFonts w:hint="default" w:ascii="仿宋_GB2312" w:eastAsia="仿宋_GB2312"/>
          <w:b/>
          <w:color w:val="auto"/>
          <w:sz w:val="24"/>
          <w:highlight w:val="none"/>
        </w:rPr>
      </w:pPr>
    </w:p>
    <w:p w14:paraId="130DF666">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五、工程质量技术要求</w:t>
      </w:r>
    </w:p>
    <w:p w14:paraId="5392605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1．本工程必须达到现行国家、本市规定的质量合格标准；且本工程必须通过本市供电部门验收合格，保证按时并网投运。</w:t>
      </w:r>
    </w:p>
    <w:p w14:paraId="7FE63A3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在本工程开工前，乙方应向甲方报送材料、设备清单，并须经甲方审核同意，乙方须按经甲方审核同意的材料、设备品牌、规格清单中的要求执行。乙方采购的材料、设备的品牌、型号、规格、质量标准等应与甲方招标技术要求及本合同约定的一致。设备的技术参数应与施工图纸和当地供电部门审查意见书一致。若乙方在本工程现场使用的材料、设备与本合同约定的不一致，甲方有权要求乙方在2小时内把不符约定的材料、设备清运出施工现场，已经使用的，必须拆换或者拆除重新返工，由此发生的费用和损失全部由乙方承担，且工期不予顺延；同时乙方应按本合同第十二条第7款的约定承担违约责任。</w:t>
      </w:r>
    </w:p>
    <w:p w14:paraId="3095D98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3</w:t>
      </w:r>
      <w:r>
        <w:rPr>
          <w:rFonts w:hint="eastAsia" w:ascii="仿宋_GB2312" w:eastAsia="仿宋_GB2312"/>
          <w:color w:val="auto"/>
          <w:sz w:val="24"/>
          <w:highlight w:val="none"/>
        </w:rPr>
        <w:t>．光伏组件品牌选用隆基绿能、晶科能源、晶澳科技、天合光能等国内知名一线品牌；并网逆变器品牌选用</w:t>
      </w:r>
      <w:permStart w:id="32" w:edGrp="everyone"/>
      <w:r>
        <w:rPr>
          <w:rFonts w:hint="eastAsia" w:ascii="仿宋_GB2312" w:eastAsia="仿宋_GB2312"/>
          <w:color w:val="auto"/>
          <w:sz w:val="24"/>
          <w:highlight w:val="none"/>
        </w:rPr>
        <w:t>华为、阳光电源</w:t>
      </w:r>
      <w:r>
        <w:rPr>
          <w:rFonts w:hint="eastAsia" w:ascii="仿宋_GB2312" w:eastAsia="仿宋_GB2312"/>
          <w:color w:val="auto"/>
          <w:sz w:val="24"/>
          <w:highlight w:val="none"/>
          <w:lang w:val="en-US" w:eastAsia="zh-CN"/>
        </w:rPr>
        <w:t>与</w:t>
      </w:r>
      <w:r>
        <w:rPr>
          <w:rFonts w:hint="eastAsia" w:ascii="仿宋_GB2312" w:eastAsia="仿宋_GB2312"/>
          <w:color w:val="auto"/>
          <w:sz w:val="24"/>
          <w:highlight w:val="none"/>
        </w:rPr>
        <w:t>古瑞瓦特或具备</w:t>
      </w:r>
      <w:r>
        <w:rPr>
          <w:rFonts w:hint="eastAsia" w:ascii="仿宋_GB2312" w:eastAsia="仿宋_GB2312"/>
          <w:color w:val="auto"/>
          <w:sz w:val="24"/>
          <w:highlight w:val="none"/>
          <w:lang w:val="en-US" w:eastAsia="zh-CN"/>
        </w:rPr>
        <w:t>同</w:t>
      </w:r>
      <w:r>
        <w:rPr>
          <w:rFonts w:hint="eastAsia" w:ascii="仿宋_GB2312" w:eastAsia="仿宋_GB2312"/>
          <w:color w:val="auto"/>
          <w:sz w:val="24"/>
          <w:highlight w:val="none"/>
        </w:rPr>
        <w:t>等质量的品牌</w:t>
      </w:r>
      <w:permEnd w:id="32"/>
      <w:r>
        <w:rPr>
          <w:rFonts w:hint="eastAsia" w:ascii="仿宋_GB2312" w:eastAsia="仿宋_GB2312"/>
          <w:color w:val="auto"/>
          <w:sz w:val="24"/>
          <w:highlight w:val="none"/>
        </w:rPr>
        <w:t>；光伏并网柜断路器品牌选用</w:t>
      </w:r>
      <w:permStart w:id="33" w:edGrp="everyone"/>
      <w:r>
        <w:rPr>
          <w:rFonts w:hint="eastAsia" w:ascii="仿宋_GB2312" w:eastAsia="仿宋_GB2312"/>
          <w:color w:val="auto"/>
          <w:sz w:val="24"/>
          <w:highlight w:val="none"/>
        </w:rPr>
        <w:t>常熟、良信、上海人民或具备</w:t>
      </w:r>
      <w:r>
        <w:rPr>
          <w:rFonts w:hint="eastAsia" w:ascii="仿宋_GB2312" w:eastAsia="仿宋_GB2312"/>
          <w:color w:val="auto"/>
          <w:sz w:val="24"/>
          <w:highlight w:val="none"/>
          <w:lang w:val="en-US" w:eastAsia="zh-CN"/>
        </w:rPr>
        <w:t>同</w:t>
      </w:r>
      <w:r>
        <w:rPr>
          <w:rFonts w:hint="eastAsia" w:ascii="仿宋_GB2312" w:eastAsia="仿宋_GB2312"/>
          <w:color w:val="auto"/>
          <w:sz w:val="24"/>
          <w:highlight w:val="none"/>
        </w:rPr>
        <w:t>等质量的品牌</w:t>
      </w:r>
      <w:permEnd w:id="33"/>
      <w:r>
        <w:rPr>
          <w:rFonts w:hint="eastAsia" w:ascii="仿宋_GB2312" w:eastAsia="仿宋_GB2312"/>
          <w:color w:val="auto"/>
          <w:sz w:val="24"/>
          <w:highlight w:val="none"/>
        </w:rPr>
        <w:t>；交、直流电缆品牌选用</w:t>
      </w:r>
      <w:r>
        <w:rPr>
          <w:rFonts w:hint="eastAsia" w:ascii="仿宋_GB2312" w:eastAsia="仿宋_GB2312"/>
          <w:color w:val="auto"/>
          <w:sz w:val="24"/>
          <w:highlight w:val="none"/>
          <w:lang w:val="en-US" w:eastAsia="zh-CN"/>
        </w:rPr>
        <w:t>深圳市东佳信电线电缆、深圳市成天泰电缆、广州南洋电缆、广东新亚光电缆、东莞市民兴电缆、江苏上上电缆、远东电缆或具备同等质量的品牌</w:t>
      </w:r>
      <w:r>
        <w:rPr>
          <w:rFonts w:hint="eastAsia" w:ascii="仿宋_GB2312" w:eastAsia="仿宋_GB2312"/>
          <w:color w:val="auto"/>
          <w:sz w:val="24"/>
          <w:highlight w:val="none"/>
        </w:rPr>
        <w:t>；视频监控品牌选用</w:t>
      </w:r>
      <w:permStart w:id="34" w:edGrp="everyone"/>
      <w:r>
        <w:rPr>
          <w:rFonts w:hint="eastAsia" w:ascii="仿宋_GB2312" w:eastAsia="仿宋_GB2312"/>
          <w:color w:val="auto"/>
          <w:sz w:val="24"/>
          <w:highlight w:val="none"/>
        </w:rPr>
        <w:t>海康威视、大华科技</w:t>
      </w:r>
      <w:r>
        <w:rPr>
          <w:rFonts w:hint="eastAsia" w:ascii="仿宋_GB2312" w:eastAsia="仿宋_GB2312"/>
          <w:color w:val="auto"/>
          <w:sz w:val="24"/>
          <w:highlight w:val="none"/>
          <w:lang w:val="en-US" w:eastAsia="zh-CN"/>
        </w:rPr>
        <w:t>或具备同等质量的品牌</w:t>
      </w:r>
      <w:permEnd w:id="34"/>
      <w:r>
        <w:rPr>
          <w:rFonts w:hint="eastAsia" w:ascii="仿宋_GB2312" w:eastAsia="仿宋_GB2312"/>
          <w:color w:val="auto"/>
          <w:sz w:val="24"/>
          <w:highlight w:val="none"/>
        </w:rPr>
        <w:t>，防水棚架最高点（组件面）高度不得高于2.8m，因本工程实际需要乙方需更换设备品牌的，必须征得甲方书面同意后才能更换。</w:t>
      </w:r>
    </w:p>
    <w:p w14:paraId="724A5F5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．乙方所供应的所有设备、材料须为国标产品，应符合国家或行业规定的合格质量标准，品牌、型号规格等必须符合本工程招标文件技术要求约定，应具备本市供电局入网许可要求。</w:t>
      </w:r>
    </w:p>
    <w:p w14:paraId="3F62FEA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eastAsia" w:ascii="仿宋_GB2312" w:eastAsia="仿宋_GB2312"/>
          <w:color w:val="auto"/>
          <w:sz w:val="24"/>
          <w:highlight w:val="none"/>
        </w:rPr>
        <w:t>．乙方须保证其所供应的所有设备、材料有合法来源且甲方有权在屋顶合法使用。任何涉及本合同设备或工程的非法使用、包括但不限于知识产权侵权或任何第三方针对甲方的索赔或控诉，应由乙方出面代表甲方处理此类索赔或控诉并承担一切法律责任和因此给甲方造成的任何损失及费用。</w:t>
      </w:r>
    </w:p>
    <w:p w14:paraId="79239146">
      <w:pPr>
        <w:rPr>
          <w:color w:val="auto"/>
          <w:highlight w:val="none"/>
        </w:rPr>
      </w:pPr>
    </w:p>
    <w:p w14:paraId="484115FF">
      <w:pPr>
        <w:spacing w:line="360" w:lineRule="auto"/>
        <w:rPr>
          <w:rFonts w:hint="default" w:ascii="仿宋_GB2312" w:eastAsia="仿宋_GB2312"/>
          <w:b/>
          <w:color w:val="auto"/>
          <w:sz w:val="24"/>
          <w:highlight w:val="none"/>
          <w:lang w:val="en-US" w:eastAsia="zh-CN"/>
        </w:rPr>
      </w:pPr>
      <w:r>
        <w:rPr>
          <w:rFonts w:hint="eastAsia" w:ascii="仿宋_GB2312" w:eastAsia="仿宋_GB2312"/>
          <w:b/>
          <w:color w:val="auto"/>
          <w:sz w:val="24"/>
          <w:highlight w:val="none"/>
        </w:rPr>
        <w:t>六、履约担保</w:t>
      </w:r>
      <w:r>
        <w:rPr>
          <w:rFonts w:hint="eastAsia" w:ascii="仿宋_GB2312" w:eastAsia="仿宋_GB2312"/>
          <w:b/>
          <w:color w:val="auto"/>
          <w:sz w:val="24"/>
          <w:highlight w:val="none"/>
          <w:lang w:val="en-US" w:eastAsia="zh-CN"/>
        </w:rPr>
        <w:t>与保险</w:t>
      </w:r>
    </w:p>
    <w:p w14:paraId="1D7D5469">
      <w:pPr>
        <w:spacing w:line="360" w:lineRule="auto"/>
        <w:ind w:firstLine="480" w:firstLineChars="200"/>
        <w:rPr>
          <w:rFonts w:hint="default"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1、履约担保</w:t>
      </w:r>
    </w:p>
    <w:p w14:paraId="7334FA10">
      <w:pPr>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乙方应自本合同签订之日起7天内，按合同总价的</w:t>
      </w:r>
      <w:permStart w:id="35" w:edGrp="everyone"/>
      <w:r>
        <w:rPr>
          <w:rFonts w:hint="eastAsia" w:ascii="仿宋_GB2312" w:eastAsia="仿宋_GB2312"/>
          <w:color w:val="auto"/>
          <w:sz w:val="24"/>
          <w:highlight w:val="none"/>
        </w:rPr>
        <w:t>10</w:t>
      </w:r>
      <w:permEnd w:id="35"/>
      <w:r>
        <w:rPr>
          <w:rFonts w:hint="default" w:ascii="仿宋_GB2312" w:eastAsia="仿宋_GB2312"/>
          <w:color w:val="auto"/>
          <w:sz w:val="24"/>
          <w:highlight w:val="none"/>
        </w:rPr>
        <w:t>%向甲方缴纳履约保证金（以电汇、银行转账的方式提交至甲方指定账户）或提交履约保函（应由银行机构开具，不接受担保公司出具的保函）；工程全部竣工验收合格且乙方无违约行为情况，甲方在全部工程竣工结算后无息退回乙方。</w:t>
      </w:r>
    </w:p>
    <w:p w14:paraId="5D19D8C9">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2、保险条例</w:t>
      </w:r>
    </w:p>
    <w:p w14:paraId="0E69F370">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（1）乙方应在项目开工前完成办理本项目建筑安装工程一切险等保险、第三者责任险、施工人员工伤保险/意外保险。</w:t>
      </w:r>
    </w:p>
    <w:p w14:paraId="24B84053">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2）承包人应按照合同约定向双方同意的保险人投保建筑安装工程一切险等保险。具体的投保险种、保险范围、保险金额、保险费率、保险期限等有关内容应当在专用合同条件中明确约定，该保险的费用由承包人承担。</w:t>
      </w:r>
    </w:p>
    <w:p w14:paraId="53AB8005">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（3）承包人应按照合同条件的约定投保第三者责任险，并在缺陷责任期终止证书颁发前维持其持续有效。第三者责任险最低投保额应在专用合同条件内约定，该保险的费用由承包人承担。</w:t>
      </w:r>
    </w:p>
    <w:p w14:paraId="41B3DA9A">
      <w:pPr>
        <w:spacing w:line="360" w:lineRule="auto"/>
        <w:ind w:firstLine="480" w:firstLineChars="200"/>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（4）承包人应依照法律规定为其履行合同雇用的全部人员办理工伤保险，缴纳工伤保险费，并要求分包人及由承包人为履行合同聘请的第三方雇用的全部人员依法办理工伤保险。</w:t>
      </w:r>
    </w:p>
    <w:p w14:paraId="25C113EF">
      <w:pPr>
        <w:rPr>
          <w:color w:val="auto"/>
          <w:highlight w:val="none"/>
        </w:rPr>
      </w:pPr>
    </w:p>
    <w:p w14:paraId="757A3CAB">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七、付款方式与工程结算</w:t>
      </w:r>
    </w:p>
    <w:p w14:paraId="7699943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（一）付款方式：</w:t>
      </w:r>
    </w:p>
    <w:p w14:paraId="27F97154">
      <w:pPr>
        <w:spacing w:line="360" w:lineRule="auto"/>
        <w:ind w:firstLine="480" w:firstLineChars="200"/>
        <w:rPr>
          <w:color w:val="auto"/>
          <w:highlight w:val="none"/>
        </w:rPr>
      </w:pPr>
      <w:r>
        <w:rPr>
          <w:rFonts w:hint="default" w:ascii="仿宋_GB2312" w:eastAsia="仿宋_GB2312"/>
          <w:color w:val="auto"/>
          <w:sz w:val="24"/>
          <w:highlight w:val="none"/>
        </w:rPr>
        <w:t>1、</w:t>
      </w:r>
      <w:r>
        <w:rPr>
          <w:rFonts w:hint="eastAsia" w:ascii="仿宋_GB2312" w:eastAsia="仿宋_GB2312"/>
          <w:color w:val="auto"/>
          <w:sz w:val="24"/>
          <w:highlight w:val="none"/>
        </w:rPr>
        <w:t>预付</w:t>
      </w:r>
      <w:r>
        <w:rPr>
          <w:rFonts w:hint="default" w:ascii="仿宋_GB2312" w:eastAsia="仿宋_GB2312"/>
          <w:color w:val="auto"/>
          <w:sz w:val="24"/>
          <w:highlight w:val="none"/>
        </w:rPr>
        <w:t>款支付：本项目无预付款。</w:t>
      </w:r>
    </w:p>
    <w:p w14:paraId="5D86E9F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w:t>
      </w:r>
      <w:r>
        <w:rPr>
          <w:rFonts w:hint="default" w:ascii="仿宋_GB2312" w:eastAsia="仿宋_GB2312"/>
          <w:color w:val="auto"/>
          <w:sz w:val="24"/>
          <w:highlight w:val="none"/>
        </w:rPr>
        <w:t>、进度款支付：</w:t>
      </w:r>
    </w:p>
    <w:p w14:paraId="761281F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（1）在规定期限内提供相关资料并配合</w:t>
      </w:r>
      <w:r>
        <w:rPr>
          <w:rFonts w:hint="eastAsia" w:ascii="仿宋_GB2312" w:eastAsia="仿宋_GB2312"/>
          <w:color w:val="auto"/>
          <w:sz w:val="24"/>
          <w:highlight w:val="none"/>
          <w:lang w:val="en-US" w:eastAsia="zh-CN"/>
        </w:rPr>
        <w:t>负责</w:t>
      </w:r>
      <w:r>
        <w:rPr>
          <w:rFonts w:hint="eastAsia" w:ascii="仿宋_GB2312" w:eastAsia="仿宋_GB2312"/>
          <w:color w:val="auto"/>
          <w:sz w:val="24"/>
          <w:highlight w:val="none"/>
        </w:rPr>
        <w:t>发包人取得备案许可证，办理完成各种与本工程相关的报建、报装手续及施工所需</w:t>
      </w:r>
      <w:r>
        <w:rPr>
          <w:rFonts w:hint="eastAsia" w:ascii="仿宋_GB2312" w:eastAsia="仿宋_GB2312"/>
          <w:color w:val="auto"/>
          <w:sz w:val="24"/>
          <w:highlight w:val="none"/>
          <w:lang w:val="en-US" w:eastAsia="zh-CN"/>
        </w:rPr>
        <w:t>开工报审、</w:t>
      </w:r>
      <w:r>
        <w:rPr>
          <w:rFonts w:hint="eastAsia" w:ascii="仿宋_GB2312" w:eastAsia="仿宋_GB2312"/>
          <w:color w:val="auto"/>
          <w:sz w:val="24"/>
          <w:highlight w:val="none"/>
        </w:rPr>
        <w:t>许可、证件</w:t>
      </w:r>
      <w:r>
        <w:rPr>
          <w:rFonts w:hint="eastAsia" w:ascii="仿宋_GB2312" w:eastAsia="仿宋_GB2312"/>
          <w:color w:val="auto"/>
          <w:sz w:val="24"/>
          <w:highlight w:val="none"/>
          <w:lang w:val="en-US" w:eastAsia="zh-CN"/>
        </w:rPr>
        <w:t>等文件</w:t>
      </w:r>
      <w:r>
        <w:rPr>
          <w:rFonts w:hint="eastAsia" w:ascii="仿宋_GB2312" w:eastAsia="仿宋_GB2312"/>
          <w:color w:val="auto"/>
          <w:sz w:val="24"/>
          <w:highlight w:val="none"/>
        </w:rPr>
        <w:t>，包括但不限于办理施工许可证、报建手续、物业办电信用报告或供水供电报装证明、项目并网申请已受理</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开工令</w:t>
      </w:r>
      <w:r>
        <w:rPr>
          <w:rFonts w:hint="eastAsia" w:ascii="仿宋_GB2312" w:eastAsia="仿宋_GB2312"/>
          <w:color w:val="auto"/>
          <w:sz w:val="24"/>
          <w:highlight w:val="none"/>
        </w:rPr>
        <w:t>相关文件等工作，同时完成视频监控系统（甲方负责人指定位置）安装投运并移交安全管理部（并网后再移交运营部）</w:t>
      </w:r>
      <w:r>
        <w:rPr>
          <w:rFonts w:hint="eastAsia" w:ascii="仿宋_GB2312" w:eastAsia="仿宋_GB2312"/>
          <w:color w:val="auto"/>
          <w:sz w:val="24"/>
          <w:highlight w:val="none"/>
          <w:lang w:eastAsia="zh-CN"/>
        </w:rPr>
        <w:t>。</w:t>
      </w:r>
      <w:r>
        <w:rPr>
          <w:rFonts w:hint="eastAsia" w:ascii="仿宋_GB2312" w:eastAsia="仿宋_GB2312"/>
          <w:color w:val="auto"/>
          <w:sz w:val="24"/>
          <w:highlight w:val="none"/>
          <w:lang w:val="en-US" w:eastAsia="zh-CN"/>
        </w:rPr>
        <w:t>待满足开工条件且取得甲方签证的开工报审页后，</w:t>
      </w:r>
      <w:r>
        <w:rPr>
          <w:rFonts w:hint="eastAsia" w:ascii="仿宋_GB2312" w:eastAsia="仿宋_GB2312"/>
          <w:color w:val="auto"/>
          <w:sz w:val="24"/>
          <w:highlight w:val="none"/>
        </w:rPr>
        <w:t>乙方可向甲方申请支付合同总金额的30%。</w:t>
      </w:r>
    </w:p>
    <w:p w14:paraId="3867819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（2）完成施工图纸设计并盖章，同时</w:t>
      </w:r>
      <w:r>
        <w:rPr>
          <w:rFonts w:hint="default" w:ascii="仿宋_GB2312" w:eastAsia="仿宋_GB2312"/>
          <w:color w:val="auto"/>
          <w:sz w:val="24"/>
          <w:highlight w:val="none"/>
        </w:rPr>
        <w:t>主</w:t>
      </w:r>
      <w:r>
        <w:rPr>
          <w:rFonts w:hint="eastAsia" w:ascii="仿宋_GB2312" w:eastAsia="仿宋_GB2312"/>
          <w:color w:val="auto"/>
          <w:sz w:val="24"/>
          <w:highlight w:val="none"/>
        </w:rPr>
        <w:t>设备（</w:t>
      </w:r>
      <w:permStart w:id="36" w:edGrp="everyone"/>
      <w:r>
        <w:rPr>
          <w:rFonts w:hint="eastAsia" w:ascii="仿宋_GB2312" w:eastAsia="仿宋_GB2312"/>
          <w:color w:val="auto"/>
          <w:sz w:val="24"/>
          <w:highlight w:val="none"/>
        </w:rPr>
        <w:t>光伏组件、并网逆变器、光伏并网柜、交流电缆、独立接地极</w:t>
      </w:r>
      <w:permEnd w:id="36"/>
      <w:r>
        <w:rPr>
          <w:rFonts w:hint="eastAsia" w:ascii="仿宋_GB2312" w:eastAsia="仿宋_GB2312"/>
          <w:color w:val="auto"/>
          <w:sz w:val="24"/>
          <w:highlight w:val="none"/>
        </w:rPr>
        <w:t>）到进场工地并经甲方验收</w:t>
      </w:r>
      <w:r>
        <w:rPr>
          <w:rFonts w:hint="eastAsia" w:ascii="仿宋_GB2312" w:eastAsia="仿宋_GB2312"/>
          <w:color w:val="auto"/>
          <w:sz w:val="24"/>
          <w:highlight w:val="none"/>
          <w:lang w:val="en-US" w:eastAsia="zh-CN"/>
        </w:rPr>
        <w:t>合格</w:t>
      </w: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同时接地系统施工完成并取得验收合格证明后，乙方可向甲方申请支付合同总金额的30%。如出现农民工闹事，在未结清农民工款项之前，甲方有权暂缓支付该款项。</w:t>
      </w:r>
    </w:p>
    <w:p w14:paraId="7AB9E4D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（3）工程现场安装调试完毕并经相关部门验收合格，同时完成并网投运后,乙方可向甲方申请支付合同总金额的</w:t>
      </w:r>
      <w:permStart w:id="37" w:edGrp="everyone"/>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0</w:t>
      </w:r>
      <w:permEnd w:id="37"/>
      <w:r>
        <w:rPr>
          <w:rFonts w:hint="eastAsia" w:ascii="仿宋_GB2312" w:eastAsia="仿宋_GB2312"/>
          <w:color w:val="auto"/>
          <w:sz w:val="24"/>
          <w:highlight w:val="none"/>
        </w:rPr>
        <w:t>%。如出现农民工闹事，在未结清农民工款项之前，甲方有权暂缓支付该款项。</w:t>
      </w:r>
    </w:p>
    <w:p w14:paraId="265E7969">
      <w:pPr>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2</w:t>
      </w:r>
      <w:r>
        <w:rPr>
          <w:rFonts w:hint="eastAsia" w:ascii="仿宋_GB2312" w:eastAsia="仿宋_GB2312"/>
          <w:color w:val="auto"/>
          <w:sz w:val="24"/>
          <w:highlight w:val="none"/>
        </w:rPr>
        <w:t>.工程通过甲方竣工验收并移交甲方竣工资料，同时办理完成结算后，乙方可向甲方申请支付至合同总结算金额的97%，留</w:t>
      </w:r>
      <w:r>
        <w:rPr>
          <w:rFonts w:hint="default" w:ascii="仿宋_GB2312" w:eastAsia="仿宋_GB2312"/>
          <w:color w:val="auto"/>
          <w:sz w:val="24"/>
          <w:highlight w:val="none"/>
        </w:rPr>
        <w:t>本工程</w:t>
      </w:r>
      <w:r>
        <w:rPr>
          <w:rFonts w:hint="eastAsia" w:ascii="仿宋_GB2312" w:eastAsia="仿宋_GB2312"/>
          <w:color w:val="auto"/>
          <w:sz w:val="24"/>
          <w:highlight w:val="none"/>
        </w:rPr>
        <w:t>合同总结算金额</w:t>
      </w:r>
      <w:r>
        <w:rPr>
          <w:rFonts w:hint="default" w:ascii="仿宋_GB2312" w:eastAsia="仿宋_GB2312"/>
          <w:color w:val="auto"/>
          <w:sz w:val="24"/>
          <w:highlight w:val="none"/>
        </w:rPr>
        <w:t>的3%作为质量保修金留置在甲方处。自本工程</w:t>
      </w:r>
      <w:r>
        <w:rPr>
          <w:rFonts w:hint="eastAsia" w:ascii="仿宋_GB2312" w:eastAsia="仿宋_GB2312"/>
          <w:color w:val="auto"/>
          <w:sz w:val="24"/>
          <w:highlight w:val="none"/>
        </w:rPr>
        <w:t>保修期届满</w:t>
      </w:r>
      <w:r>
        <w:rPr>
          <w:rFonts w:hint="default" w:ascii="仿宋_GB2312" w:eastAsia="仿宋_GB2312"/>
          <w:color w:val="auto"/>
          <w:sz w:val="24"/>
          <w:highlight w:val="none"/>
        </w:rPr>
        <w:t>后，甲方扣除乙方应付的维修、维护及质量损失赔偿金等</w:t>
      </w:r>
      <w:r>
        <w:rPr>
          <w:rFonts w:hint="eastAsia" w:ascii="仿宋_GB2312" w:eastAsia="仿宋_GB2312"/>
          <w:color w:val="auto"/>
          <w:sz w:val="24"/>
          <w:highlight w:val="none"/>
        </w:rPr>
        <w:t>金额</w:t>
      </w:r>
      <w:r>
        <w:rPr>
          <w:rFonts w:hint="default" w:ascii="仿宋_GB2312" w:eastAsia="仿宋_GB2312"/>
          <w:color w:val="auto"/>
          <w:sz w:val="24"/>
          <w:highlight w:val="none"/>
        </w:rPr>
        <w:t>后</w:t>
      </w:r>
      <w:r>
        <w:rPr>
          <w:rFonts w:hint="eastAsia" w:ascii="仿宋_GB2312" w:eastAsia="仿宋_GB2312"/>
          <w:color w:val="auto"/>
          <w:sz w:val="24"/>
          <w:highlight w:val="none"/>
        </w:rPr>
        <w:t>乙方可向甲方申请无息退还</w:t>
      </w:r>
      <w:r>
        <w:rPr>
          <w:rFonts w:hint="default" w:ascii="仿宋_GB2312" w:eastAsia="仿宋_GB2312"/>
          <w:color w:val="auto"/>
          <w:sz w:val="24"/>
          <w:highlight w:val="none"/>
        </w:rPr>
        <w:t>。如出现农民工闹事，在未结清农民工款项之前，甲方有权暂缓支付该款项。</w:t>
      </w:r>
    </w:p>
    <w:p w14:paraId="43D8FB6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3.乙方每次申请付款前，应向甲方提供与工程产值等额且含税9%的增值税专用发票（增值税按业务发生时国家增值税率计算），并报送相应款项的形象进度完成情况的照片和资料。</w:t>
      </w:r>
    </w:p>
    <w:p w14:paraId="1F4DD6DD">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4.甲方有权根据实际并网容量及项目整改情况决定各项进度款支付比例。</w:t>
      </w:r>
    </w:p>
    <w:p w14:paraId="7373FEB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default" w:ascii="仿宋_GB2312" w:eastAsia="仿宋_GB2312"/>
          <w:color w:val="auto"/>
          <w:sz w:val="24"/>
          <w:highlight w:val="none"/>
        </w:rPr>
        <w:t>在施工过程中，如因</w:t>
      </w:r>
      <w:r>
        <w:rPr>
          <w:rFonts w:hint="eastAsia" w:ascii="仿宋_GB2312" w:eastAsia="仿宋_GB2312"/>
          <w:color w:val="auto"/>
          <w:sz w:val="24"/>
          <w:highlight w:val="none"/>
          <w:lang w:val="en-US" w:eastAsia="zh-CN"/>
        </w:rPr>
        <w:t>乙方</w:t>
      </w:r>
      <w:r>
        <w:rPr>
          <w:rFonts w:hint="default" w:ascii="仿宋_GB2312" w:eastAsia="仿宋_GB2312"/>
          <w:color w:val="auto"/>
          <w:sz w:val="24"/>
          <w:highlight w:val="none"/>
        </w:rPr>
        <w:t>拖欠农民工工资引发集体维权事件，经甲方或相关主管部门核实后，甲方有权从应付工程款中暂扣</w:t>
      </w:r>
      <w:r>
        <w:rPr>
          <w:rFonts w:hint="eastAsia" w:ascii="仿宋_GB2312" w:eastAsia="仿宋_GB2312"/>
          <w:color w:val="auto"/>
          <w:sz w:val="24"/>
          <w:highlight w:val="none"/>
          <w:lang w:val="en-US" w:eastAsia="zh-CN"/>
        </w:rPr>
        <w:t>相应未结清工资款</w:t>
      </w:r>
      <w:r>
        <w:rPr>
          <w:rFonts w:hint="default" w:ascii="仿宋_GB2312" w:eastAsia="仿宋_GB2312"/>
          <w:color w:val="auto"/>
          <w:sz w:val="24"/>
          <w:highlight w:val="none"/>
        </w:rPr>
        <w:t>。待承包方提供农民工工资足额支付凭证，或经劳动监察部门确认无欠薪问题后，甲方</w:t>
      </w:r>
      <w:r>
        <w:rPr>
          <w:rFonts w:hint="eastAsia" w:ascii="仿宋_GB2312" w:eastAsia="仿宋_GB2312"/>
          <w:color w:val="auto"/>
          <w:sz w:val="24"/>
          <w:highlight w:val="none"/>
          <w:lang w:val="en-US" w:eastAsia="zh-CN"/>
        </w:rPr>
        <w:t>再</w:t>
      </w:r>
      <w:r>
        <w:rPr>
          <w:rFonts w:hint="default" w:ascii="仿宋_GB2312" w:eastAsia="仿宋_GB2312"/>
          <w:color w:val="auto"/>
          <w:sz w:val="24"/>
          <w:highlight w:val="none"/>
        </w:rPr>
        <w:t>予以支付</w:t>
      </w:r>
      <w:r>
        <w:rPr>
          <w:rFonts w:hint="eastAsia" w:ascii="仿宋_GB2312" w:eastAsia="仿宋_GB2312"/>
          <w:color w:val="auto"/>
          <w:sz w:val="24"/>
          <w:highlight w:val="none"/>
          <w:lang w:val="en-US" w:eastAsia="zh-CN"/>
        </w:rPr>
        <w:t>工程款</w:t>
      </w:r>
      <w:r>
        <w:rPr>
          <w:rFonts w:hint="default" w:ascii="仿宋_GB2312" w:eastAsia="仿宋_GB2312"/>
          <w:color w:val="auto"/>
          <w:sz w:val="24"/>
          <w:highlight w:val="none"/>
        </w:rPr>
        <w:t>。由此产生的一切法律责任及后果均由</w:t>
      </w:r>
      <w:r>
        <w:rPr>
          <w:rFonts w:hint="eastAsia" w:ascii="仿宋_GB2312" w:eastAsia="仿宋_GB2312"/>
          <w:color w:val="auto"/>
          <w:sz w:val="24"/>
          <w:highlight w:val="none"/>
          <w:lang w:val="en-US" w:eastAsia="zh-CN"/>
        </w:rPr>
        <w:t>乙方</w:t>
      </w:r>
      <w:r>
        <w:rPr>
          <w:rFonts w:hint="default" w:ascii="仿宋_GB2312" w:eastAsia="仿宋_GB2312"/>
          <w:color w:val="auto"/>
          <w:sz w:val="24"/>
          <w:highlight w:val="none"/>
        </w:rPr>
        <w:t>承担。</w:t>
      </w:r>
    </w:p>
    <w:p w14:paraId="339460C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6</w:t>
      </w:r>
      <w:r>
        <w:rPr>
          <w:rFonts w:hint="eastAsia" w:ascii="仿宋_GB2312" w:eastAsia="仿宋_GB2312"/>
          <w:color w:val="auto"/>
          <w:sz w:val="24"/>
          <w:highlight w:val="none"/>
        </w:rPr>
        <w:t>.在出现特殊情况时（如甲方总经理、主管领导、财务负责人等相关审批人员出差等情况），乙方承诺给与甲方14个日历天的付款延长期，在此时间以内，甲方无须承担任何违约责任也不支付利息，乙方不得以款项未支付为由停止供货或消极怠工。</w:t>
      </w:r>
    </w:p>
    <w:p w14:paraId="59E4ECD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（二）工程结算：</w:t>
      </w:r>
    </w:p>
    <w:p w14:paraId="317A2B2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1．原则要求</w:t>
      </w:r>
    </w:p>
    <w:p w14:paraId="62E2F19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w:t>
      </w:r>
      <w:permStart w:id="38" w:edGrp="everyone"/>
      <w:r>
        <w:rPr>
          <w:rFonts w:hint="eastAsia" w:ascii="仿宋_GB2312" w:eastAsia="仿宋_GB2312"/>
          <w:color w:val="auto"/>
          <w:sz w:val="24"/>
          <w:highlight w:val="none"/>
        </w:rPr>
        <w:t xml:space="preserve"> 本项目拟安装XX块XXWp N型单晶硅高效组件，</w:t>
      </w:r>
      <w:r>
        <w:rPr>
          <w:rFonts w:hint="eastAsia" w:ascii="仿宋_GB2312" w:eastAsia="仿宋_GB2312"/>
          <w:color w:val="auto"/>
          <w:sz w:val="24"/>
          <w:highlight w:val="none"/>
          <w:lang w:val="en-US" w:eastAsia="zh-CN"/>
        </w:rPr>
        <w:t>总</w:t>
      </w:r>
      <w:r>
        <w:rPr>
          <w:rFonts w:hint="eastAsia" w:ascii="仿宋_GB2312" w:eastAsia="仿宋_GB2312"/>
          <w:color w:val="auto"/>
          <w:sz w:val="24"/>
          <w:highlight w:val="none"/>
        </w:rPr>
        <w:t>安装容量XXkWp</w:t>
      </w:r>
      <w:permEnd w:id="38"/>
      <w:r>
        <w:rPr>
          <w:rFonts w:hint="eastAsia" w:ascii="仿宋_GB2312" w:eastAsia="仿宋_GB2312"/>
          <w:color w:val="auto"/>
          <w:sz w:val="24"/>
          <w:highlight w:val="none"/>
        </w:rPr>
        <w:t>。本合同承包范围内的内容总价包干，除容量变动外双方不得以任何理由调整总价。</w:t>
      </w:r>
    </w:p>
    <w:p w14:paraId="1C52421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在组件及支架安装数量不变的情况下，如果因单块组件容量增大导致实际装机容量增大，如580Wp改为585Wp，仍按单块组件580Wp计算总装机容量来结算总价，如组件单块容量不变，安装组件数量增多，可按照实际装机容量结算。</w:t>
      </w:r>
    </w:p>
    <w:p w14:paraId="5523A381">
      <w:pPr>
        <w:adjustRightInd w:val="0"/>
        <w:snapToGrid w:val="0"/>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 竣工结算</w:t>
      </w:r>
    </w:p>
    <w:p w14:paraId="6CC18292">
      <w:pPr>
        <w:adjustRightInd w:val="0"/>
        <w:snapToGrid w:val="0"/>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（1）工程全部验收合格，乙方应在</w:t>
      </w:r>
      <w:r>
        <w:rPr>
          <w:rFonts w:hint="default" w:ascii="仿宋_GB2312" w:eastAsia="仿宋_GB2312"/>
          <w:color w:val="auto"/>
          <w:sz w:val="24"/>
          <w:highlight w:val="none"/>
        </w:rPr>
        <w:t>3</w:t>
      </w:r>
      <w:r>
        <w:rPr>
          <w:rFonts w:hint="eastAsia" w:ascii="仿宋_GB2312" w:eastAsia="仿宋_GB2312"/>
          <w:color w:val="auto"/>
          <w:sz w:val="24"/>
          <w:highlight w:val="none"/>
        </w:rPr>
        <w:t>0日内向甲方申报完整的结算资料（含组件、逆变器、并网柜、电缆等主要设备的合格证及使用说明书）。甲方在收到乙方完整的结算资料后，无特殊情况，甲乙双方在60日内完成竣工结算的核实工作。因乙方原因影响结算款的支付由乙方负责。</w:t>
      </w:r>
    </w:p>
    <w:p w14:paraId="5EA562D3">
      <w:pPr>
        <w:tabs>
          <w:tab w:val="left" w:pos="900"/>
        </w:tabs>
        <w:adjustRightInd w:val="0"/>
        <w:snapToGrid w:val="0"/>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（2）甲方结算资料接收人为甲方代表。乙方需按以下要求报送完整结算资料，结算资料包括但不限于下列内容：</w:t>
      </w:r>
    </w:p>
    <w:p w14:paraId="3695B82A">
      <w:pPr>
        <w:adjustRightInd w:val="0"/>
        <w:snapToGrid w:val="0"/>
        <w:spacing w:line="360" w:lineRule="auto"/>
        <w:ind w:left="479" w:leftChars="228"/>
        <w:rPr>
          <w:rFonts w:hint="default" w:ascii="仿宋_GB2312" w:eastAsia="仿宋_GB2312"/>
          <w:color w:val="auto"/>
          <w:sz w:val="24"/>
          <w:highlight w:val="none"/>
        </w:rPr>
      </w:pPr>
      <w:r>
        <w:rPr>
          <w:rFonts w:hint="eastAsia" w:ascii="仿宋_GB2312" w:eastAsia="仿宋_GB2312"/>
          <w:color w:val="auto"/>
          <w:sz w:val="24"/>
          <w:highlight w:val="none"/>
        </w:rPr>
        <w:t>①</w:t>
      </w:r>
      <w:r>
        <w:rPr>
          <w:rFonts w:hint="default" w:ascii="仿宋_GB2312" w:eastAsia="仿宋_GB2312"/>
          <w:color w:val="auto"/>
          <w:sz w:val="24"/>
          <w:highlight w:val="none"/>
        </w:rPr>
        <w:t>工程结算书（编制说明、造价汇总表等）</w:t>
      </w:r>
      <w:r>
        <w:rPr>
          <w:rFonts w:hint="eastAsia" w:ascii="仿宋_GB2312" w:eastAsia="仿宋_GB2312"/>
          <w:color w:val="auto"/>
          <w:sz w:val="24"/>
          <w:highlight w:val="none"/>
        </w:rPr>
        <w:t>；</w:t>
      </w:r>
      <w:r>
        <w:rPr>
          <w:rFonts w:hint="default" w:ascii="仿宋_GB2312" w:eastAsia="仿宋_GB2312"/>
          <w:color w:val="auto"/>
          <w:sz w:val="24"/>
          <w:highlight w:val="none"/>
        </w:rPr>
        <w:br w:type="textWrapping"/>
      </w:r>
      <w:r>
        <w:rPr>
          <w:rFonts w:hint="eastAsia" w:ascii="仿宋_GB2312" w:eastAsia="仿宋_GB2312"/>
          <w:color w:val="auto"/>
          <w:sz w:val="24"/>
          <w:highlight w:val="none"/>
        </w:rPr>
        <w:t>②</w:t>
      </w:r>
      <w:r>
        <w:rPr>
          <w:rFonts w:hint="default" w:ascii="仿宋_GB2312" w:eastAsia="仿宋_GB2312"/>
          <w:color w:val="auto"/>
          <w:sz w:val="24"/>
          <w:highlight w:val="none"/>
        </w:rPr>
        <w:t>竣工图、施工图（经建设方确认的图纸）</w:t>
      </w:r>
      <w:r>
        <w:rPr>
          <w:rFonts w:hint="eastAsia" w:ascii="仿宋_GB2312" w:eastAsia="仿宋_GB2312"/>
          <w:color w:val="auto"/>
          <w:sz w:val="24"/>
          <w:highlight w:val="none"/>
        </w:rPr>
        <w:t>；</w:t>
      </w:r>
      <w:r>
        <w:rPr>
          <w:rFonts w:hint="default" w:ascii="仿宋_GB2312" w:eastAsia="仿宋_GB2312"/>
          <w:color w:val="auto"/>
          <w:sz w:val="24"/>
          <w:highlight w:val="none"/>
        </w:rPr>
        <w:br w:type="textWrapping"/>
      </w:r>
      <w:r>
        <w:rPr>
          <w:rFonts w:hint="eastAsia" w:ascii="仿宋_GB2312" w:eastAsia="仿宋_GB2312"/>
          <w:color w:val="auto"/>
          <w:sz w:val="24"/>
          <w:highlight w:val="none"/>
        </w:rPr>
        <w:t>③</w:t>
      </w:r>
      <w:r>
        <w:rPr>
          <w:rFonts w:hint="default" w:ascii="仿宋_GB2312" w:eastAsia="仿宋_GB2312"/>
          <w:color w:val="auto"/>
          <w:sz w:val="24"/>
          <w:highlight w:val="none"/>
        </w:rPr>
        <w:t>工程</w:t>
      </w:r>
      <w:r>
        <w:rPr>
          <w:rFonts w:hint="eastAsia" w:ascii="仿宋_GB2312" w:eastAsia="仿宋_GB2312"/>
          <w:color w:val="auto"/>
          <w:sz w:val="24"/>
          <w:highlight w:val="none"/>
        </w:rPr>
        <w:t>总</w:t>
      </w:r>
      <w:r>
        <w:rPr>
          <w:rFonts w:hint="default" w:ascii="仿宋_GB2312" w:eastAsia="仿宋_GB2312"/>
          <w:color w:val="auto"/>
          <w:sz w:val="24"/>
          <w:highlight w:val="none"/>
        </w:rPr>
        <w:t>承包合同及补充协议</w:t>
      </w:r>
      <w:r>
        <w:rPr>
          <w:rFonts w:hint="eastAsia" w:ascii="仿宋_GB2312" w:eastAsia="仿宋_GB2312"/>
          <w:color w:val="auto"/>
          <w:sz w:val="24"/>
          <w:highlight w:val="none"/>
        </w:rPr>
        <w:t>；</w:t>
      </w:r>
      <w:r>
        <w:rPr>
          <w:rFonts w:hint="default" w:ascii="仿宋_GB2312" w:eastAsia="仿宋_GB2312"/>
          <w:color w:val="auto"/>
          <w:sz w:val="24"/>
          <w:highlight w:val="none"/>
        </w:rPr>
        <w:br w:type="textWrapping"/>
      </w:r>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w:instrText>
      </w:r>
      <w:r>
        <w:rPr>
          <w:rFonts w:hint="eastAsia" w:ascii="仿宋_GB2312" w:eastAsia="仿宋_GB2312"/>
          <w:color w:val="auto"/>
          <w:sz w:val="24"/>
          <w:highlight w:val="none"/>
        </w:rPr>
        <w:instrText xml:space="preserve">= 4 \* GB3</w:instrText>
      </w:r>
      <w:r>
        <w:rPr>
          <w:rFonts w:hint="default" w:ascii="仿宋_GB2312" w:eastAsia="仿宋_GB2312"/>
          <w:color w:val="auto"/>
          <w:sz w:val="24"/>
          <w:highlight w:val="none"/>
        </w:rPr>
        <w:instrText xml:space="preserve">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rPr>
        <w:t>④</w:t>
      </w:r>
      <w:r>
        <w:rPr>
          <w:rFonts w:hint="default" w:ascii="仿宋_GB2312" w:eastAsia="仿宋_GB2312"/>
          <w:color w:val="auto"/>
          <w:sz w:val="24"/>
          <w:highlight w:val="none"/>
        </w:rPr>
        <w:fldChar w:fldCharType="end"/>
      </w:r>
      <w:r>
        <w:rPr>
          <w:rFonts w:hint="default" w:ascii="仿宋_GB2312" w:eastAsia="仿宋_GB2312"/>
          <w:color w:val="auto"/>
          <w:sz w:val="24"/>
          <w:highlight w:val="none"/>
        </w:rPr>
        <w:t>开工</w:t>
      </w:r>
      <w:r>
        <w:rPr>
          <w:rFonts w:hint="eastAsia" w:ascii="仿宋_GB2312" w:eastAsia="仿宋_GB2312"/>
          <w:color w:val="auto"/>
          <w:sz w:val="24"/>
          <w:highlight w:val="none"/>
        </w:rPr>
        <w:t>资料</w:t>
      </w:r>
      <w:r>
        <w:rPr>
          <w:rFonts w:hint="default" w:ascii="仿宋_GB2312" w:eastAsia="仿宋_GB2312"/>
          <w:color w:val="auto"/>
          <w:sz w:val="24"/>
          <w:highlight w:val="none"/>
        </w:rPr>
        <w:t>、工程验收证明、工期延期证明</w:t>
      </w:r>
      <w:r>
        <w:rPr>
          <w:rFonts w:hint="eastAsia" w:ascii="仿宋_GB2312" w:eastAsia="仿宋_GB2312"/>
          <w:color w:val="auto"/>
          <w:sz w:val="24"/>
          <w:highlight w:val="none"/>
        </w:rPr>
        <w:t>、甲方</w:t>
      </w:r>
      <w:r>
        <w:rPr>
          <w:rFonts w:hint="default" w:ascii="仿宋_GB2312" w:eastAsia="仿宋_GB2312"/>
          <w:color w:val="auto"/>
          <w:sz w:val="24"/>
          <w:highlight w:val="none"/>
        </w:rPr>
        <w:t>《</w:t>
      </w:r>
      <w:r>
        <w:rPr>
          <w:rFonts w:hint="eastAsia" w:ascii="仿宋_GB2312" w:eastAsia="仿宋_GB2312"/>
          <w:color w:val="auto"/>
          <w:sz w:val="24"/>
          <w:highlight w:val="none"/>
        </w:rPr>
        <w:t>工程竣工验收申请表》</w:t>
      </w:r>
      <w:r>
        <w:rPr>
          <w:rFonts w:hint="default" w:ascii="仿宋_GB2312" w:eastAsia="仿宋_GB2312"/>
          <w:color w:val="auto"/>
          <w:sz w:val="24"/>
          <w:highlight w:val="none"/>
        </w:rPr>
        <w:t>；</w:t>
      </w:r>
      <w:r>
        <w:rPr>
          <w:rFonts w:hint="default" w:ascii="仿宋_GB2312" w:eastAsia="仿宋_GB2312"/>
          <w:color w:val="auto"/>
          <w:sz w:val="24"/>
          <w:highlight w:val="none"/>
        </w:rPr>
        <w:br w:type="textWrapping"/>
      </w:r>
      <w:r>
        <w:rPr>
          <w:rFonts w:hint="eastAsia" w:ascii="仿宋_GB2312" w:eastAsia="仿宋_GB2312"/>
          <w:color w:val="auto"/>
          <w:sz w:val="24"/>
          <w:highlight w:val="none"/>
        </w:rPr>
        <w:t>⑤</w:t>
      </w:r>
      <w:r>
        <w:rPr>
          <w:rFonts w:hint="default" w:ascii="仿宋_GB2312" w:eastAsia="仿宋_GB2312"/>
          <w:color w:val="auto"/>
          <w:sz w:val="24"/>
          <w:highlight w:val="none"/>
        </w:rPr>
        <w:t>扣款罚款单（如有）</w:t>
      </w:r>
      <w:r>
        <w:rPr>
          <w:rFonts w:hint="eastAsia" w:ascii="仿宋_GB2312" w:eastAsia="仿宋_GB2312"/>
          <w:color w:val="auto"/>
          <w:sz w:val="24"/>
          <w:highlight w:val="none"/>
        </w:rPr>
        <w:t>；</w:t>
      </w:r>
      <w:r>
        <w:rPr>
          <w:rFonts w:hint="default" w:ascii="仿宋_GB2312" w:eastAsia="仿宋_GB2312"/>
          <w:color w:val="auto"/>
          <w:sz w:val="24"/>
          <w:highlight w:val="none"/>
        </w:rPr>
        <w:br w:type="textWrapping"/>
      </w:r>
      <w:r>
        <w:rPr>
          <w:rFonts w:hint="eastAsia" w:ascii="仿宋_GB2312" w:eastAsia="仿宋_GB2312"/>
          <w:color w:val="auto"/>
          <w:sz w:val="24"/>
          <w:highlight w:val="none"/>
        </w:rPr>
        <w:t>⑥甲方结算清单规定的</w:t>
      </w:r>
      <w:r>
        <w:rPr>
          <w:rFonts w:hint="default" w:ascii="仿宋_GB2312" w:eastAsia="仿宋_GB2312"/>
          <w:color w:val="auto"/>
          <w:sz w:val="24"/>
          <w:highlight w:val="none"/>
        </w:rPr>
        <w:t>其他</w:t>
      </w:r>
      <w:r>
        <w:rPr>
          <w:rFonts w:hint="eastAsia" w:ascii="仿宋_GB2312" w:eastAsia="仿宋_GB2312"/>
          <w:color w:val="auto"/>
          <w:sz w:val="24"/>
          <w:highlight w:val="none"/>
        </w:rPr>
        <w:t>工程资料、</w:t>
      </w:r>
      <w:r>
        <w:rPr>
          <w:rFonts w:hint="default" w:ascii="仿宋_GB2312" w:eastAsia="仿宋_GB2312"/>
          <w:color w:val="auto"/>
          <w:sz w:val="24"/>
          <w:highlight w:val="none"/>
        </w:rPr>
        <w:t>结算资料及</w:t>
      </w:r>
      <w:r>
        <w:rPr>
          <w:rFonts w:hint="eastAsia" w:ascii="仿宋_GB2312" w:eastAsia="仿宋_GB2312"/>
          <w:color w:val="auto"/>
          <w:sz w:val="24"/>
          <w:highlight w:val="none"/>
        </w:rPr>
        <w:t>依据。</w:t>
      </w:r>
    </w:p>
    <w:p w14:paraId="04E0362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（3）结算资料报送甲方后，原则上不再调整，但经甲方确认不属实需更改的除外。乙方由于自身原因申请调增结算价款的，甲方有权要求乙方按照审核同意调增金额的</w:t>
      </w:r>
      <w:r>
        <w:rPr>
          <w:rFonts w:hint="default" w:ascii="仿宋_GB2312" w:eastAsia="仿宋_GB2312"/>
          <w:color w:val="auto"/>
          <w:sz w:val="24"/>
          <w:highlight w:val="none"/>
        </w:rPr>
        <w:t>10%</w:t>
      </w:r>
      <w:r>
        <w:rPr>
          <w:rFonts w:hint="eastAsia" w:ascii="仿宋_GB2312" w:eastAsia="仿宋_GB2312"/>
          <w:color w:val="auto"/>
          <w:sz w:val="24"/>
          <w:highlight w:val="none"/>
        </w:rPr>
        <w:t>支付违约金，且甲方结算审核时间相应顺延。</w:t>
      </w:r>
    </w:p>
    <w:p w14:paraId="0AD6A811">
      <w:pPr>
        <w:adjustRightInd w:val="0"/>
        <w:snapToGrid w:val="0"/>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（4）如出现以下情况，经甲方催办，乙方必须在10天内予以整改或答复。同一问题催办三次乙方仍未按时予以整改或答复的，每逾期一天，甲方有权予以处罚人民币</w:t>
      </w:r>
      <w:permStart w:id="39" w:edGrp="everyone"/>
      <w:r>
        <w:rPr>
          <w:rFonts w:hint="eastAsia" w:ascii="仿宋_GB2312" w:eastAsia="仿宋_GB2312"/>
          <w:color w:val="auto"/>
          <w:sz w:val="24"/>
          <w:highlight w:val="none"/>
        </w:rPr>
        <w:t>1000</w:t>
      </w:r>
      <w:permEnd w:id="39"/>
      <w:r>
        <w:rPr>
          <w:rFonts w:hint="eastAsia" w:ascii="仿宋_GB2312" w:eastAsia="仿宋_GB2312"/>
          <w:color w:val="auto"/>
          <w:sz w:val="24"/>
          <w:highlight w:val="none"/>
        </w:rPr>
        <w:t>元，处罚金额累计不超过合同总价</w:t>
      </w:r>
      <w:permStart w:id="40" w:edGrp="everyone"/>
      <w:r>
        <w:rPr>
          <w:rFonts w:hint="eastAsia" w:ascii="仿宋_GB2312" w:eastAsia="仿宋_GB2312"/>
          <w:color w:val="auto"/>
          <w:sz w:val="24"/>
          <w:highlight w:val="none"/>
        </w:rPr>
        <w:t>1</w:t>
      </w:r>
      <w:permEnd w:id="40"/>
      <w:r>
        <w:rPr>
          <w:rFonts w:hint="eastAsia" w:ascii="仿宋_GB2312" w:eastAsia="仿宋_GB2312"/>
          <w:color w:val="auto"/>
          <w:sz w:val="24"/>
          <w:highlight w:val="none"/>
        </w:rPr>
        <w:t>%：</w:t>
      </w:r>
    </w:p>
    <w:p w14:paraId="4E8C1595">
      <w:pPr>
        <w:adjustRightInd w:val="0"/>
        <w:snapToGrid w:val="0"/>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w:instrText>
      </w:r>
      <w:r>
        <w:rPr>
          <w:rFonts w:hint="eastAsia" w:ascii="仿宋_GB2312" w:eastAsia="仿宋_GB2312"/>
          <w:color w:val="auto"/>
          <w:sz w:val="24"/>
          <w:highlight w:val="none"/>
        </w:rPr>
        <w:instrText xml:space="preserve">= 1 \* GB3</w:instrText>
      </w:r>
      <w:r>
        <w:rPr>
          <w:rFonts w:hint="default" w:ascii="仿宋_GB2312" w:eastAsia="仿宋_GB2312"/>
          <w:color w:val="auto"/>
          <w:sz w:val="24"/>
          <w:highlight w:val="none"/>
        </w:rPr>
        <w:instrText xml:space="preserve">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rPr>
        <w:t>①</w:t>
      </w:r>
      <w:r>
        <w:rPr>
          <w:rFonts w:hint="default" w:ascii="仿宋_GB2312" w:eastAsia="仿宋_GB2312"/>
          <w:color w:val="auto"/>
          <w:sz w:val="24"/>
          <w:highlight w:val="none"/>
        </w:rPr>
        <w:fldChar w:fldCharType="end"/>
      </w:r>
      <w:r>
        <w:rPr>
          <w:rFonts w:hint="eastAsia" w:ascii="仿宋_GB2312" w:eastAsia="仿宋_GB2312"/>
          <w:color w:val="auto"/>
          <w:sz w:val="24"/>
          <w:highlight w:val="none"/>
        </w:rPr>
        <w:t>工程已竣工验收，乙方未按时提交竣工资料、结算资料；</w:t>
      </w:r>
    </w:p>
    <w:p w14:paraId="33976E9E">
      <w:pPr>
        <w:adjustRightInd w:val="0"/>
        <w:snapToGrid w:val="0"/>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w:instrText>
      </w:r>
      <w:r>
        <w:rPr>
          <w:rFonts w:hint="eastAsia" w:ascii="仿宋_GB2312" w:eastAsia="仿宋_GB2312"/>
          <w:color w:val="auto"/>
          <w:sz w:val="24"/>
          <w:highlight w:val="none"/>
        </w:rPr>
        <w:instrText xml:space="preserve">= 2 \* GB3</w:instrText>
      </w:r>
      <w:r>
        <w:rPr>
          <w:rFonts w:hint="default" w:ascii="仿宋_GB2312" w:eastAsia="仿宋_GB2312"/>
          <w:color w:val="auto"/>
          <w:sz w:val="24"/>
          <w:highlight w:val="none"/>
        </w:rPr>
        <w:instrText xml:space="preserve">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rPr>
        <w:t>②</w:t>
      </w:r>
      <w:r>
        <w:rPr>
          <w:rFonts w:hint="default" w:ascii="仿宋_GB2312" w:eastAsia="仿宋_GB2312"/>
          <w:color w:val="auto"/>
          <w:sz w:val="24"/>
          <w:highlight w:val="none"/>
        </w:rPr>
        <w:fldChar w:fldCharType="end"/>
      </w:r>
      <w:r>
        <w:rPr>
          <w:rFonts w:hint="eastAsia" w:ascii="仿宋_GB2312" w:eastAsia="仿宋_GB2312"/>
          <w:color w:val="auto"/>
          <w:sz w:val="24"/>
          <w:highlight w:val="none"/>
        </w:rPr>
        <w:t>结算资料需补充完善；</w:t>
      </w:r>
    </w:p>
    <w:p w14:paraId="5081B412">
      <w:pPr>
        <w:adjustRightInd w:val="0"/>
        <w:snapToGrid w:val="0"/>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w:instrText>
      </w:r>
      <w:r>
        <w:rPr>
          <w:rFonts w:hint="eastAsia" w:ascii="仿宋_GB2312" w:eastAsia="仿宋_GB2312"/>
          <w:color w:val="auto"/>
          <w:sz w:val="24"/>
          <w:highlight w:val="none"/>
        </w:rPr>
        <w:instrText xml:space="preserve">= 3 \* GB3</w:instrText>
      </w:r>
      <w:r>
        <w:rPr>
          <w:rFonts w:hint="default" w:ascii="仿宋_GB2312" w:eastAsia="仿宋_GB2312"/>
          <w:color w:val="auto"/>
          <w:sz w:val="24"/>
          <w:highlight w:val="none"/>
        </w:rPr>
        <w:instrText xml:space="preserve">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rPr>
        <w:t>③</w:t>
      </w:r>
      <w:r>
        <w:rPr>
          <w:rFonts w:hint="default" w:ascii="仿宋_GB2312" w:eastAsia="仿宋_GB2312"/>
          <w:color w:val="auto"/>
          <w:sz w:val="24"/>
          <w:highlight w:val="none"/>
        </w:rPr>
        <w:fldChar w:fldCharType="end"/>
      </w:r>
      <w:r>
        <w:rPr>
          <w:rFonts w:hint="eastAsia" w:ascii="仿宋_GB2312" w:eastAsia="仿宋_GB2312"/>
          <w:color w:val="auto"/>
          <w:sz w:val="24"/>
          <w:highlight w:val="none"/>
        </w:rPr>
        <w:t>乙方不配合甲方进行商务沟通。</w:t>
      </w:r>
    </w:p>
    <w:p w14:paraId="2E464E1A">
      <w:pPr>
        <w:rPr>
          <w:color w:val="auto"/>
          <w:highlight w:val="none"/>
        </w:rPr>
      </w:pPr>
    </w:p>
    <w:p w14:paraId="28D33048">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八、双方的权利和义务</w:t>
      </w:r>
    </w:p>
    <w:p w14:paraId="4CAB6F7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1．甲方权利与义务</w:t>
      </w:r>
    </w:p>
    <w:p w14:paraId="4FC501D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（1）指派</w:t>
      </w:r>
      <w:permStart w:id="41" w:edGrp="everyone"/>
      <w:r>
        <w:rPr>
          <w:rFonts w:hint="eastAsia" w:ascii="仿宋_GB2312" w:eastAsia="仿宋_GB2312"/>
          <w:color w:val="auto"/>
          <w:sz w:val="24"/>
          <w:highlight w:val="none"/>
        </w:rPr>
        <w:t>XXX</w:t>
      </w:r>
      <w:permEnd w:id="41"/>
      <w:r>
        <w:rPr>
          <w:rFonts w:hint="eastAsia" w:ascii="仿宋_GB2312" w:eastAsia="仿宋_GB2312"/>
          <w:color w:val="auto"/>
          <w:sz w:val="24"/>
          <w:highlight w:val="none"/>
        </w:rPr>
        <w:t>为现场代表，联系方式</w:t>
      </w:r>
      <w:permStart w:id="42" w:edGrp="everyone"/>
      <w:r>
        <w:rPr>
          <w:rFonts w:hint="eastAsia" w:ascii="仿宋_GB2312" w:eastAsia="仿宋_GB2312"/>
          <w:color w:val="auto"/>
          <w:sz w:val="24"/>
          <w:highlight w:val="none"/>
        </w:rPr>
        <w:t>XXXXXXXXXXX</w:t>
      </w:r>
      <w:permEnd w:id="42"/>
      <w:r>
        <w:rPr>
          <w:rFonts w:hint="eastAsia" w:ascii="仿宋_GB2312" w:eastAsia="仿宋_GB2312"/>
          <w:color w:val="auto"/>
          <w:sz w:val="24"/>
          <w:highlight w:val="none"/>
        </w:rPr>
        <w:t>,参与对工程质量、进度及安全的监督检查。甲方中途更换现场代表，应在更换之日起3日内通知乙方。</w:t>
      </w:r>
    </w:p>
    <w:p w14:paraId="1319DB6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（2）有权对乙方设计提供的施工图纸进行审核并提出修改意见。</w:t>
      </w:r>
    </w:p>
    <w:p w14:paraId="1455DF2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（3）有权对乙方工程建设中提供的设备、材料及隐蔽工程进行检验和验收。</w:t>
      </w:r>
    </w:p>
    <w:p w14:paraId="23B69D3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（4）有权对乙方不规范的施工行为和设备、材料质量、施工进度等提出质疑和处理意见。</w:t>
      </w:r>
    </w:p>
    <w:p w14:paraId="5B830DB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（5）组织监理单位、乙方进行工程技术交底、施工图纸会审、施工安全交底。</w:t>
      </w:r>
    </w:p>
    <w:p w14:paraId="417B802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（6）组织工程竣工验收，负责施工图纸的处理，设计变更、技术核定及现场签证的签署及审批。</w:t>
      </w:r>
    </w:p>
    <w:p w14:paraId="30319C8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（7）配合乙方完成东莞市供电局完成购售电合同等并网资料的盖章、签署。</w:t>
      </w:r>
    </w:p>
    <w:p w14:paraId="79458CE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（8）配合乙方有关工程进度及工程结算的签认工作，乙方递交请款、竣工结算资料后，甲方应按时办理完工程进度款和竣工结算的审核，按时向乙方支付工程进度款。</w:t>
      </w:r>
    </w:p>
    <w:p w14:paraId="6BF7F1F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9）如乙方不按合同要求进行施工，甲方有权通知乙方暂停施工，待整改完毕后报甲方验收并同意后方可复工，由此造成的损失由乙方负责，工期不予顺延；若乙方拒绝整改或在甲方规定的时间内未整改完毕又没有向甲方说明理由的，甲方有权单方解除合同，未支付的工程费不予支付，乙方还应赔偿甲方因此遭受的所有损失。</w:t>
      </w:r>
    </w:p>
    <w:p w14:paraId="589B9CA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（10）有权监控乙方内部的工资发放情况，对出现的劳资纠纷甲方有权出面进行处理，并有权在支付工程进度款时直接扣留相应的工资优先发放给被拖欠工资的人员，同时乙方应按本合同约定承担违约责任。</w:t>
      </w:r>
    </w:p>
    <w:p w14:paraId="62F2512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2．乙方权利与义务</w:t>
      </w:r>
    </w:p>
    <w:p w14:paraId="636602B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（1）指派</w:t>
      </w:r>
      <w:permStart w:id="43" w:edGrp="everyone"/>
      <w:r>
        <w:rPr>
          <w:rFonts w:hint="eastAsia" w:ascii="仿宋_GB2312" w:eastAsia="仿宋_GB2312"/>
          <w:color w:val="auto"/>
          <w:sz w:val="24"/>
          <w:highlight w:val="none"/>
        </w:rPr>
        <w:t xml:space="preserve"> XXX </w:t>
      </w:r>
      <w:permEnd w:id="43"/>
      <w:r>
        <w:rPr>
          <w:rFonts w:hint="eastAsia" w:ascii="仿宋_GB2312" w:eastAsia="仿宋_GB2312"/>
          <w:color w:val="auto"/>
          <w:sz w:val="24"/>
          <w:highlight w:val="none"/>
        </w:rPr>
        <w:t>为工程总承包项目经理，联系方式</w:t>
      </w:r>
      <w:permStart w:id="44" w:edGrp="everyone"/>
      <w:r>
        <w:rPr>
          <w:rFonts w:hint="eastAsia" w:ascii="仿宋_GB2312" w:eastAsia="仿宋_GB2312"/>
          <w:color w:val="auto"/>
          <w:sz w:val="24"/>
          <w:highlight w:val="none"/>
        </w:rPr>
        <w:t xml:space="preserve"> XXXXXXXXXXX </w:t>
      </w:r>
      <w:permEnd w:id="44"/>
      <w:r>
        <w:rPr>
          <w:rFonts w:hint="eastAsia" w:ascii="仿宋_GB2312" w:eastAsia="仿宋_GB2312"/>
          <w:color w:val="auto"/>
          <w:sz w:val="24"/>
          <w:highlight w:val="none"/>
        </w:rPr>
        <w:t>,负责合同履行，按要求组织施工，解决由乙方负责的各项事宜，同时与屋顶业主对接好施工场地规划、施工时间安排、施工人员进出、施工用水用电等相关事宜。乙方中途更换现场代表，应提出书面申请征得甲方和监理单位同意后方可换人，否则乙方应按本合同约定承担违约金。</w:t>
      </w:r>
    </w:p>
    <w:p w14:paraId="2D5AC00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（2）严格按施工图纸、招标技术要求、设计变更及国家、本市的现行施工验收规范的要求负责本工程的施工，保证本工程质量达到本合同约定的标准，并通过当地供电局的验收。</w:t>
      </w:r>
    </w:p>
    <w:p w14:paraId="4480069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实地勘察并全面了解本工程现场情况，根据招标技术要求及现场情况自行负责委托具备相应资质的设计单位进行施工图纸深化设计、供电方案编制并确保通过甲方、当地供电部门审核通过，按甲方或当地供电部门提出的审查修改意见进行整改。</w:t>
      </w:r>
    </w:p>
    <w:p w14:paraId="2A99ED0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自本工程开工前，乙方应向甲方报送施工组织设计、安全专项方案、施工资质、设计资质、相关管理人员资质、特种作业人员资质、工程一切保险（含第三者）、人员团体意外险，施工总进度计划等开工报审资料，经甲方、监理单位审核同意后，乙方须严格按开工报审资料要求执行。</w:t>
      </w:r>
    </w:p>
    <w:p w14:paraId="3B08088E">
      <w:pPr>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5）项目开工后，乙方须严格执行施工日志制度，每日向甲方提交施工日志，该制度持续至项目并网投运为止。同时，所有主材及设备进场前，乙方必须向甲方报审，并提供完整的产品合格证、质量检验报告及现场检查记录表等资料，经甲方技术人员和监理人员检查确认合格后方可进场使用。</w:t>
      </w:r>
    </w:p>
    <w:p w14:paraId="70459DD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此外，项目经理每月现场出勤天数不得低于施工周期总天数的80%，且需进行现场打卡考勤。若项目经理出勤率未达标准，甲方有权更换项目经理</w:t>
      </w:r>
      <w:r>
        <w:rPr>
          <w:rFonts w:hint="eastAsia" w:ascii="仿宋_GB2312" w:eastAsia="仿宋_GB2312"/>
          <w:color w:val="auto"/>
          <w:sz w:val="24"/>
          <w:highlight w:val="none"/>
          <w:lang w:val="en-US" w:eastAsia="zh-CN"/>
        </w:rPr>
        <w:t>及按施工管理条例进行处罚</w:t>
      </w:r>
      <w:r>
        <w:rPr>
          <w:rFonts w:hint="eastAsia" w:ascii="仿宋_GB2312" w:eastAsia="仿宋_GB2312"/>
          <w:color w:val="auto"/>
          <w:sz w:val="24"/>
          <w:highlight w:val="none"/>
        </w:rPr>
        <w:t>。</w:t>
      </w:r>
    </w:p>
    <w:p w14:paraId="71611CE7">
      <w:pPr>
        <w:spacing w:line="360" w:lineRule="auto"/>
        <w:ind w:firstLine="480" w:firstLineChars="200"/>
        <w:rPr>
          <w:color w:val="auto"/>
          <w:highlight w:val="none"/>
        </w:rPr>
      </w:pPr>
      <w:r>
        <w:rPr>
          <w:rFonts w:hint="eastAsia" w:ascii="仿宋_GB2312" w:eastAsia="仿宋_GB2312"/>
          <w:color w:val="auto"/>
          <w:sz w:val="24"/>
          <w:highlight w:val="none"/>
        </w:rPr>
        <w:t>（6）施工过程中，隐蔽工程完成前乙方需向甲方申请报验并提供现场施工记录表等资料，经甲方专业技术人员、监理人员检验合格并经现场确认后方可进行下一步工序施工。</w:t>
      </w:r>
    </w:p>
    <w:p w14:paraId="4B56D7C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服从甲方对工程进度监督，并严格遵守甲方各项管理规定；服从甲方及监理单位质量检查，对不满足质量要求的必须立即整改，按期完成施工任务；服从甲方现场施工管理与协调，处理、协调好与屋顶业主、当地两违办、经发局、供电部门关系，积极配合其工作，保证项目按工期并网投运。</w:t>
      </w:r>
    </w:p>
    <w:p w14:paraId="54383D3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（8）在全部工程验收合格移交甲方之前,对承包范围内已完</w:t>
      </w:r>
      <w:r>
        <w:rPr>
          <w:rFonts w:hint="eastAsia" w:ascii="仿宋_GB2312" w:eastAsia="仿宋_GB2312"/>
          <w:color w:val="auto"/>
          <w:sz w:val="24"/>
          <w:highlight w:val="none"/>
          <w:lang w:val="en-US" w:eastAsia="zh-CN"/>
        </w:rPr>
        <w:t>成</w:t>
      </w:r>
      <w:r>
        <w:rPr>
          <w:rFonts w:hint="eastAsia" w:ascii="仿宋_GB2312" w:eastAsia="仿宋_GB2312"/>
          <w:color w:val="auto"/>
          <w:sz w:val="24"/>
          <w:highlight w:val="none"/>
        </w:rPr>
        <w:t>工程成品、半成品进行保管、保护，保护期间发生的损坏，乙方自费予以修复。</w:t>
      </w:r>
    </w:p>
    <w:p w14:paraId="4F48E06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（9）施工期间，妥善保护好施工现场周围建筑物、设备管线与其他相关专业的施工成品、半成品，做到人走场清；若有损坏，乙方须无条件修复。</w:t>
      </w:r>
    </w:p>
    <w:p w14:paraId="6E681D3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（10）按甲方相关部门的规定</w:t>
      </w:r>
      <w:r>
        <w:rPr>
          <w:rFonts w:hint="eastAsia" w:ascii="仿宋_GB2312" w:eastAsia="仿宋_GB2312"/>
          <w:color w:val="auto"/>
          <w:sz w:val="24"/>
          <w:highlight w:val="none"/>
          <w:lang w:val="en-US" w:eastAsia="zh-CN"/>
        </w:rPr>
        <w:t>做</w:t>
      </w:r>
      <w:r>
        <w:rPr>
          <w:rFonts w:hint="eastAsia" w:ascii="仿宋_GB2312" w:eastAsia="仿宋_GB2312"/>
          <w:color w:val="auto"/>
          <w:sz w:val="24"/>
          <w:highlight w:val="none"/>
        </w:rPr>
        <w:t>好施工文件报审记录，汇集资料作为竣工资料移交甲方。</w:t>
      </w:r>
    </w:p>
    <w:p w14:paraId="66FE8B1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（11）健全质量、安全检查制度，在现场设专职质量、安全检查员，做好自检</w:t>
      </w:r>
      <w:r>
        <w:rPr>
          <w:rFonts w:hint="eastAsia" w:ascii="仿宋_GB2312" w:eastAsia="仿宋_GB2312"/>
          <w:color w:val="auto"/>
          <w:sz w:val="24"/>
          <w:highlight w:val="none"/>
          <w:lang w:val="en-US" w:eastAsia="zh-CN"/>
        </w:rPr>
        <w:t>记</w:t>
      </w:r>
      <w:r>
        <w:rPr>
          <w:rFonts w:hint="eastAsia" w:ascii="仿宋_GB2312" w:eastAsia="仿宋_GB2312"/>
          <w:color w:val="auto"/>
          <w:sz w:val="24"/>
          <w:highlight w:val="none"/>
        </w:rPr>
        <w:t>录。</w:t>
      </w:r>
      <w:r>
        <w:rPr>
          <w:rFonts w:hint="eastAsia" w:ascii="仿宋_GB2312" w:hAnsi="宋体" w:eastAsia="仿宋_GB2312"/>
          <w:color w:val="auto"/>
          <w:sz w:val="24"/>
          <w:highlight w:val="none"/>
        </w:rPr>
        <w:t>必须时时做好施工人员的安全教育，</w:t>
      </w:r>
      <w:r>
        <w:rPr>
          <w:rFonts w:hint="eastAsia" w:ascii="仿宋_GB2312" w:eastAsia="仿宋_GB2312"/>
          <w:color w:val="auto"/>
          <w:sz w:val="24"/>
          <w:highlight w:val="none"/>
        </w:rPr>
        <w:t>为施工现场人员办理人身意外伤害保险、工伤保险和第三者责任险，</w:t>
      </w:r>
      <w:r>
        <w:rPr>
          <w:rFonts w:hint="eastAsia" w:ascii="仿宋_GB2312" w:hAnsi="宋体" w:eastAsia="仿宋_GB2312"/>
          <w:color w:val="auto"/>
          <w:sz w:val="24"/>
          <w:highlight w:val="none"/>
        </w:rPr>
        <w:t>杜绝安全事故的发生</w:t>
      </w:r>
      <w:r>
        <w:rPr>
          <w:rFonts w:hint="eastAsia" w:ascii="仿宋_GB2312" w:eastAsia="仿宋_GB2312"/>
          <w:color w:val="auto"/>
          <w:sz w:val="24"/>
          <w:highlight w:val="none"/>
        </w:rPr>
        <w:t>。因</w:t>
      </w:r>
      <w:r>
        <w:rPr>
          <w:rFonts w:hint="eastAsia" w:ascii="仿宋_GB2312" w:hAnsi="宋体" w:eastAsia="仿宋_GB2312"/>
          <w:color w:val="auto"/>
          <w:sz w:val="24"/>
          <w:highlight w:val="none"/>
        </w:rPr>
        <w:t>安全施工措施不力等</w:t>
      </w:r>
      <w:r>
        <w:rPr>
          <w:rFonts w:hint="eastAsia" w:ascii="仿宋_GB2312" w:eastAsia="仿宋_GB2312"/>
          <w:color w:val="auto"/>
          <w:sz w:val="24"/>
          <w:highlight w:val="none"/>
        </w:rPr>
        <w:t>乙方原因造成任何人员伤亡（包括第三方人员伤亡在内），一切责任均由乙方负责。给甲方造成的损失的（包括但不限于声誉及经济损失），乙方还应进行赔偿。</w:t>
      </w:r>
    </w:p>
    <w:p w14:paraId="4F6F779A">
      <w:pPr>
        <w:spacing w:line="360" w:lineRule="auto"/>
        <w:ind w:firstLine="480" w:firstLineChars="200"/>
        <w:rPr>
          <w:rFonts w:hint="eastAsia" w:ascii="仿宋_GB2312" w:hAnsi="宋体" w:eastAsia="仿宋_GB2312"/>
          <w:color w:val="auto"/>
          <w:sz w:val="24"/>
          <w:highlight w:val="none"/>
        </w:rPr>
      </w:pPr>
      <w:r>
        <w:rPr>
          <w:rFonts w:hint="eastAsia" w:ascii="仿宋_GB2312" w:eastAsia="仿宋_GB2312"/>
          <w:color w:val="auto"/>
          <w:sz w:val="24"/>
          <w:highlight w:val="none"/>
        </w:rPr>
        <w:t>（12）</w:t>
      </w:r>
      <w:r>
        <w:rPr>
          <w:rFonts w:hint="eastAsia" w:ascii="仿宋_GB2312" w:hAnsi="宋体" w:eastAsia="仿宋_GB2312"/>
          <w:color w:val="auto"/>
          <w:sz w:val="24"/>
          <w:highlight w:val="none"/>
        </w:rPr>
        <w:t>乙方应服从甲方管理，并与甲方签订“安全协议”。</w:t>
      </w:r>
    </w:p>
    <w:p w14:paraId="4D7FA05A">
      <w:pPr>
        <w:rPr>
          <w:color w:val="auto"/>
          <w:highlight w:val="none"/>
        </w:rPr>
      </w:pPr>
    </w:p>
    <w:p w14:paraId="323687C4">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九、现场施工管理</w:t>
      </w:r>
    </w:p>
    <w:p w14:paraId="712FF68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1．材料、设备管理</w:t>
      </w:r>
    </w:p>
    <w:p w14:paraId="4AB1B34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（1）乙方应严格按会审好的施工图纸要求选择材料、设备与施工工艺，按图施工。</w:t>
      </w:r>
    </w:p>
    <w:p w14:paraId="04DE935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（2）乙方进场材料、设备应报甲方、监理单位验收确认，材料、设备经甲方、监理单位确认同意后方可进行施工，否则，甲方有权要求乙方返工，不合格的材料、设备退场，且施工工期不得顺延。</w:t>
      </w:r>
    </w:p>
    <w:p w14:paraId="4855169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2．现场施工管理</w:t>
      </w:r>
    </w:p>
    <w:p w14:paraId="34B8EEE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无论任何一方提出设计变更（如：改变设备、材料、规格、型号、产地、功能等；或需要更改施工路线，设备安装位置，改变系统功能等），均需先由提出设计变更要求的一方提出变更方案，交监理单位审核后报甲方及相关部门审批确认后方可实施。设计变更一律使用书面通知形式，任何口头通知都属无效。</w:t>
      </w:r>
    </w:p>
    <w:p w14:paraId="21E6094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在进场施工前应编制书面进场报告给甲方，进场报告中应包括：施工组织设计、施工安全专项方案、施工资质、设计资质、相关管理人员资质、特种作业人员资质、工程一切保险（含第三者）、人员团体意外险、详细的工程进度计划及相关的联络、投诉电话等。</w:t>
      </w:r>
    </w:p>
    <w:p w14:paraId="6A21511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（3）乙方必须服从甲方现场工程师（监理）的监督、管理，接受合理的、先进的施工方法建议。</w:t>
      </w:r>
    </w:p>
    <w:p w14:paraId="19A0312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（4）乙方在实施施工图纸时，发现问题要及时向甲方及监理单位汇报与沟通，确实需要更改原工程施工图纸的，应书面报经监理单位确认并经甲方及相关部门审批后方可实施，不得擅作修改。</w:t>
      </w:r>
    </w:p>
    <w:p w14:paraId="6712460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成品保护措施：彩钢瓦屋面或脆弱屋面在实施前应采集承载数据，符合承载要求才可进行安装；应采取避免集中受力的保证措施，如架设轻质木板或其他增大受力面积的保证措施，同时必须优先安装运维通道，避免彩钢瓦因集中受力变形破裂受损。如因保护措施不足，使原有彩钢瓦受损，承包单位应承担维修责任及费用，情况严重的，我司有权要求更换全部彩钢瓦屋面。</w:t>
      </w:r>
    </w:p>
    <w:p w14:paraId="5903005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（6）乙方在施工中要严格按照国家标准规范或专业的技术规范施工，并最终通过相关部门验收合格。</w:t>
      </w:r>
    </w:p>
    <w:p w14:paraId="2328F4C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（7）乙方在施工过程中，应做好各种工程施工记录，填写各种工程验收所必</w:t>
      </w:r>
      <w:r>
        <w:rPr>
          <w:rFonts w:hint="eastAsia" w:ascii="仿宋_GB2312" w:eastAsia="仿宋_GB2312"/>
          <w:color w:val="auto"/>
          <w:sz w:val="24"/>
          <w:highlight w:val="none"/>
          <w:lang w:val="en-US" w:eastAsia="zh-CN"/>
        </w:rPr>
        <w:t>需</w:t>
      </w:r>
      <w:r>
        <w:rPr>
          <w:rFonts w:hint="eastAsia" w:ascii="仿宋_GB2312" w:eastAsia="仿宋_GB2312"/>
          <w:color w:val="auto"/>
          <w:sz w:val="24"/>
          <w:highlight w:val="none"/>
        </w:rPr>
        <w:t>的工程资料。</w:t>
      </w:r>
    </w:p>
    <w:p w14:paraId="7798887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（8）乙方施工过程中，应遵守甲方、监理单位制定的《工程管理制度》，乙方违反现场施工管理制度的，应接受相关单位的罚款等处罚。</w:t>
      </w:r>
    </w:p>
    <w:p w14:paraId="43EECC5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9）乙方应在项目现场设立安全警示牌。危险区域必须悬挂“临边区域，当心坠落”、“高空作业，当心坠落”、“小心踏空，以防坠落”、“以防坠落，请勿攀爬”、“吊装作业，请勿靠近”、“高压有电，请勿靠近”、“当心触电”、“注意安全 ”、“严禁烟火”、“禁止通行”或“高空作业，系好安全带”、“必须系安全带”、“必须戴安全帽”等安全警示标志。</w:t>
      </w:r>
    </w:p>
    <w:p w14:paraId="34F9DAA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（10）</w:t>
      </w:r>
      <w:r>
        <w:rPr>
          <w:rFonts w:hint="default" w:ascii="仿宋_GB2312" w:eastAsia="仿宋_GB2312"/>
          <w:color w:val="auto"/>
          <w:sz w:val="24"/>
          <w:highlight w:val="none"/>
        </w:rPr>
        <w:t>乙方</w:t>
      </w:r>
      <w:r>
        <w:rPr>
          <w:rFonts w:hint="eastAsia" w:ascii="仿宋_GB2312" w:eastAsia="仿宋_GB2312"/>
          <w:color w:val="auto"/>
          <w:sz w:val="24"/>
          <w:highlight w:val="none"/>
        </w:rPr>
        <w:t>在</w:t>
      </w:r>
      <w:r>
        <w:rPr>
          <w:rFonts w:hint="default" w:ascii="仿宋_GB2312" w:eastAsia="仿宋_GB2312"/>
          <w:color w:val="auto"/>
          <w:sz w:val="24"/>
          <w:highlight w:val="none"/>
        </w:rPr>
        <w:t>施工过程有义务</w:t>
      </w:r>
      <w:r>
        <w:rPr>
          <w:rFonts w:hint="eastAsia" w:ascii="仿宋_GB2312" w:eastAsia="仿宋_GB2312"/>
          <w:color w:val="auto"/>
          <w:sz w:val="24"/>
          <w:highlight w:val="none"/>
        </w:rPr>
        <w:t>完成</w:t>
      </w:r>
      <w:r>
        <w:rPr>
          <w:rFonts w:hint="default" w:ascii="仿宋_GB2312" w:eastAsia="仿宋_GB2312"/>
          <w:color w:val="auto"/>
          <w:sz w:val="24"/>
          <w:highlight w:val="none"/>
        </w:rPr>
        <w:t>施工图纸深化</w:t>
      </w:r>
      <w:r>
        <w:rPr>
          <w:rFonts w:hint="eastAsia" w:ascii="仿宋_GB2312" w:eastAsia="仿宋_GB2312"/>
          <w:color w:val="auto"/>
          <w:sz w:val="24"/>
          <w:highlight w:val="none"/>
        </w:rPr>
        <w:t>设计</w:t>
      </w:r>
      <w:r>
        <w:rPr>
          <w:rFonts w:hint="default" w:ascii="仿宋_GB2312" w:eastAsia="仿宋_GB2312"/>
          <w:color w:val="auto"/>
          <w:sz w:val="24"/>
          <w:highlight w:val="none"/>
        </w:rPr>
        <w:t>，如果在施工过程中因为图纸设计不合理或不应发生的损失由乙方承担，工期不顺延，如乙方提出合理化建议后，由于甲方</w:t>
      </w:r>
      <w:r>
        <w:rPr>
          <w:rFonts w:hint="eastAsia" w:ascii="仿宋_GB2312" w:eastAsia="仿宋_GB2312"/>
          <w:color w:val="auto"/>
          <w:sz w:val="24"/>
          <w:highlight w:val="none"/>
        </w:rPr>
        <w:t>以及</w:t>
      </w:r>
      <w:r>
        <w:rPr>
          <w:rFonts w:hint="default" w:ascii="仿宋_GB2312" w:eastAsia="仿宋_GB2312"/>
          <w:color w:val="auto"/>
          <w:sz w:val="24"/>
          <w:highlight w:val="none"/>
        </w:rPr>
        <w:t>监理</w:t>
      </w:r>
      <w:r>
        <w:rPr>
          <w:rFonts w:hint="eastAsia" w:ascii="仿宋_GB2312" w:eastAsia="仿宋_GB2312"/>
          <w:color w:val="auto"/>
          <w:sz w:val="24"/>
          <w:highlight w:val="none"/>
        </w:rPr>
        <w:t>单位</w:t>
      </w:r>
      <w:r>
        <w:rPr>
          <w:rFonts w:hint="default" w:ascii="仿宋_GB2312" w:eastAsia="仿宋_GB2312"/>
          <w:color w:val="auto"/>
          <w:sz w:val="24"/>
          <w:highlight w:val="none"/>
        </w:rPr>
        <w:t>没有及时处理造成的损失</w:t>
      </w:r>
      <w:r>
        <w:rPr>
          <w:rFonts w:hint="eastAsia" w:ascii="仿宋_GB2312" w:eastAsia="仿宋_GB2312"/>
          <w:color w:val="auto"/>
          <w:sz w:val="24"/>
          <w:highlight w:val="none"/>
        </w:rPr>
        <w:t>由</w:t>
      </w:r>
      <w:r>
        <w:rPr>
          <w:rFonts w:hint="default" w:ascii="仿宋_GB2312" w:eastAsia="仿宋_GB2312"/>
          <w:color w:val="auto"/>
          <w:sz w:val="24"/>
          <w:highlight w:val="none"/>
        </w:rPr>
        <w:t>责任方承担。</w:t>
      </w:r>
    </w:p>
    <w:p w14:paraId="4C01623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11）乙方应无条件执行甲方、监理公司的工程指令，按照施工图纸、图纸会审纪要、施工及验收规范进行施工，按合同约定按时保质地完成全部承建内容。合同约定由乙方完成的施工内容和配合工作（包括合同约定、会议纪要、设计变更工程指令、安全文明施工、成品保护等），乙方应全面完成，若由于乙方原因未能按质按期完成或乙方明确表示不予完成的，甲方有权另行委托第三方完成，由此所发生的一切费用由乙方承担，乙方还应向甲方另行支付前述费用</w:t>
      </w:r>
      <w:r>
        <w:rPr>
          <w:rFonts w:hint="eastAsia" w:ascii="仿宋_GB2312" w:eastAsia="仿宋_GB2312"/>
          <w:b/>
          <w:color w:val="auto"/>
          <w:sz w:val="24"/>
          <w:highlight w:val="none"/>
        </w:rPr>
        <w:t>20%</w:t>
      </w:r>
      <w:r>
        <w:rPr>
          <w:rFonts w:hint="eastAsia" w:ascii="仿宋_GB2312" w:eastAsia="仿宋_GB2312"/>
          <w:color w:val="auto"/>
          <w:sz w:val="24"/>
          <w:highlight w:val="none"/>
        </w:rPr>
        <w:t>的管理费，且乙方的工期不予延长。</w:t>
      </w:r>
    </w:p>
    <w:p w14:paraId="5C549F52">
      <w:pPr>
        <w:spacing w:line="360" w:lineRule="auto"/>
        <w:rPr>
          <w:rFonts w:hint="eastAsia" w:ascii="仿宋_GB2312" w:eastAsia="仿宋_GB2312"/>
          <w:b/>
          <w:color w:val="auto"/>
          <w:sz w:val="24"/>
          <w:highlight w:val="none"/>
        </w:rPr>
      </w:pPr>
    </w:p>
    <w:p w14:paraId="1140C148">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十、工程验收</w:t>
      </w:r>
    </w:p>
    <w:p w14:paraId="6FE1AAD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1．材料设备检查、验收及交货</w:t>
      </w:r>
    </w:p>
    <w:p w14:paraId="474EEDE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（1）乙供材料设备进场前应向甲方进行品牌、型号规格、</w:t>
      </w:r>
      <w:r>
        <w:rPr>
          <w:rFonts w:hint="default" w:ascii="仿宋_GB2312" w:eastAsia="仿宋_GB2312"/>
          <w:color w:val="auto"/>
          <w:sz w:val="24"/>
          <w:highlight w:val="none"/>
        </w:rPr>
        <w:t>技术参数</w:t>
      </w:r>
      <w:r>
        <w:rPr>
          <w:rFonts w:hint="eastAsia" w:ascii="仿宋_GB2312" w:eastAsia="仿宋_GB2312"/>
          <w:color w:val="auto"/>
          <w:sz w:val="24"/>
          <w:highlight w:val="none"/>
        </w:rPr>
        <w:t>等报审，经甲方确认后方可采购。材料设备运抵工地后乙方应通知甲方及监理工程师，共同开箱验收，经进场验收合格并填写设备材料现场检查记录表后方可施工。未经验收擅自使用的材料设备，甲方有权对该部分工程量不予确认，并要求乙方按要求重新购买材料设备。</w:t>
      </w:r>
    </w:p>
    <w:p w14:paraId="1B139C4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（2）进场验收合格并不免除任何乙方对材料设备存在质量、设计、性能方面的缺陷和不合格的责任，</w:t>
      </w:r>
      <w:r>
        <w:rPr>
          <w:rFonts w:hint="default" w:ascii="仿宋_GB2312" w:eastAsia="仿宋_GB2312"/>
          <w:color w:val="auto"/>
          <w:sz w:val="24"/>
          <w:highlight w:val="none"/>
        </w:rPr>
        <w:t>以及材料设备品牌、规格型号、技术参数等不符合合同约定的责任</w:t>
      </w:r>
      <w:r>
        <w:rPr>
          <w:rFonts w:hint="eastAsia" w:ascii="仿宋_GB2312" w:eastAsia="仿宋_GB2312"/>
          <w:color w:val="auto"/>
          <w:sz w:val="24"/>
          <w:highlight w:val="none"/>
        </w:rPr>
        <w:t>。</w:t>
      </w:r>
      <w:r>
        <w:rPr>
          <w:rFonts w:hint="eastAsia" w:ascii="仿宋_GB2312" w:hAnsi="宋体" w:eastAsia="仿宋_GB2312"/>
          <w:color w:val="auto"/>
          <w:sz w:val="24"/>
          <w:highlight w:val="none"/>
        </w:rPr>
        <w:t>甲方有权</w:t>
      </w:r>
      <w:r>
        <w:rPr>
          <w:rFonts w:hint="default" w:ascii="仿宋_GB2312" w:hAnsi="宋体" w:eastAsia="仿宋_GB2312"/>
          <w:color w:val="auto"/>
          <w:sz w:val="24"/>
          <w:highlight w:val="none"/>
        </w:rPr>
        <w:t>对</w:t>
      </w:r>
      <w:r>
        <w:rPr>
          <w:rFonts w:hint="eastAsia" w:ascii="仿宋_GB2312" w:hAnsi="宋体" w:eastAsia="仿宋_GB2312"/>
          <w:color w:val="auto"/>
          <w:sz w:val="24"/>
          <w:highlight w:val="none"/>
        </w:rPr>
        <w:t>材料设备</w:t>
      </w:r>
      <w:r>
        <w:rPr>
          <w:rFonts w:hint="default" w:ascii="仿宋_GB2312" w:hAnsi="宋体" w:eastAsia="仿宋_GB2312"/>
          <w:color w:val="auto"/>
          <w:sz w:val="24"/>
          <w:highlight w:val="none"/>
        </w:rPr>
        <w:t>进行破坏性检验，</w:t>
      </w:r>
      <w:r>
        <w:rPr>
          <w:rFonts w:hint="eastAsia" w:ascii="仿宋_GB2312" w:hAnsi="宋体" w:eastAsia="仿宋_GB2312"/>
          <w:color w:val="auto"/>
          <w:sz w:val="24"/>
          <w:highlight w:val="none"/>
        </w:rPr>
        <w:t>如</w:t>
      </w:r>
      <w:r>
        <w:rPr>
          <w:rFonts w:hint="default" w:ascii="仿宋_GB2312" w:hAnsi="宋体" w:eastAsia="仿宋_GB2312"/>
          <w:color w:val="auto"/>
          <w:sz w:val="24"/>
          <w:highlight w:val="none"/>
        </w:rPr>
        <w:t>检验结论证明</w:t>
      </w:r>
      <w:r>
        <w:rPr>
          <w:rFonts w:hint="eastAsia" w:ascii="仿宋_GB2312" w:hAnsi="宋体" w:eastAsia="仿宋_GB2312"/>
          <w:color w:val="auto"/>
          <w:sz w:val="24"/>
          <w:highlight w:val="none"/>
        </w:rPr>
        <w:t>材料设备</w:t>
      </w:r>
      <w:r>
        <w:rPr>
          <w:rFonts w:hint="default" w:ascii="仿宋_GB2312" w:hAnsi="宋体" w:eastAsia="仿宋_GB2312"/>
          <w:color w:val="auto"/>
          <w:sz w:val="24"/>
          <w:highlight w:val="none"/>
        </w:rPr>
        <w:t>不符合合同约定的要求，检验费用</w:t>
      </w:r>
      <w:r>
        <w:rPr>
          <w:rFonts w:hint="eastAsia" w:ascii="仿宋_GB2312" w:hAnsi="宋体" w:eastAsia="仿宋_GB2312"/>
          <w:color w:val="auto"/>
          <w:sz w:val="24"/>
          <w:highlight w:val="none"/>
        </w:rPr>
        <w:t>由</w:t>
      </w:r>
      <w:r>
        <w:rPr>
          <w:rFonts w:hint="default" w:ascii="仿宋_GB2312" w:hAnsi="宋体" w:eastAsia="仿宋_GB2312"/>
          <w:color w:val="auto"/>
          <w:sz w:val="24"/>
          <w:highlight w:val="none"/>
        </w:rPr>
        <w:t>乙方承担</w:t>
      </w:r>
      <w:r>
        <w:rPr>
          <w:rFonts w:hint="eastAsia" w:ascii="仿宋_GB2312" w:hAnsi="宋体" w:eastAsia="仿宋_GB2312"/>
          <w:color w:val="auto"/>
          <w:sz w:val="24"/>
          <w:highlight w:val="none"/>
        </w:rPr>
        <w:t>，并无条件对不符合合同约定要求的材料设备进行更换。</w:t>
      </w:r>
    </w:p>
    <w:p w14:paraId="6C0A12F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（3）进场验收合格后的材料不能及时使用的，应由乙方自行负责保管，并承担保管风险。</w:t>
      </w:r>
    </w:p>
    <w:p w14:paraId="7E97A51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2．工程竣工验收</w:t>
      </w:r>
    </w:p>
    <w:p w14:paraId="31D66E8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乙方安装完毕，在自检合格的基础上，负责组织调试检查，调试自检合格后书面通知甲方、监理方，协同甲方及监理作预验收检查，各方应及时参加验收；预验收检查合格后3天内乙方应负责向供电部门办理并网手续。</w:t>
      </w:r>
    </w:p>
    <w:p w14:paraId="3C1C902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（2）乙方应按甲方合理要求及时组织验收整改。本工程通过当地供电局验收合格并送电并网后15天内，乙方应及时完成竣工验收整改后向甲方移交，双方办理工程移交。</w:t>
      </w:r>
    </w:p>
    <w:p w14:paraId="7B2211B6">
      <w:pPr>
        <w:spacing w:line="360" w:lineRule="auto"/>
        <w:ind w:firstLine="480" w:firstLineChars="200"/>
        <w:rPr>
          <w:color w:val="auto"/>
          <w:highlight w:val="none"/>
        </w:rPr>
      </w:pPr>
      <w:r>
        <w:rPr>
          <w:rFonts w:hint="eastAsia" w:ascii="仿宋_GB2312" w:eastAsia="仿宋_GB2312"/>
          <w:color w:val="auto"/>
          <w:sz w:val="24"/>
          <w:highlight w:val="none"/>
        </w:rPr>
        <w:t>（3）工程竣工时，乙方负责收集、整理本工程承包范围内的全部资料，在甲方规定的时间内向甲方提交全部施工资料，同时资料应满足甲方归档要求。</w:t>
      </w:r>
    </w:p>
    <w:p w14:paraId="4BCBB6C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（4）自本工程并网投运后3天内，乙方人员应从施工现场撤离并清理运出乙方剩余材料、设备、垃圾和各种临时设施，保持整个现场清洁、美观，达到竣工使用状态。</w:t>
      </w:r>
    </w:p>
    <w:p w14:paraId="1EB681CE">
      <w:pPr>
        <w:spacing w:line="360" w:lineRule="auto"/>
        <w:rPr>
          <w:rFonts w:hint="default" w:ascii="仿宋_GB2312" w:eastAsia="仿宋_GB2312"/>
          <w:b/>
          <w:color w:val="auto"/>
          <w:sz w:val="24"/>
          <w:highlight w:val="none"/>
        </w:rPr>
      </w:pPr>
    </w:p>
    <w:p w14:paraId="60C57D15">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十一、工程保修</w:t>
      </w:r>
    </w:p>
    <w:p w14:paraId="24B9906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1．本工程保修期限为</w:t>
      </w:r>
      <w:permStart w:id="45" w:edGrp="everyone"/>
      <w:r>
        <w:rPr>
          <w:rFonts w:hint="default" w:ascii="仿宋_GB2312" w:eastAsia="仿宋_GB2312"/>
          <w:color w:val="auto"/>
          <w:sz w:val="24"/>
          <w:highlight w:val="none"/>
        </w:rPr>
        <w:t>2</w:t>
      </w:r>
      <w:permEnd w:id="45"/>
      <w:r>
        <w:rPr>
          <w:rFonts w:hint="eastAsia" w:ascii="仿宋_GB2312" w:eastAsia="仿宋_GB2312"/>
          <w:color w:val="auto"/>
          <w:sz w:val="24"/>
          <w:highlight w:val="none"/>
        </w:rPr>
        <w:t>年，自本工程验收合格，并网投运并交付给甲方之日起计。</w:t>
      </w:r>
    </w:p>
    <w:p w14:paraId="675E0C3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2．保修范围：本工程的保修内容包括本合同约定承包范围内的所有工程项目、设计变更或文字约定、双方或多方会议纪要约定的全部内容。</w:t>
      </w:r>
    </w:p>
    <w:p w14:paraId="2686BA3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保修责任：在本工程保修期内，乙方须对无法正常运行的设备承担维修或更换责任。设备发生故障时，乙方应在接到甲方通知后2小时内予以响应，并在4小时内派遣技术人员抵达现场进行维修；若故障无法现场修复，乙方须立即更换新设备或配件以确保发电系统正常运行。若乙方未能按时响应、拒绝维修或未及时处理故障，甲方有权委托第三方进行维修，由此产生的全部维修费用由乙方承担，并需额外支付维修费用20%的违约金，相关款项将从质量保修金中直接扣除。如因乙方维修延误或维修不当导致电站全部或部分停运，由此产生的发电量损失（按该项目当月光伏结算单价计算）由乙方全额赔偿。</w:t>
      </w:r>
    </w:p>
    <w:p w14:paraId="08CF0D1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保修期限届满后，在设备发生故障时，甲方不能自行排除时，通知乙方，乙方应在接到通知后3小时之内派员到达现场进行维修，协助排除故障，超过保修期更换零配件的，乙方应按出厂价收取，人工费按市场标准收取。</w:t>
      </w:r>
    </w:p>
    <w:p w14:paraId="0FDE71F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5．工程在交付使用前，乙方应对甲方或业主单位的人员进行技术指导培训，保证甲方或业主单位的人员掌握光伏系统具体情况及设备的操作使用方法、注意事项。</w:t>
      </w:r>
    </w:p>
    <w:p w14:paraId="6AB364C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6．乙方应以书面形式提供保修服务队伍有效的名称、资质、人员配备、联系地址、电话等详细资料（若乙方提供的保修服务队伍的地址、电话等变更应及时以书面通知甲方）。</w:t>
      </w:r>
    </w:p>
    <w:p w14:paraId="0B952643">
      <w:pPr>
        <w:spacing w:line="360" w:lineRule="auto"/>
        <w:rPr>
          <w:rFonts w:hint="default" w:ascii="仿宋_GB2312" w:eastAsia="仿宋_GB2312"/>
          <w:b/>
          <w:color w:val="auto"/>
          <w:sz w:val="24"/>
          <w:highlight w:val="none"/>
        </w:rPr>
      </w:pPr>
    </w:p>
    <w:p w14:paraId="01A2A474">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十二、违约责任</w:t>
      </w:r>
    </w:p>
    <w:p w14:paraId="05928BD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1．本工程严禁转包或违法分包，若乙方擅自违法分包、转包或中途退场的，甲方有权单方解除本合同，合同解除后，乙方应无条件退还甲方已付工程款，同时应向甲方支付合同总价</w:t>
      </w:r>
      <w:r>
        <w:rPr>
          <w:rFonts w:hint="eastAsia" w:ascii="仿宋_GB2312" w:eastAsia="仿宋_GB2312"/>
          <w:b/>
          <w:color w:val="auto"/>
          <w:sz w:val="24"/>
          <w:highlight w:val="none"/>
        </w:rPr>
        <w:t>10%</w:t>
      </w:r>
      <w:r>
        <w:rPr>
          <w:rFonts w:hint="eastAsia" w:ascii="仿宋_GB2312" w:eastAsia="仿宋_GB2312"/>
          <w:color w:val="auto"/>
          <w:sz w:val="24"/>
          <w:highlight w:val="none"/>
        </w:rPr>
        <w:t>的违约金，且乙方无权要求甲方退回履约保证金。</w:t>
      </w:r>
    </w:p>
    <w:p w14:paraId="416724A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2．乙方逾期并网的，需按每逾期一天向甲方支付合同总价</w:t>
      </w:r>
      <w:r>
        <w:rPr>
          <w:rFonts w:hint="eastAsia" w:ascii="仿宋_GB2312" w:eastAsia="仿宋_GB2312"/>
          <w:b/>
          <w:color w:val="auto"/>
          <w:sz w:val="24"/>
          <w:highlight w:val="none"/>
        </w:rPr>
        <w:t>1‰</w:t>
      </w:r>
      <w:r>
        <w:rPr>
          <w:rFonts w:hint="eastAsia" w:ascii="仿宋_GB2312" w:eastAsia="仿宋_GB2312"/>
          <w:color w:val="auto"/>
          <w:sz w:val="24"/>
          <w:highlight w:val="none"/>
        </w:rPr>
        <w:t>的违约金，累计至合同总价的</w:t>
      </w:r>
      <w:permStart w:id="46" w:edGrp="everyone"/>
      <w:r>
        <w:rPr>
          <w:rFonts w:hint="eastAsia" w:ascii="仿宋_GB2312" w:eastAsia="仿宋_GB2312"/>
          <w:color w:val="auto"/>
          <w:sz w:val="24"/>
          <w:highlight w:val="none"/>
        </w:rPr>
        <w:t>30%</w:t>
      </w:r>
      <w:permEnd w:id="46"/>
      <w:r>
        <w:rPr>
          <w:rFonts w:hint="eastAsia" w:ascii="仿宋_GB2312" w:eastAsia="仿宋_GB2312"/>
          <w:color w:val="auto"/>
          <w:sz w:val="24"/>
          <w:highlight w:val="none"/>
        </w:rPr>
        <w:t>为止。逾期超过60天，甲方有权单方解除本合同，所造成的损失全部由乙方承担且乙方无权要求甲方退回履约保证金。</w:t>
      </w:r>
    </w:p>
    <w:p w14:paraId="74DD75F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3．工程施工过程中出现工程质量问题的，甲方有权要求乙方进行整改，整改费用全部由乙方承担，工期不予顺延。</w:t>
      </w:r>
    </w:p>
    <w:p w14:paraId="3D25DD9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4．乙方违章施工或施工质量不符合规范要求而造成工程的质量事故，乙方须按甲方要求进行整改，整改费用全部由乙方承担，工期不予顺延，同时乙方应按相应责任赔偿损失。</w:t>
      </w:r>
    </w:p>
    <w:p w14:paraId="59BE808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工程全部完工，经甲方验收工程质量未能达到本合同约定标准和国家相关标准的，乙方须按甲方要求无条件整改至合格，费用全部由乙方承担，工期不予顺延，造成工期延误的，乙方还应按本条第2款逾期完工的约定承担违约责任。</w:t>
      </w:r>
    </w:p>
    <w:p w14:paraId="740676F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乙方未按本合同约定的施工图纸施工的，甲方有权要求乙方整改至符合图纸内容要求，整改费用由乙方承担；乙方未按图纸施工部分造价达到工程总造价20%的，甲方有权单方解除本合同，乙方已完成且验收合格的工程量按</w:t>
      </w:r>
      <w:r>
        <w:rPr>
          <w:rFonts w:hint="eastAsia" w:ascii="仿宋_GB2312" w:eastAsia="仿宋_GB2312"/>
          <w:b/>
          <w:color w:val="auto"/>
          <w:sz w:val="24"/>
          <w:highlight w:val="none"/>
        </w:rPr>
        <w:t>80%</w:t>
      </w:r>
      <w:r>
        <w:rPr>
          <w:rFonts w:hint="eastAsia" w:ascii="仿宋_GB2312" w:eastAsia="仿宋_GB2312"/>
          <w:color w:val="auto"/>
          <w:sz w:val="24"/>
          <w:highlight w:val="none"/>
        </w:rPr>
        <w:t>结算，同时甲方有权要求乙方支付合同总价</w:t>
      </w:r>
      <w:r>
        <w:rPr>
          <w:rFonts w:hint="eastAsia" w:ascii="仿宋_GB2312" w:eastAsia="仿宋_GB2312"/>
          <w:b/>
          <w:color w:val="auto"/>
          <w:sz w:val="24"/>
          <w:highlight w:val="none"/>
        </w:rPr>
        <w:t>10%</w:t>
      </w:r>
      <w:r>
        <w:rPr>
          <w:rFonts w:hint="eastAsia" w:ascii="仿宋_GB2312" w:eastAsia="仿宋_GB2312"/>
          <w:color w:val="auto"/>
          <w:sz w:val="24"/>
          <w:highlight w:val="none"/>
        </w:rPr>
        <w:t>的违约金，且乙方无权要求甲方返还履约保证金。</w:t>
      </w:r>
    </w:p>
    <w:p w14:paraId="69F4B88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7.如</w:t>
      </w:r>
      <w:r>
        <w:rPr>
          <w:rFonts w:hint="default" w:ascii="仿宋_GB2312" w:eastAsia="仿宋_GB2312"/>
          <w:color w:val="auto"/>
          <w:sz w:val="24"/>
          <w:highlight w:val="none"/>
        </w:rPr>
        <w:t>乙方施工完毕经甲方验收合格后，甲方在</w:t>
      </w:r>
      <w:r>
        <w:rPr>
          <w:rFonts w:hint="eastAsia" w:ascii="仿宋_GB2312" w:eastAsia="仿宋_GB2312"/>
          <w:color w:val="auto"/>
          <w:sz w:val="24"/>
          <w:highlight w:val="none"/>
        </w:rPr>
        <w:t>质保期</w:t>
      </w:r>
      <w:r>
        <w:rPr>
          <w:rFonts w:hint="default" w:ascii="仿宋_GB2312" w:eastAsia="仿宋_GB2312"/>
          <w:color w:val="auto"/>
          <w:sz w:val="24"/>
          <w:highlight w:val="none"/>
        </w:rPr>
        <w:t>内发现乙方</w:t>
      </w:r>
      <w:r>
        <w:rPr>
          <w:rFonts w:hint="eastAsia" w:ascii="仿宋_GB2312" w:eastAsia="仿宋_GB2312"/>
          <w:color w:val="auto"/>
          <w:sz w:val="24"/>
          <w:highlight w:val="none"/>
        </w:rPr>
        <w:t>已完</w:t>
      </w:r>
      <w:r>
        <w:rPr>
          <w:rFonts w:hint="default" w:ascii="仿宋_GB2312" w:eastAsia="仿宋_GB2312"/>
          <w:color w:val="auto"/>
          <w:sz w:val="24"/>
          <w:highlight w:val="none"/>
        </w:rPr>
        <w:t>工程存在质量问题，</w:t>
      </w:r>
      <w:r>
        <w:rPr>
          <w:rFonts w:hint="eastAsia" w:ascii="仿宋_GB2312" w:eastAsia="仿宋_GB2312"/>
          <w:color w:val="auto"/>
          <w:sz w:val="24"/>
          <w:highlight w:val="none"/>
        </w:rPr>
        <w:t>并</w:t>
      </w:r>
      <w:r>
        <w:rPr>
          <w:rFonts w:hint="default" w:ascii="仿宋_GB2312" w:eastAsia="仿宋_GB2312"/>
          <w:color w:val="auto"/>
          <w:sz w:val="24"/>
          <w:highlight w:val="none"/>
        </w:rPr>
        <w:t>经</w:t>
      </w:r>
      <w:r>
        <w:rPr>
          <w:rFonts w:hint="eastAsia" w:ascii="仿宋_GB2312" w:eastAsia="仿宋_GB2312"/>
          <w:color w:val="auto"/>
          <w:sz w:val="24"/>
          <w:highlight w:val="none"/>
        </w:rPr>
        <w:t>具有</w:t>
      </w:r>
      <w:r>
        <w:rPr>
          <w:rFonts w:hint="default" w:ascii="仿宋_GB2312" w:eastAsia="仿宋_GB2312"/>
          <w:color w:val="auto"/>
          <w:sz w:val="24"/>
          <w:highlight w:val="none"/>
        </w:rPr>
        <w:t>法定鉴定资质的鉴定机构鉴定为不合格的，</w:t>
      </w:r>
      <w:r>
        <w:rPr>
          <w:rFonts w:hint="eastAsia" w:ascii="仿宋_GB2312" w:eastAsia="仿宋_GB2312"/>
          <w:color w:val="auto"/>
          <w:sz w:val="24"/>
          <w:highlight w:val="none"/>
        </w:rPr>
        <w:t>乙方</w:t>
      </w:r>
      <w:r>
        <w:rPr>
          <w:rFonts w:hint="default" w:ascii="仿宋_GB2312" w:eastAsia="仿宋_GB2312"/>
          <w:color w:val="auto"/>
          <w:sz w:val="24"/>
          <w:highlight w:val="none"/>
        </w:rPr>
        <w:t>应无条件进行整改，</w:t>
      </w:r>
      <w:r>
        <w:rPr>
          <w:rFonts w:hint="eastAsia" w:ascii="仿宋_GB2312" w:eastAsia="仿宋_GB2312"/>
          <w:color w:val="auto"/>
          <w:sz w:val="24"/>
          <w:highlight w:val="none"/>
        </w:rPr>
        <w:t>否则</w:t>
      </w:r>
      <w:r>
        <w:rPr>
          <w:rFonts w:hint="default" w:ascii="仿宋_GB2312" w:eastAsia="仿宋_GB2312"/>
          <w:color w:val="auto"/>
          <w:sz w:val="24"/>
          <w:highlight w:val="none"/>
        </w:rPr>
        <w:t>甲方有权向乙方追索整改费</w:t>
      </w:r>
      <w:r>
        <w:rPr>
          <w:rFonts w:hint="eastAsia" w:ascii="仿宋_GB2312" w:eastAsia="仿宋_GB2312"/>
          <w:color w:val="auto"/>
          <w:sz w:val="24"/>
          <w:highlight w:val="none"/>
        </w:rPr>
        <w:t>并在</w:t>
      </w:r>
      <w:r>
        <w:rPr>
          <w:rFonts w:hint="default" w:ascii="仿宋_GB2312" w:eastAsia="仿宋_GB2312"/>
          <w:color w:val="auto"/>
          <w:sz w:val="24"/>
          <w:highlight w:val="none"/>
        </w:rPr>
        <w:t>质量保修金</w:t>
      </w:r>
      <w:r>
        <w:rPr>
          <w:rFonts w:hint="eastAsia" w:ascii="仿宋_GB2312" w:eastAsia="仿宋_GB2312"/>
          <w:color w:val="auto"/>
          <w:sz w:val="24"/>
          <w:highlight w:val="none"/>
        </w:rPr>
        <w:t>进行</w:t>
      </w:r>
      <w:r>
        <w:rPr>
          <w:rFonts w:hint="default" w:ascii="仿宋_GB2312" w:eastAsia="仿宋_GB2312"/>
          <w:color w:val="auto"/>
          <w:sz w:val="24"/>
          <w:highlight w:val="none"/>
        </w:rPr>
        <w:t>扣除。</w:t>
      </w:r>
    </w:p>
    <w:p w14:paraId="26CE26C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8.若乙方提供</w:t>
      </w:r>
      <w:r>
        <w:rPr>
          <w:rFonts w:hint="default" w:ascii="仿宋_GB2312" w:eastAsia="仿宋_GB2312"/>
          <w:color w:val="auto"/>
          <w:sz w:val="24"/>
          <w:highlight w:val="none"/>
        </w:rPr>
        <w:t>的材料设备存在</w:t>
      </w:r>
      <w:r>
        <w:rPr>
          <w:rFonts w:hint="eastAsia" w:ascii="仿宋_GB2312" w:eastAsia="仿宋_GB2312"/>
          <w:color w:val="auto"/>
          <w:sz w:val="24"/>
          <w:highlight w:val="none"/>
        </w:rPr>
        <w:t>掺</w:t>
      </w:r>
      <w:r>
        <w:rPr>
          <w:rFonts w:hint="default" w:ascii="仿宋_GB2312" w:eastAsia="仿宋_GB2312"/>
          <w:color w:val="auto"/>
          <w:sz w:val="24"/>
          <w:highlight w:val="none"/>
        </w:rPr>
        <w:t>杂、掺假，</w:t>
      </w:r>
      <w:r>
        <w:rPr>
          <w:rFonts w:hint="eastAsia" w:ascii="仿宋_GB2312" w:eastAsia="仿宋_GB2312"/>
          <w:color w:val="auto"/>
          <w:sz w:val="24"/>
          <w:highlight w:val="none"/>
        </w:rPr>
        <w:t>以</w:t>
      </w:r>
      <w:r>
        <w:rPr>
          <w:rFonts w:hint="default" w:ascii="仿宋_GB2312" w:eastAsia="仿宋_GB2312"/>
          <w:color w:val="auto"/>
          <w:sz w:val="24"/>
          <w:highlight w:val="none"/>
        </w:rPr>
        <w:t>假</w:t>
      </w:r>
      <w:r>
        <w:rPr>
          <w:rFonts w:hint="eastAsia" w:ascii="仿宋_GB2312" w:eastAsia="仿宋_GB2312"/>
          <w:color w:val="auto"/>
          <w:sz w:val="24"/>
          <w:highlight w:val="none"/>
        </w:rPr>
        <w:t>充</w:t>
      </w:r>
      <w:r>
        <w:rPr>
          <w:rFonts w:hint="default" w:ascii="仿宋_GB2312" w:eastAsia="仿宋_GB2312"/>
          <w:color w:val="auto"/>
          <w:sz w:val="24"/>
          <w:highlight w:val="none"/>
        </w:rPr>
        <w:t>真，</w:t>
      </w:r>
      <w:r>
        <w:rPr>
          <w:rFonts w:hint="eastAsia" w:ascii="仿宋_GB2312" w:eastAsia="仿宋_GB2312"/>
          <w:color w:val="auto"/>
          <w:sz w:val="24"/>
          <w:highlight w:val="none"/>
        </w:rPr>
        <w:t>以</w:t>
      </w:r>
      <w:r>
        <w:rPr>
          <w:rFonts w:hint="default" w:ascii="仿宋_GB2312" w:eastAsia="仿宋_GB2312"/>
          <w:color w:val="auto"/>
          <w:sz w:val="24"/>
          <w:highlight w:val="none"/>
        </w:rPr>
        <w:t>次充好，以不合格产品冒充合格产品、以旧货冒充新货</w:t>
      </w:r>
      <w:r>
        <w:rPr>
          <w:rFonts w:hint="eastAsia" w:ascii="仿宋_GB2312" w:eastAsia="仿宋_GB2312"/>
          <w:color w:val="auto"/>
          <w:sz w:val="24"/>
          <w:highlight w:val="none"/>
        </w:rPr>
        <w:t>或擅自更换合同约定材料设备品牌的，甲方有权要求乙方整改至符合合同约定要求，整改费用由乙方承担</w:t>
      </w:r>
      <w:r>
        <w:rPr>
          <w:rFonts w:hint="default" w:ascii="仿宋_GB2312" w:eastAsia="仿宋_GB2312"/>
          <w:color w:val="auto"/>
          <w:sz w:val="24"/>
          <w:highlight w:val="none"/>
        </w:rPr>
        <w:t>。</w:t>
      </w:r>
    </w:p>
    <w:p w14:paraId="0FE7DF80">
      <w:pPr>
        <w:spacing w:line="360" w:lineRule="auto"/>
        <w:ind w:firstLine="480" w:firstLineChars="200"/>
        <w:rPr>
          <w:rFonts w:hint="eastAsia" w:ascii="仿宋_GB2312" w:hAnsi="仿宋_GB2312" w:eastAsia="仿宋_GB2312" w:cs="仿宋_GB2312"/>
          <w:color w:val="auto"/>
          <w:sz w:val="24"/>
          <w:highlight w:val="none"/>
        </w:rPr>
      </w:pPr>
      <w:r>
        <w:rPr>
          <w:rFonts w:hint="eastAsia" w:ascii="仿宋_GB2312" w:eastAsia="仿宋_GB2312"/>
          <w:color w:val="auto"/>
          <w:sz w:val="24"/>
          <w:highlight w:val="none"/>
        </w:rPr>
        <w:t>9．乙方损坏施工现场周围建筑物、设备管线及其他相关专业的施工成品、半成品的，乙方须无条件修复，修复费用由乙方承担，工期不予顺延。</w:t>
      </w:r>
    </w:p>
    <w:p w14:paraId="68020CC8">
      <w:pPr>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10.项目投入运行后，因施工质量缺陷导致发生安全生产事故的，甲方有权对乙方进行罚款，同时乙方应按相应责任赔偿损失。</w:t>
      </w:r>
    </w:p>
    <w:p w14:paraId="024219D8">
      <w:pPr>
        <w:rPr>
          <w:rFonts w:hint="default"/>
          <w:color w:val="auto"/>
          <w:highlight w:val="none"/>
        </w:rPr>
      </w:pPr>
    </w:p>
    <w:p w14:paraId="56B2CC0A">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十三、不可抗力</w:t>
      </w:r>
    </w:p>
    <w:p w14:paraId="2DA63EA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在本合同期限内，任何一方因不可抗力情形的发生（如战争、地震等），导致不能全部或部分履行本合同约定的义务时，双方均应积极采取补救措施以减少损失，需免责方须立即用电话或传真通知对方，并在十天内以书面方式将不可抗力情形详细情况及有关证明文件提供给对方，在其证明得到证实后，可部分或全部免除其违约责任。</w:t>
      </w:r>
    </w:p>
    <w:p w14:paraId="0D43D14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2．一方迟延履行后发生不可抗力的，不得免除或减轻其应承担的违约责任。</w:t>
      </w:r>
    </w:p>
    <w:p w14:paraId="20DF61F2">
      <w:pPr>
        <w:rPr>
          <w:color w:val="auto"/>
          <w:highlight w:val="none"/>
        </w:rPr>
      </w:pPr>
    </w:p>
    <w:p w14:paraId="6C71615B">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十四、争议解决方式</w:t>
      </w:r>
    </w:p>
    <w:p w14:paraId="3207751B">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在本合同的履行过程中，双方如发生争议的，由双方协商解决；协商不成的，双方均可向工程所在地人民法院起诉。</w:t>
      </w:r>
    </w:p>
    <w:p w14:paraId="5E9116A6">
      <w:pPr>
        <w:rPr>
          <w:color w:val="auto"/>
          <w:highlight w:val="none"/>
        </w:rPr>
      </w:pPr>
    </w:p>
    <w:p w14:paraId="7D0B7397">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十五、其他</w:t>
      </w:r>
    </w:p>
    <w:p w14:paraId="7EE33377">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长期合作约定：乙方如严格履行合同，诚实信用，配合情况良好并为甲方提供了高质量、高效率的工作成果，甲方将与其长期合作；若乙方违反合同约定要求及不诚信的，甲方将不再与乙方合作，并追究乙方的违约责任。</w:t>
      </w:r>
    </w:p>
    <w:p w14:paraId="7D2B02C8">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2．双方应保证地址、联系方式、企业法定代表人等工商登记情况及代理人等有关资料和证件真实有效，如有变更，须提前7天书面通知对方。</w:t>
      </w:r>
    </w:p>
    <w:p w14:paraId="54669FE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3．与本合同有关的通知、文件等均须采用书面形式发出。</w:t>
      </w:r>
    </w:p>
    <w:p w14:paraId="16664F5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4．本合同</w:t>
      </w:r>
      <w:bookmarkStart w:id="109" w:name="合同总数"/>
      <w:r>
        <w:rPr>
          <w:rFonts w:hint="eastAsia" w:ascii="仿宋_GB2312" w:eastAsia="仿宋_GB2312"/>
          <w:color w:val="auto"/>
          <w:sz w:val="24"/>
          <w:highlight w:val="none"/>
        </w:rPr>
        <w:t>一式</w:t>
      </w:r>
      <w:permStart w:id="47" w:edGrp="everyone"/>
      <w:r>
        <w:rPr>
          <w:rFonts w:hint="eastAsia" w:ascii="仿宋_GB2312" w:eastAsia="仿宋_GB2312"/>
          <w:color w:val="auto"/>
          <w:sz w:val="24"/>
          <w:highlight w:val="none"/>
        </w:rPr>
        <w:t>陆</w:t>
      </w:r>
      <w:permEnd w:id="47"/>
      <w:r>
        <w:rPr>
          <w:rFonts w:hint="eastAsia" w:ascii="仿宋_GB2312" w:eastAsia="仿宋_GB2312"/>
          <w:color w:val="auto"/>
          <w:sz w:val="24"/>
          <w:highlight w:val="none"/>
        </w:rPr>
        <w:t>份</w:t>
      </w:r>
      <w:bookmarkEnd w:id="109"/>
      <w:r>
        <w:rPr>
          <w:rFonts w:hint="eastAsia" w:ascii="仿宋_GB2312" w:eastAsia="仿宋_GB2312"/>
          <w:color w:val="auto"/>
          <w:sz w:val="24"/>
          <w:highlight w:val="none"/>
        </w:rPr>
        <w:t>，甲方执</w:t>
      </w:r>
      <w:permStart w:id="48" w:edGrp="everyone"/>
      <w:r>
        <w:rPr>
          <w:rFonts w:hint="eastAsia" w:ascii="仿宋_GB2312" w:eastAsia="仿宋_GB2312"/>
          <w:color w:val="auto"/>
          <w:sz w:val="24"/>
          <w:highlight w:val="none"/>
        </w:rPr>
        <w:t>贰</w:t>
      </w:r>
      <w:permEnd w:id="48"/>
      <w:r>
        <w:rPr>
          <w:rFonts w:hint="eastAsia" w:ascii="仿宋_GB2312" w:eastAsia="仿宋_GB2312"/>
          <w:color w:val="auto"/>
          <w:sz w:val="24"/>
          <w:highlight w:val="none"/>
        </w:rPr>
        <w:t>份，乙方</w:t>
      </w:r>
      <w:bookmarkStart w:id="110" w:name="乙方份数"/>
      <w:r>
        <w:rPr>
          <w:rFonts w:hint="eastAsia" w:ascii="仿宋_GB2312" w:eastAsia="仿宋_GB2312"/>
          <w:color w:val="auto"/>
          <w:sz w:val="24"/>
          <w:highlight w:val="none"/>
        </w:rPr>
        <w:t>各执</w:t>
      </w:r>
      <w:permStart w:id="49" w:edGrp="everyone"/>
      <w:r>
        <w:rPr>
          <w:rFonts w:hint="eastAsia" w:ascii="仿宋_GB2312" w:eastAsia="仿宋_GB2312"/>
          <w:color w:val="auto"/>
          <w:sz w:val="24"/>
          <w:highlight w:val="none"/>
        </w:rPr>
        <w:t>贰</w:t>
      </w:r>
      <w:permEnd w:id="49"/>
      <w:r>
        <w:rPr>
          <w:rFonts w:hint="eastAsia" w:ascii="仿宋_GB2312" w:eastAsia="仿宋_GB2312"/>
          <w:color w:val="auto"/>
          <w:sz w:val="24"/>
          <w:highlight w:val="none"/>
        </w:rPr>
        <w:t>份</w:t>
      </w:r>
      <w:bookmarkEnd w:id="110"/>
      <w:r>
        <w:rPr>
          <w:rFonts w:hint="eastAsia" w:ascii="仿宋_GB2312" w:eastAsia="仿宋_GB2312"/>
          <w:color w:val="auto"/>
          <w:sz w:val="24"/>
          <w:highlight w:val="none"/>
        </w:rPr>
        <w:t>，均具同等法律效力。本合同自双方签字盖章之日起发生法律效力，双方履行完合同全部义务后自行失效。</w:t>
      </w:r>
    </w:p>
    <w:p w14:paraId="66EB76F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5．本合同未尽事宜，双方另行协商签订补充协议，补充协议与本合同具有同等法律效力。</w:t>
      </w:r>
    </w:p>
    <w:p w14:paraId="6F7EC030">
      <w:pPr>
        <w:rPr>
          <w:color w:val="auto"/>
          <w:highlight w:val="none"/>
        </w:rPr>
      </w:pPr>
    </w:p>
    <w:p w14:paraId="44BD85EA">
      <w:pPr>
        <w:spacing w:line="360" w:lineRule="auto"/>
        <w:rPr>
          <w:rFonts w:hint="default" w:ascii="仿宋_GB2312" w:eastAsia="仿宋_GB2312"/>
          <w:b/>
          <w:color w:val="auto"/>
          <w:sz w:val="24"/>
          <w:highlight w:val="none"/>
        </w:rPr>
      </w:pPr>
      <w:permStart w:id="50" w:edGrp="everyone"/>
      <w:r>
        <w:rPr>
          <w:rFonts w:hint="eastAsia" w:ascii="仿宋_GB2312" w:eastAsia="仿宋_GB2312"/>
          <w:b/>
          <w:color w:val="auto"/>
          <w:sz w:val="24"/>
          <w:highlight w:val="none"/>
        </w:rPr>
        <w:t>十六、专用补充约定 （若本条约定内容与以上条款内容相冲突的，以本条约定内容为准）</w:t>
      </w:r>
    </w:p>
    <w:p w14:paraId="0463293F">
      <w:pPr>
        <w:spacing w:line="360" w:lineRule="auto"/>
        <w:ind w:firstLine="480" w:firstLineChars="200"/>
        <w:rPr>
          <w:rFonts w:hint="eastAsia" w:ascii="仿宋_GB2312" w:hAnsi="仿宋_GB2312" w:eastAsia="仿宋_GB2312" w:cs="仿宋_GB2312"/>
          <w:color w:val="auto"/>
          <w:sz w:val="24"/>
          <w:highlight w:val="none"/>
          <w:u w:val="none"/>
        </w:rPr>
      </w:pPr>
      <w:r>
        <w:rPr>
          <w:rFonts w:hint="eastAsia" w:ascii="仿宋_GB2312" w:hAnsi="仿宋_GB2312" w:eastAsia="仿宋_GB2312" w:cs="仿宋_GB2312"/>
          <w:color w:val="auto"/>
          <w:sz w:val="24"/>
          <w:highlight w:val="none"/>
          <w:u w:val="none"/>
        </w:rPr>
        <w:t>1、乙方保证自中标公示完毕之日起15天内提交完整开工资料，在收到甲方通知后2日内进场施工，否则甲方有权按本合同第十二条第2款逾期并网的约定承担违约责任。</w:t>
      </w:r>
    </w:p>
    <w:p w14:paraId="1CAD6ED5">
      <w:pPr>
        <w:spacing w:line="360" w:lineRule="auto"/>
        <w:ind w:firstLine="480" w:firstLineChars="200"/>
        <w:rPr>
          <w:rFonts w:hint="eastAsia" w:ascii="仿宋_GB2312" w:hAnsi="仿宋_GB2312" w:eastAsia="仿宋_GB2312" w:cs="仿宋_GB2312"/>
          <w:color w:val="auto"/>
          <w:sz w:val="24"/>
          <w:highlight w:val="none"/>
          <w:u w:val="none"/>
          <w:lang w:val="en-US" w:eastAsia="zh-CN"/>
        </w:rPr>
      </w:pPr>
      <w:r>
        <w:rPr>
          <w:rFonts w:hint="eastAsia" w:ascii="仿宋_GB2312" w:hAnsi="仿宋_GB2312" w:eastAsia="仿宋_GB2312" w:cs="仿宋_GB2312"/>
          <w:color w:val="auto"/>
          <w:sz w:val="24"/>
          <w:highlight w:val="none"/>
          <w:u w:val="none"/>
          <w:lang w:val="en-US" w:eastAsia="zh-CN"/>
        </w:rPr>
        <w:t>2、发包方如遇到以下情况可解除本合同:</w:t>
      </w:r>
    </w:p>
    <w:p w14:paraId="59EEDD15">
      <w:pPr>
        <w:spacing w:line="360" w:lineRule="auto"/>
        <w:ind w:firstLine="480" w:firstLineChars="200"/>
        <w:rPr>
          <w:rFonts w:hint="eastAsia" w:ascii="仿宋_GB2312" w:hAnsi="仿宋_GB2312" w:eastAsia="仿宋_GB2312" w:cs="仿宋_GB2312"/>
          <w:color w:val="auto"/>
          <w:sz w:val="24"/>
          <w:highlight w:val="none"/>
          <w:u w:val="none"/>
          <w:lang w:val="en-US" w:eastAsia="zh-CN"/>
        </w:rPr>
      </w:pPr>
      <w:r>
        <w:rPr>
          <w:rFonts w:hint="eastAsia" w:ascii="仿宋_GB2312" w:hAnsi="仿宋_GB2312" w:eastAsia="仿宋_GB2312" w:cs="仿宋_GB2312"/>
          <w:color w:val="auto"/>
          <w:sz w:val="24"/>
          <w:highlight w:val="none"/>
          <w:u w:val="none"/>
          <w:lang w:val="en-US" w:eastAsia="zh-CN"/>
        </w:rPr>
        <w:t>2.1、若本光伏项目用能方与我司解除《合同能源管理合同》，进而导致我司无法继续实施投资建设光伏项目，则本《光伏项目总承包合同》同步解除。在此情况下，承包方为参与该项目招采活动而产生的所有费用（包括但不限于交通费、咨询费、标书制作费、打印费、招标代理服务费等）需自行承担，且承包方应在接到解除合同通知后的7个工作日内完成人员及设备的撤离工作，并妥善处理好现场的清理与交接事宜，确保不对发包方造成任何额外的负担和损失。</w:t>
      </w:r>
    </w:p>
    <w:p w14:paraId="4C222BBC">
      <w:pPr>
        <w:spacing w:line="360" w:lineRule="auto"/>
        <w:ind w:firstLine="480" w:firstLineChars="20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highlight w:val="none"/>
          <w:u w:val="none"/>
          <w:lang w:val="en-US" w:eastAsia="zh-CN"/>
        </w:rPr>
        <w:t>2.2、承包人需在中标公示完毕后90天内提交完整开工资料并进场。若因承包人自身原因（如拖延办理必要手续、施工组织不力等）导致项目进度滞后，且滞后时间超过7个工作日内，已经对发包人的整体规划产生了实质性影响（例如导致发包方错过最佳并网时机、影响后续项目衔接等），发包人有权解除《光伏项目总承包合同》。承包人需自行承担相关损失，包括但不限于已投入的成本、因滞后产生的额外费用以及对发包方整体规划造成影响的赔偿责任等。同时，承包人应在接到解除合同通知后的7个工作日内无条件撤场，并做好已完工程的保护工作，确保现场安全和环境整洁。</w:t>
      </w:r>
      <w:permEnd w:id="50"/>
    </w:p>
    <w:p w14:paraId="6F15EC2A">
      <w:pPr>
        <w:spacing w:beforeLines="0" w:afterLines="0" w:line="360" w:lineRule="auto"/>
        <w:ind w:firstLine="480" w:firstLineChars="20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lang w:val="en-US" w:eastAsia="zh-CN"/>
        </w:rPr>
        <w:t>3</w:t>
      </w:r>
      <w:r>
        <w:rPr>
          <w:rFonts w:hint="eastAsia" w:ascii="仿宋_GB2312" w:hAnsi="仿宋_GB2312" w:eastAsia="仿宋_GB2312" w:cs="仿宋_GB2312"/>
          <w:color w:val="auto"/>
          <w:sz w:val="24"/>
          <w:szCs w:val="24"/>
          <w:highlight w:val="none"/>
          <w:u w:val="none"/>
        </w:rPr>
        <w:t>、本项目实行发电量考核制：承包单位应确保该项目发电量数据（即年发电保底电量发电时数，详见下表）按月统计、确认，以1年为周期考核，考核期限为光伏发电项目并网投运后连续2年运营期。因业主单位或供电部门计划停电或检修产生的电量损失、双方认定的不可抗力影响的发电量损失等不在考核范围内，属于免考核发电量。当光伏电站由于承包单位在安装时自身原因未达到相应年限考核发电量时，承包单位向发包单位补足本应发电量的差额部分（差额部分=全年考核发电时数差额×实际装机容量×本项目应收电价），差额部分从工程款质量保修金中扣除。</w:t>
      </w:r>
    </w:p>
    <w:p w14:paraId="6D91AD47">
      <w:pPr>
        <w:spacing w:beforeLines="0" w:afterLines="0" w:line="400" w:lineRule="exact"/>
        <w:ind w:firstLine="480" w:firstLineChars="20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项目运营期考核发电量数据表</w:t>
      </w:r>
    </w:p>
    <w:tbl>
      <w:tblPr>
        <w:tblStyle w:val="28"/>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24"/>
        <w:gridCol w:w="1737"/>
        <w:gridCol w:w="1824"/>
        <w:gridCol w:w="2237"/>
      </w:tblGrid>
      <w:tr w14:paraId="2A534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 w:hRule="atLeast"/>
          <w:jc w:val="center"/>
        </w:trPr>
        <w:tc>
          <w:tcPr>
            <w:tcW w:w="27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359B52A0">
            <w:pPr>
              <w:widowControl/>
              <w:spacing w:beforeLines="0" w:afterLines="0" w:line="400" w:lineRule="exact"/>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运维年限</w:t>
            </w:r>
          </w:p>
        </w:tc>
        <w:tc>
          <w:tcPr>
            <w:tcW w:w="17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285D66C8">
            <w:pPr>
              <w:widowControl/>
              <w:spacing w:beforeLines="0" w:afterLines="0" w:line="400" w:lineRule="exact"/>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第1年</w:t>
            </w:r>
          </w:p>
        </w:tc>
        <w:tc>
          <w:tcPr>
            <w:tcW w:w="18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6B79C8A7">
            <w:pPr>
              <w:widowControl/>
              <w:spacing w:beforeLines="0" w:afterLines="0" w:line="400" w:lineRule="exact"/>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第2年</w:t>
            </w:r>
          </w:p>
        </w:tc>
        <w:tc>
          <w:tcPr>
            <w:tcW w:w="22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87C8A9C">
            <w:pPr>
              <w:widowControl/>
              <w:spacing w:beforeLines="0" w:afterLines="0" w:line="400" w:lineRule="exact"/>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第3年及之后</w:t>
            </w:r>
          </w:p>
        </w:tc>
      </w:tr>
      <w:tr w14:paraId="5A61C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27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10E76E7F">
            <w:pPr>
              <w:widowControl/>
              <w:spacing w:beforeLines="0" w:afterLines="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全年考核发电时数</w:t>
            </w:r>
          </w:p>
        </w:tc>
        <w:tc>
          <w:tcPr>
            <w:tcW w:w="17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49E1D0A9">
            <w:pPr>
              <w:widowControl/>
              <w:spacing w:beforeLines="0" w:afterLines="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1055小时</w:t>
            </w:r>
          </w:p>
        </w:tc>
        <w:tc>
          <w:tcPr>
            <w:tcW w:w="18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6637F81B">
            <w:pPr>
              <w:widowControl/>
              <w:spacing w:beforeLines="0" w:afterLines="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1029小时</w:t>
            </w:r>
          </w:p>
        </w:tc>
        <w:tc>
          <w:tcPr>
            <w:tcW w:w="22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722870CA">
            <w:pPr>
              <w:widowControl/>
              <w:spacing w:beforeLines="0" w:afterLines="0"/>
              <w:jc w:val="center"/>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不考核</w:t>
            </w:r>
          </w:p>
        </w:tc>
      </w:tr>
    </w:tbl>
    <w:p w14:paraId="0CAEDF82">
      <w:pPr>
        <w:spacing w:line="360" w:lineRule="auto"/>
        <w:rPr>
          <w:rFonts w:hint="default" w:ascii="仿宋_GB2312" w:eastAsia="仿宋_GB2312"/>
          <w:b/>
          <w:color w:val="auto"/>
          <w:sz w:val="24"/>
          <w:highlight w:val="none"/>
        </w:rPr>
      </w:pPr>
    </w:p>
    <w:p w14:paraId="6997B5AE">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十七、合同附件</w:t>
      </w:r>
    </w:p>
    <w:p w14:paraId="35BCC6BD">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eastAsia="仿宋_GB2312"/>
          <w:color w:val="auto"/>
          <w:highlight w:val="none"/>
        </w:rPr>
      </w:pPr>
      <w:r>
        <w:rPr>
          <w:rFonts w:hint="eastAsia" w:ascii="仿宋_GB2312" w:eastAsia="仿宋_GB2312"/>
          <w:color w:val="auto"/>
          <w:sz w:val="24"/>
          <w:highlight w:val="none"/>
        </w:rPr>
        <w:t>1．联合体共同投标协议；</w:t>
      </w:r>
    </w:p>
    <w:p w14:paraId="37783833">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eastAsia="仿宋_GB2312"/>
          <w:color w:val="auto"/>
          <w:highlight w:val="none"/>
        </w:rPr>
      </w:pPr>
      <w:r>
        <w:rPr>
          <w:rFonts w:hint="eastAsia" w:ascii="仿宋_GB2312" w:eastAsia="仿宋_GB2312"/>
          <w:color w:val="auto"/>
          <w:sz w:val="24"/>
          <w:highlight w:val="none"/>
        </w:rPr>
        <w:t>2．安全协议书；</w:t>
      </w:r>
    </w:p>
    <w:p w14:paraId="0D50A754">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eastAsia" w:ascii="仿宋_GB2312" w:eastAsia="仿宋_GB2312"/>
          <w:color w:val="auto"/>
          <w:sz w:val="24"/>
          <w:highlight w:val="none"/>
          <w:lang w:eastAsia="zh-CN"/>
        </w:rPr>
      </w:pPr>
      <w:r>
        <w:rPr>
          <w:rFonts w:hint="eastAsia" w:ascii="仿宋_GB2312" w:eastAsia="仿宋_GB2312"/>
          <w:color w:val="auto"/>
          <w:sz w:val="24"/>
          <w:highlight w:val="none"/>
        </w:rPr>
        <w:t>3．廉洁协议</w:t>
      </w:r>
      <w:r>
        <w:rPr>
          <w:rFonts w:hint="eastAsia" w:ascii="仿宋_GB2312" w:eastAsia="仿宋_GB2312"/>
          <w:color w:val="auto"/>
          <w:sz w:val="24"/>
          <w:highlight w:val="none"/>
          <w:lang w:eastAsia="zh-CN"/>
        </w:rPr>
        <w:t>；</w:t>
      </w:r>
    </w:p>
    <w:p w14:paraId="6078C4E4">
      <w:pPr>
        <w:pStyle w:val="39"/>
        <w:rPr>
          <w:rFonts w:hint="default"/>
          <w:color w:val="auto"/>
          <w:highlight w:val="none"/>
          <w:lang w:val="en-US" w:eastAsia="zh-CN"/>
        </w:rPr>
      </w:pP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阳光合作协议；</w:t>
      </w:r>
    </w:p>
    <w:p w14:paraId="49455A30">
      <w:pPr>
        <w:pStyle w:val="36"/>
        <w:keepNext w:val="0"/>
        <w:keepLines w:val="0"/>
        <w:pageBreakBefore w:val="0"/>
        <w:widowControl w:val="0"/>
        <w:kinsoku/>
        <w:wordWrap/>
        <w:overflowPunct/>
        <w:topLinePunct w:val="0"/>
        <w:autoSpaceDE/>
        <w:autoSpaceDN/>
        <w:adjustRightInd/>
        <w:snapToGrid/>
        <w:spacing w:beforeLines="0"/>
        <w:textAlignment w:val="auto"/>
        <w:rPr>
          <w:rFonts w:hint="default"/>
          <w:color w:val="auto"/>
          <w:highlight w:val="none"/>
          <w:lang w:val="en-US" w:eastAsia="zh-CN"/>
        </w:rPr>
      </w:pPr>
      <w:r>
        <w:rPr>
          <w:rFonts w:hint="eastAsia" w:ascii="仿宋_GB2312" w:eastAsia="仿宋_GB2312"/>
          <w:color w:val="auto"/>
          <w:sz w:val="24"/>
          <w:highlight w:val="none"/>
          <w:lang w:val="en-US" w:eastAsia="zh-CN"/>
        </w:rPr>
        <w:t>5</w:t>
      </w: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中标（成交）通知书</w:t>
      </w:r>
    </w:p>
    <w:p w14:paraId="66AA5501">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6</w:t>
      </w:r>
      <w:r>
        <w:rPr>
          <w:rFonts w:hint="eastAsia" w:ascii="仿宋_GB2312" w:eastAsia="仿宋_GB2312"/>
          <w:color w:val="auto"/>
          <w:sz w:val="24"/>
          <w:highlight w:val="none"/>
        </w:rPr>
        <w:t>．承包商违规行为处罚条例；</w:t>
      </w:r>
    </w:p>
    <w:p w14:paraId="128BB7EE">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7</w:t>
      </w:r>
      <w:r>
        <w:rPr>
          <w:rFonts w:hint="eastAsia" w:ascii="仿宋_GB2312" w:eastAsia="仿宋_GB2312"/>
          <w:color w:val="auto"/>
          <w:sz w:val="24"/>
          <w:highlight w:val="none"/>
        </w:rPr>
        <w:t>．</w:t>
      </w:r>
      <w:r>
        <w:rPr>
          <w:rFonts w:hint="eastAsia" w:ascii="仿宋_GB2312" w:eastAsia="仿宋_GB2312"/>
          <w:color w:val="auto"/>
          <w:sz w:val="24"/>
          <w:highlight w:val="none"/>
          <w:lang w:val="en-US" w:eastAsia="zh-CN"/>
        </w:rPr>
        <w:t>光伏电站发电量保证书；</w:t>
      </w:r>
    </w:p>
    <w:p w14:paraId="171F2A9E">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eastAsia"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8. 不拖欠农民工工资承诺书；</w:t>
      </w:r>
    </w:p>
    <w:p w14:paraId="6D022064">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9. 实施本项目的有关人员资料表；</w:t>
      </w:r>
    </w:p>
    <w:p w14:paraId="0DB3B1B3">
      <w:pPr>
        <w:keepNext w:val="0"/>
        <w:keepLines w:val="0"/>
        <w:pageBreakBefore w:val="0"/>
        <w:widowControl w:val="0"/>
        <w:kinsoku/>
        <w:wordWrap/>
        <w:overflowPunct/>
        <w:topLinePunct w:val="0"/>
        <w:autoSpaceDE/>
        <w:autoSpaceDN/>
        <w:adjustRightInd/>
        <w:snapToGrid/>
        <w:spacing w:line="360" w:lineRule="auto"/>
        <w:ind w:firstLine="480" w:firstLineChars="200"/>
        <w:textAlignment w:val="auto"/>
        <w:rPr>
          <w:rFonts w:hint="default"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10.</w:t>
      </w:r>
      <w:r>
        <w:rPr>
          <w:rFonts w:hint="default" w:ascii="仿宋_GB2312" w:eastAsia="仿宋_GB2312"/>
          <w:color w:val="auto"/>
          <w:sz w:val="24"/>
          <w:highlight w:val="none"/>
          <w:lang w:val="en-US" w:eastAsia="zh-CN"/>
        </w:rPr>
        <w:t xml:space="preserve"> 其他。</w:t>
      </w:r>
    </w:p>
    <w:p w14:paraId="5971B37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该等附件是本合同不可分割的组成部分，与本合同具有同等法律效力。若附件内容与本合同内容不一致的，以本合同内容为准。</w:t>
      </w:r>
    </w:p>
    <w:p w14:paraId="12C9E15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（以下无正文）</w:t>
      </w:r>
    </w:p>
    <w:p w14:paraId="0E0EC3EE">
      <w:pPr>
        <w:pStyle w:val="36"/>
        <w:spacing w:before="156"/>
        <w:ind w:firstLine="480"/>
        <w:rPr>
          <w:rFonts w:hint="default" w:ascii="仿宋_GB2312" w:eastAsia="仿宋_GB2312"/>
          <w:color w:val="auto"/>
          <w:highlight w:val="none"/>
        </w:rPr>
      </w:pPr>
      <w:r>
        <w:rPr>
          <w:color w:val="auto"/>
          <w:highlight w:val="none"/>
        </w:rPr>
        <w:br w:type="page"/>
      </w:r>
      <w:r>
        <w:rPr>
          <w:rFonts w:hint="eastAsia" w:ascii="仿宋_GB2312" w:eastAsia="仿宋_GB2312"/>
          <w:color w:val="auto"/>
          <w:highlight w:val="none"/>
        </w:rPr>
        <w:t>（签署页）</w:t>
      </w:r>
    </w:p>
    <w:p w14:paraId="680A8542">
      <w:pPr>
        <w:rPr>
          <w:color w:val="auto"/>
          <w:highlight w:val="none"/>
        </w:rPr>
      </w:pPr>
    </w:p>
    <w:tbl>
      <w:tblPr>
        <w:tblStyle w:val="28"/>
        <w:tblpPr w:leftFromText="180" w:rightFromText="180" w:vertAnchor="text" w:horzAnchor="page" w:tblpX="1740" w:tblpY="119"/>
        <w:tblW w:w="9145" w:type="dxa"/>
        <w:tblInd w:w="0" w:type="dxa"/>
        <w:tblLayout w:type="fixed"/>
        <w:tblCellMar>
          <w:top w:w="0" w:type="dxa"/>
          <w:left w:w="108" w:type="dxa"/>
          <w:bottom w:w="0" w:type="dxa"/>
          <w:right w:w="108" w:type="dxa"/>
        </w:tblCellMar>
      </w:tblPr>
      <w:tblGrid>
        <w:gridCol w:w="3054"/>
        <w:gridCol w:w="3025"/>
        <w:gridCol w:w="3066"/>
      </w:tblGrid>
      <w:tr w14:paraId="4F9E87EC">
        <w:tblPrEx>
          <w:tblCellMar>
            <w:top w:w="0" w:type="dxa"/>
            <w:left w:w="108" w:type="dxa"/>
            <w:bottom w:w="0" w:type="dxa"/>
            <w:right w:w="108" w:type="dxa"/>
          </w:tblCellMar>
        </w:tblPrEx>
        <w:trPr>
          <w:trHeight w:val="2208" w:hRule="atLeast"/>
        </w:trPr>
        <w:tc>
          <w:tcPr>
            <w:tcW w:w="3054" w:type="dxa"/>
            <w:shd w:val="clear" w:color="auto" w:fill="auto"/>
          </w:tcPr>
          <w:p w14:paraId="1D5C5ADD">
            <w:pPr>
              <w:pStyle w:val="88"/>
              <w:spacing w:after="50" w:line="360" w:lineRule="auto"/>
              <w:rPr>
                <w:rFonts w:hint="eastAsia" w:ascii="仿宋_GB2312" w:hAnsi="宋体" w:eastAsia="仿宋_GB2312"/>
                <w:color w:val="auto"/>
                <w:szCs w:val="24"/>
                <w:highlight w:val="none"/>
                <w:u w:val="none"/>
              </w:rPr>
            </w:pPr>
            <w:r>
              <w:rPr>
                <w:rFonts w:hint="eastAsia" w:ascii="仿宋_GB2312" w:eastAsia="仿宋_GB2312"/>
                <w:color w:val="auto"/>
                <w:highlight w:val="none"/>
                <w:u w:val="none"/>
              </w:rPr>
              <w:t>甲方</w:t>
            </w:r>
            <w:r>
              <w:rPr>
                <w:rFonts w:hint="eastAsia" w:ascii="仿宋_GB2312" w:hAnsi="宋体" w:eastAsia="仿宋_GB2312"/>
                <w:color w:val="auto"/>
                <w:szCs w:val="24"/>
                <w:highlight w:val="none"/>
                <w:u w:val="none"/>
              </w:rPr>
              <w:t>：（公章）</w:t>
            </w:r>
          </w:p>
          <w:p w14:paraId="5F201C8B">
            <w:pPr>
              <w:pStyle w:val="88"/>
              <w:spacing w:after="50" w:line="360" w:lineRule="auto"/>
              <w:rPr>
                <w:rFonts w:hint="eastAsia" w:ascii="仿宋_GB2312" w:hAnsi="宋体" w:eastAsia="仿宋_GB2312"/>
                <w:color w:val="auto"/>
                <w:szCs w:val="24"/>
                <w:highlight w:val="none"/>
                <w:u w:val="none"/>
                <w:lang w:eastAsia="zh-CN"/>
              </w:rPr>
            </w:pPr>
            <w:r>
              <w:rPr>
                <w:rFonts w:hint="eastAsia" w:ascii="仿宋_GB2312" w:hAnsi="宋体" w:eastAsia="仿宋_GB2312"/>
                <w:color w:val="auto"/>
                <w:szCs w:val="24"/>
                <w:highlight w:val="none"/>
                <w:u w:val="none"/>
                <w:lang w:eastAsia="zh-CN"/>
              </w:rPr>
              <w:t>东莞市新锋新能源有限公司</w:t>
            </w:r>
          </w:p>
        </w:tc>
        <w:tc>
          <w:tcPr>
            <w:tcW w:w="3025" w:type="dxa"/>
            <w:shd w:val="clear" w:color="auto" w:fill="auto"/>
          </w:tcPr>
          <w:p w14:paraId="62FDAAB9">
            <w:pPr>
              <w:pStyle w:val="88"/>
              <w:spacing w:after="50" w:line="360" w:lineRule="auto"/>
              <w:rPr>
                <w:rFonts w:hint="eastAsia" w:ascii="仿宋_GB2312" w:hAnsi="宋体" w:eastAsia="仿宋_GB2312"/>
                <w:color w:val="auto"/>
                <w:szCs w:val="24"/>
                <w:highlight w:val="none"/>
                <w:u w:val="none"/>
              </w:rPr>
            </w:pPr>
            <w:r>
              <w:rPr>
                <w:rFonts w:hint="eastAsia" w:ascii="仿宋_GB2312" w:eastAsia="仿宋_GB2312"/>
                <w:color w:val="auto"/>
                <w:highlight w:val="none"/>
                <w:u w:val="none"/>
              </w:rPr>
              <w:t>乙方</w:t>
            </w:r>
            <w:r>
              <w:rPr>
                <w:rFonts w:hint="eastAsia" w:ascii="仿宋_GB2312" w:hAnsi="宋体" w:eastAsia="仿宋_GB2312"/>
                <w:color w:val="auto"/>
                <w:szCs w:val="24"/>
                <w:highlight w:val="none"/>
                <w:u w:val="none"/>
              </w:rPr>
              <w:t>（主）：（公章）</w:t>
            </w:r>
          </w:p>
          <w:p w14:paraId="4B0BADB0">
            <w:pPr>
              <w:pStyle w:val="88"/>
              <w:spacing w:after="50" w:line="360" w:lineRule="auto"/>
              <w:rPr>
                <w:rFonts w:hint="eastAsia" w:ascii="仿宋_GB2312" w:hAnsi="宋体" w:eastAsia="仿宋_GB2312"/>
                <w:color w:val="auto"/>
                <w:szCs w:val="24"/>
                <w:highlight w:val="none"/>
                <w:u w:val="none"/>
              </w:rPr>
            </w:pPr>
            <w:permStart w:id="51" w:edGrp="everyone"/>
            <w:r>
              <w:rPr>
                <w:rFonts w:hint="eastAsia" w:ascii="仿宋_GB2312" w:hAnsi="宋体" w:eastAsia="仿宋_GB2312"/>
                <w:color w:val="auto"/>
                <w:szCs w:val="24"/>
                <w:highlight w:val="none"/>
                <w:u w:val="none"/>
                <w:lang w:eastAsia="zh-CN"/>
              </w:rPr>
              <w:fldChar w:fldCharType="begin"/>
            </w:r>
            <w:r>
              <w:rPr>
                <w:rFonts w:hint="eastAsia" w:ascii="仿宋_GB2312" w:hAnsi="宋体" w:eastAsia="仿宋_GB2312"/>
                <w:color w:val="auto"/>
                <w:szCs w:val="24"/>
                <w:highlight w:val="none"/>
                <w:u w:val="none"/>
                <w:lang w:eastAsia="zh-CN"/>
              </w:rPr>
              <w:instrText xml:space="preserve"> REF 乙方（主） \h </w:instrText>
            </w:r>
            <w:r>
              <w:rPr>
                <w:rFonts w:hint="eastAsia" w:ascii="仿宋_GB2312" w:hAnsi="宋体" w:eastAsia="仿宋_GB2312"/>
                <w:color w:val="auto"/>
                <w:szCs w:val="24"/>
                <w:highlight w:val="none"/>
                <w:u w:val="none"/>
                <w:lang w:eastAsia="zh-CN"/>
              </w:rPr>
              <w:fldChar w:fldCharType="separate"/>
            </w:r>
            <w:r>
              <w:rPr>
                <w:rFonts w:hint="eastAsia" w:ascii="仿宋_GB2312" w:eastAsia="仿宋_GB2312"/>
                <w:color w:val="auto"/>
                <w:sz w:val="24"/>
                <w:highlight w:val="none"/>
                <w:u w:val="none"/>
              </w:rPr>
              <w:t>XX有限公司</w:t>
            </w:r>
            <w:r>
              <w:rPr>
                <w:rFonts w:hint="eastAsia" w:ascii="仿宋_GB2312" w:hAnsi="宋体" w:eastAsia="仿宋_GB2312"/>
                <w:color w:val="auto"/>
                <w:szCs w:val="24"/>
                <w:highlight w:val="none"/>
                <w:u w:val="none"/>
                <w:lang w:eastAsia="zh-CN"/>
              </w:rPr>
              <w:fldChar w:fldCharType="end"/>
            </w:r>
            <w:permEnd w:id="51"/>
          </w:p>
          <w:p w14:paraId="260E3CAB">
            <w:pPr>
              <w:pStyle w:val="88"/>
              <w:spacing w:after="50" w:line="360" w:lineRule="auto"/>
              <w:rPr>
                <w:rFonts w:hint="eastAsia" w:ascii="仿宋_GB2312" w:hAnsi="宋体" w:eastAsia="仿宋_GB2312"/>
                <w:color w:val="auto"/>
                <w:szCs w:val="24"/>
                <w:highlight w:val="none"/>
                <w:u w:val="none"/>
              </w:rPr>
            </w:pPr>
          </w:p>
        </w:tc>
        <w:tc>
          <w:tcPr>
            <w:tcW w:w="3066" w:type="dxa"/>
            <w:shd w:val="clear" w:color="auto" w:fill="auto"/>
          </w:tcPr>
          <w:p w14:paraId="6F6213F8">
            <w:pPr>
              <w:pStyle w:val="88"/>
              <w:spacing w:after="50" w:line="360" w:lineRule="auto"/>
              <w:rPr>
                <w:rFonts w:hint="eastAsia" w:ascii="仿宋_GB2312" w:hAnsi="宋体" w:eastAsia="仿宋_GB2312"/>
                <w:color w:val="auto"/>
                <w:szCs w:val="24"/>
                <w:highlight w:val="none"/>
                <w:u w:val="none"/>
              </w:rPr>
            </w:pPr>
            <w:r>
              <w:rPr>
                <w:rFonts w:hint="eastAsia" w:ascii="仿宋_GB2312" w:eastAsia="仿宋_GB2312"/>
                <w:color w:val="auto"/>
                <w:highlight w:val="none"/>
                <w:u w:val="none"/>
              </w:rPr>
              <w:t>乙方</w:t>
            </w:r>
            <w:r>
              <w:rPr>
                <w:rFonts w:hint="eastAsia" w:ascii="仿宋_GB2312" w:hAnsi="宋体" w:eastAsia="仿宋_GB2312"/>
                <w:color w:val="auto"/>
                <w:szCs w:val="24"/>
                <w:highlight w:val="none"/>
                <w:u w:val="none"/>
              </w:rPr>
              <w:t>（成）：（公章）</w:t>
            </w:r>
          </w:p>
          <w:p w14:paraId="25F3E56A">
            <w:pPr>
              <w:pStyle w:val="88"/>
              <w:spacing w:after="50" w:line="360" w:lineRule="auto"/>
              <w:rPr>
                <w:rFonts w:hint="eastAsia" w:ascii="仿宋_GB2312" w:hAnsi="宋体" w:eastAsia="仿宋_GB2312"/>
                <w:color w:val="auto"/>
                <w:szCs w:val="24"/>
                <w:highlight w:val="none"/>
                <w:u w:val="none"/>
              </w:rPr>
            </w:pPr>
            <w:permStart w:id="52" w:edGrp="everyone"/>
            <w:r>
              <w:rPr>
                <w:rFonts w:hint="eastAsia" w:ascii="仿宋_GB2312" w:hAnsi="宋体" w:eastAsia="仿宋_GB2312"/>
                <w:color w:val="auto"/>
                <w:szCs w:val="24"/>
                <w:highlight w:val="none"/>
                <w:u w:val="none"/>
                <w:lang w:eastAsia="zh-CN"/>
              </w:rPr>
              <w:fldChar w:fldCharType="begin"/>
            </w:r>
            <w:r>
              <w:rPr>
                <w:rFonts w:hint="eastAsia" w:ascii="仿宋_GB2312" w:hAnsi="宋体" w:eastAsia="仿宋_GB2312"/>
                <w:color w:val="auto"/>
                <w:szCs w:val="24"/>
                <w:highlight w:val="none"/>
                <w:u w:val="none"/>
                <w:lang w:eastAsia="zh-CN"/>
              </w:rPr>
              <w:instrText xml:space="preserve"> REF 乙方（成） \h </w:instrText>
            </w:r>
            <w:r>
              <w:rPr>
                <w:rFonts w:hint="eastAsia" w:ascii="仿宋_GB2312" w:hAnsi="宋体" w:eastAsia="仿宋_GB2312"/>
                <w:color w:val="auto"/>
                <w:szCs w:val="24"/>
                <w:highlight w:val="none"/>
                <w:u w:val="none"/>
                <w:lang w:eastAsia="zh-CN"/>
              </w:rPr>
              <w:fldChar w:fldCharType="separate"/>
            </w:r>
            <w:r>
              <w:rPr>
                <w:rFonts w:hint="eastAsia" w:ascii="仿宋_GB2312" w:eastAsia="仿宋_GB2312"/>
                <w:color w:val="auto"/>
                <w:sz w:val="24"/>
                <w:highlight w:val="none"/>
                <w:u w:val="none"/>
              </w:rPr>
              <w:t>XX有限公司</w:t>
            </w:r>
            <w:r>
              <w:rPr>
                <w:rFonts w:hint="eastAsia" w:ascii="仿宋_GB2312" w:hAnsi="宋体" w:eastAsia="仿宋_GB2312"/>
                <w:color w:val="auto"/>
                <w:szCs w:val="24"/>
                <w:highlight w:val="none"/>
                <w:u w:val="none"/>
                <w:lang w:eastAsia="zh-CN"/>
              </w:rPr>
              <w:fldChar w:fldCharType="end"/>
            </w:r>
            <w:permEnd w:id="52"/>
          </w:p>
        </w:tc>
      </w:tr>
      <w:tr w14:paraId="62724B11">
        <w:tblPrEx>
          <w:tblCellMar>
            <w:top w:w="0" w:type="dxa"/>
            <w:left w:w="108" w:type="dxa"/>
            <w:bottom w:w="0" w:type="dxa"/>
            <w:right w:w="108" w:type="dxa"/>
          </w:tblCellMar>
        </w:tblPrEx>
        <w:trPr>
          <w:trHeight w:val="1580" w:hRule="atLeast"/>
        </w:trPr>
        <w:tc>
          <w:tcPr>
            <w:tcW w:w="3054" w:type="dxa"/>
            <w:shd w:val="clear" w:color="auto" w:fill="auto"/>
          </w:tcPr>
          <w:p w14:paraId="60EDF3F4">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法定代表人（或授权代表）：（签字）</w:t>
            </w:r>
          </w:p>
          <w:p w14:paraId="5DBCA081">
            <w:pPr>
              <w:pStyle w:val="88"/>
              <w:spacing w:after="50" w:line="360" w:lineRule="auto"/>
              <w:rPr>
                <w:rFonts w:hint="eastAsia" w:ascii="仿宋_GB2312" w:hAnsi="宋体" w:eastAsia="仿宋_GB2312"/>
                <w:color w:val="auto"/>
                <w:szCs w:val="24"/>
                <w:highlight w:val="none"/>
              </w:rPr>
            </w:pPr>
          </w:p>
        </w:tc>
        <w:tc>
          <w:tcPr>
            <w:tcW w:w="3025" w:type="dxa"/>
            <w:shd w:val="clear" w:color="auto" w:fill="auto"/>
          </w:tcPr>
          <w:p w14:paraId="197ADAE2">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法定代表人（或授权代表）：（签字）</w:t>
            </w:r>
          </w:p>
          <w:p w14:paraId="777BFD0B">
            <w:pPr>
              <w:pStyle w:val="88"/>
              <w:spacing w:after="50" w:line="360" w:lineRule="auto"/>
              <w:rPr>
                <w:rFonts w:hint="eastAsia" w:ascii="仿宋_GB2312" w:hAnsi="宋体" w:eastAsia="仿宋_GB2312"/>
                <w:color w:val="auto"/>
                <w:szCs w:val="24"/>
                <w:highlight w:val="none"/>
              </w:rPr>
            </w:pPr>
          </w:p>
          <w:p w14:paraId="59532791">
            <w:pPr>
              <w:pStyle w:val="88"/>
              <w:spacing w:after="50" w:line="360" w:lineRule="auto"/>
              <w:rPr>
                <w:rFonts w:hint="eastAsia" w:ascii="仿宋_GB2312" w:hAnsi="宋体" w:eastAsia="仿宋_GB2312"/>
                <w:color w:val="auto"/>
                <w:szCs w:val="24"/>
                <w:highlight w:val="none"/>
              </w:rPr>
            </w:pPr>
          </w:p>
        </w:tc>
        <w:tc>
          <w:tcPr>
            <w:tcW w:w="3066" w:type="dxa"/>
            <w:shd w:val="clear" w:color="auto" w:fill="auto"/>
          </w:tcPr>
          <w:p w14:paraId="38047C4E">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法定代表人（或授权代表）：（签字）</w:t>
            </w:r>
          </w:p>
          <w:p w14:paraId="0DD51F8D">
            <w:pPr>
              <w:pStyle w:val="88"/>
              <w:spacing w:after="50" w:line="360" w:lineRule="auto"/>
              <w:rPr>
                <w:rFonts w:hint="eastAsia" w:ascii="仿宋_GB2312" w:hAnsi="宋体" w:eastAsia="仿宋_GB2312"/>
                <w:color w:val="auto"/>
                <w:szCs w:val="24"/>
                <w:highlight w:val="none"/>
              </w:rPr>
            </w:pPr>
          </w:p>
          <w:p w14:paraId="45E1018C">
            <w:pPr>
              <w:pStyle w:val="88"/>
              <w:spacing w:after="50" w:line="360" w:lineRule="auto"/>
              <w:rPr>
                <w:rFonts w:hint="eastAsia" w:ascii="仿宋_GB2312" w:hAnsi="宋体" w:eastAsia="仿宋_GB2312"/>
                <w:color w:val="auto"/>
                <w:szCs w:val="24"/>
                <w:highlight w:val="none"/>
              </w:rPr>
            </w:pPr>
          </w:p>
        </w:tc>
      </w:tr>
      <w:tr w14:paraId="41CDABB2">
        <w:tblPrEx>
          <w:tblCellMar>
            <w:top w:w="0" w:type="dxa"/>
            <w:left w:w="108" w:type="dxa"/>
            <w:bottom w:w="0" w:type="dxa"/>
            <w:right w:w="108" w:type="dxa"/>
          </w:tblCellMar>
        </w:tblPrEx>
        <w:tc>
          <w:tcPr>
            <w:tcW w:w="3054" w:type="dxa"/>
            <w:shd w:val="clear" w:color="auto" w:fill="auto"/>
          </w:tcPr>
          <w:p w14:paraId="3258E352">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统一社会信用代码：</w:t>
            </w:r>
          </w:p>
          <w:p w14:paraId="18DDDA9C">
            <w:pPr>
              <w:pStyle w:val="88"/>
              <w:spacing w:after="50" w:line="360" w:lineRule="auto"/>
              <w:rPr>
                <w:rFonts w:hint="eastAsia" w:ascii="仿宋_GB2312" w:hAnsi="宋体" w:eastAsia="仿宋_GB2312"/>
                <w:color w:val="auto"/>
                <w:kern w:val="0"/>
                <w:szCs w:val="24"/>
                <w:highlight w:val="none"/>
                <w:u w:val="single"/>
              </w:rPr>
            </w:pPr>
            <w:r>
              <w:rPr>
                <w:rFonts w:hint="eastAsia" w:ascii="仿宋_GB2312" w:hAnsi="宋体" w:eastAsia="仿宋_GB2312"/>
                <w:color w:val="auto"/>
                <w:kern w:val="0"/>
                <w:szCs w:val="24"/>
                <w:highlight w:val="none"/>
                <w:u w:val="single"/>
              </w:rPr>
              <w:t>91441900MAA4GDFY5J</w:t>
            </w:r>
          </w:p>
          <w:p w14:paraId="382AF82B">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地址：</w:t>
            </w:r>
            <w:r>
              <w:rPr>
                <w:rFonts w:hint="eastAsia" w:ascii="仿宋_GB2312" w:hAnsi="宋体" w:eastAsia="仿宋_GB2312"/>
                <w:color w:val="auto"/>
                <w:kern w:val="0"/>
                <w:szCs w:val="24"/>
                <w:highlight w:val="none"/>
                <w:u w:val="single"/>
              </w:rPr>
              <w:t>广东省东莞市松山湖园区新城路5号1栋601室</w:t>
            </w:r>
          </w:p>
          <w:p w14:paraId="1B37DB9F">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邮政编码：</w:t>
            </w:r>
            <w:r>
              <w:rPr>
                <w:rFonts w:hint="eastAsia" w:ascii="仿宋_GB2312" w:hAnsi="宋体" w:eastAsia="仿宋_GB2312"/>
                <w:color w:val="auto"/>
                <w:kern w:val="0"/>
                <w:szCs w:val="24"/>
                <w:highlight w:val="none"/>
                <w:u w:val="single"/>
              </w:rPr>
              <w:t>523808</w:t>
            </w:r>
          </w:p>
          <w:p w14:paraId="1DA169D6">
            <w:pPr>
              <w:pStyle w:val="88"/>
              <w:spacing w:after="50" w:line="360" w:lineRule="auto"/>
              <w:rPr>
                <w:rFonts w:hint="default" w:ascii="仿宋_GB2312" w:eastAsia="仿宋_GB2312"/>
                <w:color w:val="auto"/>
                <w:kern w:val="0"/>
                <w:szCs w:val="24"/>
                <w:highlight w:val="none"/>
                <w:u w:val="single"/>
              </w:rPr>
            </w:pPr>
            <w:r>
              <w:rPr>
                <w:rFonts w:hint="eastAsia" w:ascii="仿宋_GB2312" w:hAnsi="宋体" w:eastAsia="仿宋_GB2312"/>
                <w:color w:val="auto"/>
                <w:szCs w:val="24"/>
                <w:highlight w:val="none"/>
              </w:rPr>
              <w:t>法定代表人：</w:t>
            </w:r>
            <w:r>
              <w:rPr>
                <w:rFonts w:hint="eastAsia" w:ascii="仿宋_GB2312" w:eastAsia="仿宋_GB2312"/>
                <w:color w:val="auto"/>
                <w:kern w:val="0"/>
                <w:szCs w:val="24"/>
                <w:highlight w:val="none"/>
                <w:u w:val="single"/>
              </w:rPr>
              <w:t>梁志均</w:t>
            </w:r>
          </w:p>
          <w:p w14:paraId="70EB5C99">
            <w:pPr>
              <w:pStyle w:val="88"/>
              <w:spacing w:after="50" w:line="360" w:lineRule="auto"/>
              <w:rPr>
                <w:rFonts w:hint="eastAsia" w:ascii="仿宋_GB2312" w:eastAsia="仿宋_GB2312"/>
                <w:color w:val="auto"/>
                <w:kern w:val="0"/>
                <w:szCs w:val="24"/>
                <w:highlight w:val="none"/>
                <w:u w:val="single"/>
                <w:lang w:eastAsia="zh-CN"/>
              </w:rPr>
            </w:pPr>
            <w:r>
              <w:rPr>
                <w:rFonts w:hint="default" w:ascii="仿宋_GB2312" w:eastAsia="仿宋_GB2312"/>
                <w:color w:val="auto"/>
                <w:kern w:val="0"/>
                <w:szCs w:val="24"/>
                <w:highlight w:val="none"/>
              </w:rPr>
              <w:t>委托代理人：</w:t>
            </w:r>
            <w:r>
              <w:rPr>
                <w:rFonts w:hint="eastAsia" w:ascii="仿宋_GB2312" w:eastAsia="仿宋_GB2312"/>
                <w:color w:val="auto"/>
                <w:kern w:val="0"/>
                <w:szCs w:val="24"/>
                <w:highlight w:val="none"/>
                <w:u w:val="single"/>
                <w:lang w:val="en-US" w:eastAsia="zh-CN"/>
              </w:rPr>
              <w:t>/</w:t>
            </w:r>
          </w:p>
          <w:p w14:paraId="6DD4AE59">
            <w:pPr>
              <w:pStyle w:val="88"/>
              <w:spacing w:after="50" w:line="360" w:lineRule="auto"/>
              <w:rPr>
                <w:rFonts w:hint="default" w:ascii="仿宋_GB2312" w:eastAsia="仿宋_GB2312"/>
                <w:color w:val="auto"/>
                <w:kern w:val="0"/>
                <w:szCs w:val="24"/>
                <w:highlight w:val="none"/>
                <w:u w:val="single"/>
              </w:rPr>
            </w:pPr>
            <w:r>
              <w:rPr>
                <w:rFonts w:hint="eastAsia" w:ascii="仿宋_GB2312" w:hAnsi="宋体" w:eastAsia="仿宋_GB2312"/>
                <w:color w:val="auto"/>
                <w:szCs w:val="24"/>
                <w:highlight w:val="none"/>
              </w:rPr>
              <w:t>电话：</w:t>
            </w:r>
            <w:r>
              <w:rPr>
                <w:rFonts w:hint="eastAsia" w:ascii="仿宋_GB2312" w:eastAsia="仿宋_GB2312"/>
                <w:color w:val="auto"/>
                <w:kern w:val="0"/>
                <w:szCs w:val="24"/>
                <w:highlight w:val="none"/>
                <w:u w:val="single"/>
              </w:rPr>
              <w:t>0769-22899838</w:t>
            </w:r>
          </w:p>
          <w:p w14:paraId="586BCE82">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开户银行：</w:t>
            </w:r>
            <w:r>
              <w:rPr>
                <w:rFonts w:hint="eastAsia" w:ascii="仿宋_GB2312" w:eastAsia="仿宋_GB2312"/>
                <w:color w:val="auto"/>
                <w:kern w:val="0"/>
                <w:szCs w:val="24"/>
                <w:highlight w:val="none"/>
                <w:u w:val="single"/>
              </w:rPr>
              <w:t>中信银行东莞大朗支行</w:t>
            </w:r>
          </w:p>
          <w:p w14:paraId="3E9DBFD9">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账号：</w:t>
            </w:r>
            <w:r>
              <w:rPr>
                <w:rFonts w:hint="eastAsia" w:ascii="仿宋_GB2312" w:eastAsia="仿宋_GB2312"/>
                <w:color w:val="auto"/>
                <w:kern w:val="0"/>
                <w:szCs w:val="24"/>
                <w:highlight w:val="none"/>
                <w:u w:val="single"/>
              </w:rPr>
              <w:t>8110901012501383079</w:t>
            </w:r>
          </w:p>
        </w:tc>
        <w:tc>
          <w:tcPr>
            <w:tcW w:w="3025" w:type="dxa"/>
            <w:shd w:val="clear" w:color="auto" w:fill="auto"/>
          </w:tcPr>
          <w:p w14:paraId="181D2524">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统一社会信用代码：</w:t>
            </w:r>
          </w:p>
          <w:p w14:paraId="3D70A02E">
            <w:pPr>
              <w:pStyle w:val="88"/>
              <w:spacing w:after="50" w:line="360" w:lineRule="auto"/>
              <w:rPr>
                <w:rFonts w:hint="eastAsia" w:ascii="仿宋_GB2312" w:hAnsi="宋体" w:eastAsia="仿宋_GB2312"/>
                <w:color w:val="auto"/>
                <w:kern w:val="0"/>
                <w:szCs w:val="24"/>
                <w:highlight w:val="none"/>
                <w:u w:val="single"/>
              </w:rPr>
            </w:pPr>
            <w:r>
              <w:rPr>
                <w:rFonts w:hint="eastAsia" w:ascii="仿宋_GB2312" w:hAnsi="宋体" w:eastAsia="仿宋_GB2312"/>
                <w:color w:val="auto"/>
                <w:kern w:val="0"/>
                <w:szCs w:val="24"/>
                <w:highlight w:val="none"/>
                <w:u w:val="single"/>
              </w:rPr>
              <w:t xml:space="preserve">                 </w:t>
            </w:r>
          </w:p>
          <w:p w14:paraId="32D02447">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地址：</w:t>
            </w:r>
            <w:r>
              <w:rPr>
                <w:rFonts w:hint="eastAsia" w:ascii="仿宋_GB2312" w:hAnsi="宋体" w:eastAsia="仿宋_GB2312"/>
                <w:color w:val="auto"/>
                <w:kern w:val="0"/>
                <w:szCs w:val="24"/>
                <w:highlight w:val="none"/>
                <w:u w:val="single"/>
              </w:rPr>
              <w:t xml:space="preserve">                 </w:t>
            </w:r>
          </w:p>
          <w:p w14:paraId="14EBFF46">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邮政编码：</w:t>
            </w:r>
            <w:r>
              <w:rPr>
                <w:rFonts w:hint="eastAsia" w:ascii="仿宋_GB2312" w:hAnsi="宋体" w:eastAsia="仿宋_GB2312"/>
                <w:color w:val="auto"/>
                <w:szCs w:val="24"/>
                <w:highlight w:val="none"/>
                <w:u w:val="single"/>
              </w:rPr>
              <w:t xml:space="preserve">      </w:t>
            </w:r>
          </w:p>
          <w:p w14:paraId="1F22FFA3">
            <w:pPr>
              <w:pStyle w:val="88"/>
              <w:spacing w:after="50" w:line="360" w:lineRule="auto"/>
              <w:rPr>
                <w:rFonts w:hint="eastAsia" w:ascii="仿宋_GB2312" w:hAnsi="宋体" w:eastAsia="仿宋_GB2312"/>
                <w:color w:val="auto"/>
                <w:szCs w:val="24"/>
                <w:highlight w:val="none"/>
                <w:u w:val="single"/>
              </w:rPr>
            </w:pPr>
            <w:r>
              <w:rPr>
                <w:rFonts w:hint="eastAsia" w:ascii="仿宋_GB2312" w:hAnsi="宋体" w:eastAsia="仿宋_GB2312"/>
                <w:color w:val="auto"/>
                <w:szCs w:val="24"/>
                <w:highlight w:val="none"/>
              </w:rPr>
              <w:t>法定代表人：</w:t>
            </w:r>
            <w:r>
              <w:rPr>
                <w:rFonts w:hint="eastAsia" w:ascii="仿宋_GB2312" w:hAnsi="宋体" w:eastAsia="仿宋_GB2312"/>
                <w:color w:val="auto"/>
                <w:szCs w:val="24"/>
                <w:highlight w:val="none"/>
                <w:u w:val="single"/>
              </w:rPr>
              <w:t xml:space="preserve">      </w:t>
            </w:r>
          </w:p>
          <w:p w14:paraId="4FD1E5C6">
            <w:pPr>
              <w:pStyle w:val="88"/>
              <w:spacing w:after="50" w:line="360" w:lineRule="auto"/>
              <w:rPr>
                <w:rFonts w:hint="eastAsia" w:ascii="仿宋_GB2312" w:hAnsi="宋体" w:eastAsia="仿宋_GB2312"/>
                <w:color w:val="auto"/>
                <w:szCs w:val="24"/>
                <w:highlight w:val="none"/>
              </w:rPr>
            </w:pPr>
            <w:r>
              <w:rPr>
                <w:rFonts w:hint="default" w:ascii="仿宋_GB2312" w:eastAsia="仿宋_GB2312"/>
                <w:color w:val="auto"/>
                <w:kern w:val="0"/>
                <w:szCs w:val="24"/>
                <w:highlight w:val="none"/>
              </w:rPr>
              <w:t>委托代理人：</w:t>
            </w:r>
            <w:r>
              <w:rPr>
                <w:rFonts w:hint="eastAsia" w:ascii="仿宋_GB2312" w:eastAsia="仿宋_GB2312"/>
                <w:color w:val="auto"/>
                <w:kern w:val="0"/>
                <w:szCs w:val="24"/>
                <w:highlight w:val="none"/>
                <w:u w:val="single"/>
              </w:rPr>
              <w:t>/</w:t>
            </w:r>
          </w:p>
          <w:p w14:paraId="5C8F2851">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电话：</w:t>
            </w:r>
            <w:r>
              <w:rPr>
                <w:rFonts w:hint="eastAsia" w:ascii="仿宋_GB2312" w:hAnsi="宋体" w:eastAsia="仿宋_GB2312"/>
                <w:color w:val="auto"/>
                <w:szCs w:val="24"/>
                <w:highlight w:val="none"/>
                <w:u w:val="single"/>
              </w:rPr>
              <w:t xml:space="preserve">            </w:t>
            </w:r>
          </w:p>
          <w:p w14:paraId="56227625">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开户银行：</w:t>
            </w:r>
            <w:r>
              <w:rPr>
                <w:rFonts w:hint="eastAsia" w:ascii="仿宋_GB2312" w:hAnsi="宋体" w:eastAsia="仿宋_GB2312"/>
                <w:color w:val="auto"/>
                <w:szCs w:val="24"/>
                <w:highlight w:val="none"/>
                <w:u w:val="single"/>
              </w:rPr>
              <w:t xml:space="preserve"> </w:t>
            </w:r>
            <w:r>
              <w:rPr>
                <w:rFonts w:hint="eastAsia" w:ascii="仿宋_GB2312" w:eastAsia="仿宋_GB2312"/>
                <w:color w:val="auto"/>
                <w:kern w:val="0"/>
                <w:szCs w:val="24"/>
                <w:highlight w:val="none"/>
                <w:u w:val="single"/>
              </w:rPr>
              <w:t xml:space="preserve">     </w:t>
            </w:r>
          </w:p>
          <w:p w14:paraId="411EB4F0">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账号：</w:t>
            </w:r>
            <w:r>
              <w:rPr>
                <w:rFonts w:hint="eastAsia" w:ascii="仿宋_GB2312" w:hAnsi="宋体" w:eastAsia="仿宋_GB2312"/>
                <w:color w:val="auto"/>
                <w:kern w:val="0"/>
                <w:szCs w:val="24"/>
                <w:highlight w:val="none"/>
                <w:u w:val="single"/>
              </w:rPr>
              <w:t xml:space="preserve">            </w:t>
            </w:r>
          </w:p>
        </w:tc>
        <w:tc>
          <w:tcPr>
            <w:tcW w:w="3066" w:type="dxa"/>
            <w:shd w:val="clear" w:color="auto" w:fill="auto"/>
          </w:tcPr>
          <w:p w14:paraId="4891ACFF">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统一社会信用代码：</w:t>
            </w:r>
          </w:p>
          <w:p w14:paraId="1A589958">
            <w:pPr>
              <w:pStyle w:val="88"/>
              <w:spacing w:after="50" w:line="360" w:lineRule="auto"/>
              <w:rPr>
                <w:rFonts w:hint="eastAsia" w:ascii="仿宋_GB2312" w:hAnsi="宋体" w:eastAsia="仿宋_GB2312"/>
                <w:color w:val="auto"/>
                <w:kern w:val="0"/>
                <w:szCs w:val="24"/>
                <w:highlight w:val="none"/>
                <w:u w:val="single"/>
              </w:rPr>
            </w:pPr>
            <w:r>
              <w:rPr>
                <w:rFonts w:hint="eastAsia" w:ascii="仿宋_GB2312" w:hAnsi="宋体" w:eastAsia="仿宋_GB2312"/>
                <w:color w:val="auto"/>
                <w:kern w:val="0"/>
                <w:szCs w:val="24"/>
                <w:highlight w:val="none"/>
                <w:u w:val="single"/>
              </w:rPr>
              <w:t xml:space="preserve">                 </w:t>
            </w:r>
          </w:p>
          <w:p w14:paraId="6F2E14F3">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地址：</w:t>
            </w:r>
            <w:r>
              <w:rPr>
                <w:rFonts w:hint="eastAsia" w:ascii="仿宋_GB2312" w:hAnsi="宋体" w:eastAsia="仿宋_GB2312"/>
                <w:color w:val="auto"/>
                <w:kern w:val="0"/>
                <w:szCs w:val="24"/>
                <w:highlight w:val="none"/>
                <w:u w:val="single"/>
              </w:rPr>
              <w:t xml:space="preserve">                  </w:t>
            </w:r>
          </w:p>
          <w:p w14:paraId="6A71C060">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邮政编码：</w:t>
            </w:r>
            <w:r>
              <w:rPr>
                <w:rFonts w:hint="eastAsia" w:ascii="仿宋_GB2312" w:hAnsi="宋体" w:eastAsia="仿宋_GB2312"/>
                <w:color w:val="auto"/>
                <w:szCs w:val="24"/>
                <w:highlight w:val="none"/>
                <w:u w:val="single"/>
              </w:rPr>
              <w:t xml:space="preserve">      </w:t>
            </w:r>
          </w:p>
          <w:p w14:paraId="792865C3">
            <w:pPr>
              <w:pStyle w:val="88"/>
              <w:spacing w:after="50" w:line="360" w:lineRule="auto"/>
              <w:rPr>
                <w:rFonts w:hint="eastAsia" w:ascii="仿宋_GB2312" w:hAnsi="宋体" w:eastAsia="仿宋_GB2312"/>
                <w:color w:val="auto"/>
                <w:szCs w:val="24"/>
                <w:highlight w:val="none"/>
                <w:u w:val="single"/>
              </w:rPr>
            </w:pPr>
            <w:r>
              <w:rPr>
                <w:rFonts w:hint="eastAsia" w:ascii="仿宋_GB2312" w:hAnsi="宋体" w:eastAsia="仿宋_GB2312"/>
                <w:color w:val="auto"/>
                <w:szCs w:val="24"/>
                <w:highlight w:val="none"/>
              </w:rPr>
              <w:t>法定代表人：</w:t>
            </w:r>
            <w:r>
              <w:rPr>
                <w:rFonts w:hint="eastAsia" w:ascii="仿宋_GB2312" w:hAnsi="宋体" w:eastAsia="仿宋_GB2312"/>
                <w:color w:val="auto"/>
                <w:szCs w:val="24"/>
                <w:highlight w:val="none"/>
                <w:u w:val="single"/>
              </w:rPr>
              <w:t xml:space="preserve">      </w:t>
            </w:r>
          </w:p>
          <w:p w14:paraId="694155AC">
            <w:pPr>
              <w:pStyle w:val="88"/>
              <w:spacing w:after="50" w:line="360" w:lineRule="auto"/>
              <w:rPr>
                <w:rFonts w:hint="eastAsia" w:ascii="仿宋_GB2312" w:hAnsi="宋体" w:eastAsia="仿宋_GB2312"/>
                <w:color w:val="auto"/>
                <w:szCs w:val="24"/>
                <w:highlight w:val="none"/>
                <w:u w:val="single"/>
              </w:rPr>
            </w:pPr>
            <w:r>
              <w:rPr>
                <w:rFonts w:hint="default" w:ascii="仿宋_GB2312" w:eastAsia="仿宋_GB2312"/>
                <w:color w:val="auto"/>
                <w:kern w:val="0"/>
                <w:szCs w:val="24"/>
                <w:highlight w:val="none"/>
              </w:rPr>
              <w:t>委托代理人：</w:t>
            </w:r>
            <w:r>
              <w:rPr>
                <w:rFonts w:hint="eastAsia" w:ascii="仿宋_GB2312" w:eastAsia="仿宋_GB2312"/>
                <w:color w:val="auto"/>
                <w:kern w:val="0"/>
                <w:szCs w:val="24"/>
                <w:highlight w:val="none"/>
                <w:u w:val="single"/>
              </w:rPr>
              <w:t>/</w:t>
            </w:r>
          </w:p>
          <w:p w14:paraId="1465356E">
            <w:pPr>
              <w:pStyle w:val="88"/>
              <w:spacing w:after="50" w:line="360" w:lineRule="auto"/>
              <w:rPr>
                <w:rFonts w:hint="default" w:eastAsia="仿宋_GB2312"/>
                <w:color w:val="auto"/>
                <w:szCs w:val="24"/>
                <w:highlight w:val="none"/>
              </w:rPr>
            </w:pPr>
            <w:r>
              <w:rPr>
                <w:rFonts w:hint="eastAsia" w:ascii="仿宋_GB2312" w:hAnsi="宋体" w:eastAsia="仿宋_GB2312"/>
                <w:color w:val="auto"/>
                <w:szCs w:val="24"/>
                <w:highlight w:val="none"/>
              </w:rPr>
              <w:t>电话：</w:t>
            </w:r>
            <w:r>
              <w:rPr>
                <w:rFonts w:hint="eastAsia" w:ascii="仿宋_GB2312" w:hAnsi="宋体" w:eastAsia="仿宋_GB2312"/>
                <w:color w:val="auto"/>
                <w:szCs w:val="24"/>
                <w:highlight w:val="none"/>
                <w:u w:val="single"/>
              </w:rPr>
              <w:t xml:space="preserve">            </w:t>
            </w:r>
          </w:p>
          <w:p w14:paraId="746D9864">
            <w:pPr>
              <w:pStyle w:val="88"/>
              <w:spacing w:after="50" w:line="360" w:lineRule="auto"/>
              <w:rPr>
                <w:rFonts w:hint="default" w:eastAsia="仿宋_GB2312"/>
                <w:color w:val="auto"/>
                <w:szCs w:val="24"/>
                <w:highlight w:val="none"/>
              </w:rPr>
            </w:pPr>
            <w:r>
              <w:rPr>
                <w:rFonts w:hint="eastAsia" w:ascii="仿宋_GB2312" w:hAnsi="宋体" w:eastAsia="仿宋_GB2312"/>
                <w:color w:val="auto"/>
                <w:szCs w:val="24"/>
                <w:highlight w:val="none"/>
              </w:rPr>
              <w:t>开户银行：</w:t>
            </w:r>
            <w:r>
              <w:rPr>
                <w:rFonts w:hint="eastAsia" w:ascii="仿宋_GB2312" w:hAnsi="宋体" w:eastAsia="仿宋_GB2312"/>
                <w:color w:val="auto"/>
                <w:szCs w:val="24"/>
                <w:highlight w:val="none"/>
                <w:u w:val="single"/>
              </w:rPr>
              <w:t xml:space="preserve">       </w:t>
            </w:r>
          </w:p>
          <w:p w14:paraId="09F9E554">
            <w:pPr>
              <w:pStyle w:val="88"/>
              <w:spacing w:after="50" w:line="360" w:lineRule="auto"/>
              <w:rPr>
                <w:rFonts w:hint="eastAsia" w:ascii="仿宋_GB2312" w:hAnsi="宋体" w:eastAsia="仿宋_GB2312"/>
                <w:color w:val="auto"/>
                <w:szCs w:val="24"/>
                <w:highlight w:val="none"/>
              </w:rPr>
            </w:pPr>
            <w:r>
              <w:rPr>
                <w:rFonts w:hint="eastAsia" w:ascii="仿宋_GB2312" w:hAnsi="宋体" w:eastAsia="仿宋_GB2312"/>
                <w:color w:val="auto"/>
                <w:szCs w:val="24"/>
                <w:highlight w:val="none"/>
              </w:rPr>
              <w:t>账号：</w:t>
            </w:r>
            <w:r>
              <w:rPr>
                <w:rFonts w:hint="eastAsia" w:ascii="仿宋_GB2312" w:hAnsi="宋体" w:eastAsia="仿宋_GB2312"/>
                <w:color w:val="auto"/>
                <w:szCs w:val="24"/>
                <w:highlight w:val="none"/>
                <w:u w:val="single"/>
              </w:rPr>
              <w:t xml:space="preserve">            </w:t>
            </w:r>
          </w:p>
        </w:tc>
      </w:tr>
    </w:tbl>
    <w:p w14:paraId="443652EE">
      <w:pPr>
        <w:spacing w:line="360" w:lineRule="auto"/>
        <w:ind w:firstLine="480" w:firstLineChars="200"/>
        <w:rPr>
          <w:rFonts w:hint="default" w:ascii="仿宋_GB2312" w:eastAsia="仿宋_GB2312"/>
          <w:color w:val="auto"/>
          <w:sz w:val="24"/>
          <w:highlight w:val="none"/>
        </w:rPr>
      </w:pPr>
    </w:p>
    <w:p w14:paraId="709BC96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合同签订时间：</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年</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月</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日</w:t>
      </w:r>
    </w:p>
    <w:p w14:paraId="5C453E5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合同签订地点：广东省东莞市</w:t>
      </w:r>
    </w:p>
    <w:p w14:paraId="4885D7F4">
      <w:pPr>
        <w:numPr>
          <w:ilvl w:val="2"/>
          <w:numId w:val="10"/>
        </w:numPr>
        <w:spacing w:line="360" w:lineRule="auto"/>
        <w:rPr>
          <w:rFonts w:hint="default" w:ascii="仿宋_GB2312" w:eastAsia="仿宋_GB2312"/>
          <w:color w:val="auto"/>
          <w:sz w:val="24"/>
          <w:highlight w:val="none"/>
        </w:rPr>
        <w:sectPr>
          <w:headerReference r:id="rId13" w:type="default"/>
          <w:footerReference r:id="rId14" w:type="default"/>
          <w:pgSz w:w="11906" w:h="16838"/>
          <w:pgMar w:top="1440" w:right="1803" w:bottom="1440" w:left="1803" w:header="851" w:footer="992" w:gutter="0"/>
          <w:pgBorders>
            <w:top w:val="none" w:sz="0" w:space="0"/>
            <w:left w:val="none" w:sz="0" w:space="0"/>
            <w:bottom w:val="none" w:sz="0" w:space="0"/>
            <w:right w:val="none" w:sz="0" w:space="0"/>
          </w:pgBorders>
          <w:cols w:space="720" w:num="1"/>
          <w:docGrid w:type="lines" w:linePitch="312" w:charSpace="0"/>
        </w:sectPr>
      </w:pPr>
    </w:p>
    <w:p w14:paraId="25CBC091">
      <w:pPr>
        <w:spacing w:line="360" w:lineRule="auto"/>
        <w:jc w:val="left"/>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附件1</w:t>
      </w:r>
    </w:p>
    <w:p w14:paraId="3EA7AFDE">
      <w:pPr>
        <w:spacing w:line="360" w:lineRule="auto"/>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联合体共同投标协议</w:t>
      </w:r>
    </w:p>
    <w:p w14:paraId="4CC17AA3">
      <w:pPr>
        <w:spacing w:line="360" w:lineRule="auto"/>
        <w:rPr>
          <w:rFonts w:hint="default" w:ascii="仿宋_GB2312" w:eastAsia="仿宋_GB2312"/>
          <w:color w:val="auto"/>
          <w:sz w:val="24"/>
          <w:highlight w:val="none"/>
        </w:rPr>
      </w:pPr>
    </w:p>
    <w:p w14:paraId="267754DA">
      <w:pPr>
        <w:spacing w:line="360" w:lineRule="auto"/>
        <w:rPr>
          <w:rFonts w:hint="default" w:ascii="仿宋_GB2312" w:eastAsia="仿宋_GB2312"/>
          <w:color w:val="auto"/>
          <w:sz w:val="24"/>
          <w:highlight w:val="none"/>
        </w:rPr>
      </w:pPr>
      <w:r>
        <w:rPr>
          <w:rFonts w:hint="eastAsia" w:ascii="仿宋_GB2312" w:eastAsia="仿宋_GB2312"/>
          <w:color w:val="auto"/>
          <w:sz w:val="24"/>
          <w:highlight w:val="none"/>
        </w:rPr>
        <w:t xml:space="preserve">    </w:t>
      </w:r>
      <w:permStart w:id="53" w:edGrp="everyone"/>
      <w:r>
        <w:rPr>
          <w:rFonts w:hint="eastAsia" w:ascii="仿宋_GB2312" w:eastAsia="仿宋_GB2312"/>
          <w:color w:val="auto"/>
          <w:sz w:val="24"/>
          <w:highlight w:val="none"/>
          <w:lang w:eastAsia="zh-CN"/>
        </w:rPr>
        <w:fldChar w:fldCharType="begin"/>
      </w:r>
      <w:r>
        <w:rPr>
          <w:rFonts w:hint="eastAsia" w:ascii="仿宋_GB2312" w:eastAsia="仿宋_GB2312"/>
          <w:color w:val="auto"/>
          <w:sz w:val="24"/>
          <w:highlight w:val="none"/>
          <w:lang w:eastAsia="zh-CN"/>
        </w:rPr>
        <w:instrText xml:space="preserve"> REF 乙方（主） \h </w:instrText>
      </w:r>
      <w:r>
        <w:rPr>
          <w:rFonts w:hint="eastAsia" w:ascii="仿宋_GB2312" w:eastAsia="仿宋_GB2312"/>
          <w:color w:val="auto"/>
          <w:sz w:val="24"/>
          <w:highlight w:val="none"/>
          <w:lang w:eastAsia="zh-CN"/>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lang w:eastAsia="zh-CN"/>
        </w:rPr>
        <w:fldChar w:fldCharType="end"/>
      </w:r>
      <w:permEnd w:id="53"/>
      <w:r>
        <w:rPr>
          <w:rFonts w:hint="eastAsia" w:ascii="仿宋_GB2312" w:eastAsia="仿宋_GB2312"/>
          <w:color w:val="auto"/>
          <w:sz w:val="24"/>
          <w:highlight w:val="none"/>
          <w:u w:val="single"/>
        </w:rPr>
        <w:t>、</w:t>
      </w:r>
      <w:permStart w:id="54"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乙方（成）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4"/>
      <w:r>
        <w:rPr>
          <w:rFonts w:hint="eastAsia" w:ascii="仿宋_GB2312" w:eastAsia="仿宋_GB2312"/>
          <w:color w:val="auto"/>
          <w:sz w:val="24"/>
          <w:highlight w:val="none"/>
        </w:rPr>
        <w:t>（联合体名称）联合体,共同参加</w:t>
      </w:r>
      <w:permStart w:id="55" w:edGrp="everyone"/>
      <w:r>
        <w:rPr>
          <w:rFonts w:hint="eastAsia" w:ascii="仿宋_GB2312" w:eastAsia="仿宋_GB2312"/>
          <w:color w:val="auto"/>
          <w:sz w:val="24"/>
          <w:highlight w:val="none"/>
        </w:rPr>
        <w:fldChar w:fldCharType="begin"/>
      </w:r>
      <w:r>
        <w:rPr>
          <w:rFonts w:hint="eastAsia" w:ascii="仿宋_GB2312" w:eastAsia="仿宋_GB2312"/>
          <w:color w:val="auto"/>
          <w:sz w:val="24"/>
          <w:highlight w:val="none"/>
        </w:rPr>
        <w:instrText xml:space="preserve"> REF 项目名称 \h </w:instrText>
      </w:r>
      <w:r>
        <w:rPr>
          <w:rFonts w:hint="eastAsia" w:ascii="仿宋_GB2312" w:eastAsia="仿宋_GB2312"/>
          <w:color w:val="auto"/>
          <w:sz w:val="24"/>
          <w:highlight w:val="none"/>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eastAsia="仿宋_GB2312"/>
          <w:color w:val="auto"/>
          <w:sz w:val="24"/>
          <w:highlight w:val="none"/>
        </w:rPr>
        <w:fldChar w:fldCharType="end"/>
      </w:r>
      <w:permEnd w:id="55"/>
      <w:r>
        <w:rPr>
          <w:rFonts w:hint="eastAsia" w:ascii="仿宋_GB2312" w:eastAsia="仿宋_GB2312"/>
          <w:color w:val="auto"/>
          <w:sz w:val="24"/>
          <w:highlight w:val="none"/>
        </w:rPr>
        <w:t>设计施工总承包投标。我方授权委托本协议牵头人代表联合体各成员参加投标、签署投标资料、提交投标文件。现就联合体投标事宜订立如下协议。</w:t>
      </w:r>
    </w:p>
    <w:p w14:paraId="021A324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w:t>
      </w:r>
      <w:permStart w:id="56"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乙方（主）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6"/>
      <w:r>
        <w:rPr>
          <w:rFonts w:hint="eastAsia" w:ascii="仿宋_GB2312" w:eastAsia="仿宋_GB2312"/>
          <w:color w:val="auto"/>
          <w:sz w:val="24"/>
          <w:highlight w:val="none"/>
        </w:rPr>
        <w:t>（施工方单位名称）为</w:t>
      </w:r>
      <w:permStart w:id="57"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乙方（主）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7"/>
      <w:r>
        <w:rPr>
          <w:rFonts w:hint="eastAsia" w:ascii="仿宋_GB2312" w:eastAsia="仿宋_GB2312"/>
          <w:color w:val="auto"/>
          <w:sz w:val="24"/>
          <w:highlight w:val="none"/>
          <w:u w:val="single"/>
        </w:rPr>
        <w:t>、</w:t>
      </w:r>
      <w:permStart w:id="58"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乙方（成）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8"/>
      <w:r>
        <w:rPr>
          <w:rFonts w:hint="eastAsia" w:ascii="仿宋_GB2312" w:eastAsia="仿宋_GB2312"/>
          <w:b/>
          <w:color w:val="auto"/>
          <w:sz w:val="24"/>
          <w:highlight w:val="none"/>
        </w:rPr>
        <w:t>联合体主办方</w:t>
      </w:r>
      <w:r>
        <w:rPr>
          <w:rFonts w:hint="eastAsia" w:ascii="仿宋_GB2312" w:eastAsia="仿宋_GB2312"/>
          <w:color w:val="auto"/>
          <w:sz w:val="24"/>
          <w:highlight w:val="none"/>
        </w:rPr>
        <w:t>。</w:t>
      </w:r>
    </w:p>
    <w:p w14:paraId="20C322D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w:t>
      </w:r>
      <w:r>
        <w:rPr>
          <w:rFonts w:hint="eastAsia" w:ascii="仿宋_GB2312" w:eastAsia="仿宋_GB2312"/>
          <w:b/>
          <w:color w:val="auto"/>
          <w:sz w:val="24"/>
          <w:highlight w:val="none"/>
        </w:rPr>
        <w:t>联合体主办方</w:t>
      </w:r>
      <w:r>
        <w:rPr>
          <w:rFonts w:hint="eastAsia" w:ascii="仿宋_GB2312" w:eastAsia="仿宋_GB2312"/>
          <w:color w:val="auto"/>
          <w:sz w:val="24"/>
          <w:highlight w:val="none"/>
        </w:rPr>
        <w:t>合法代表联合体各成员负责本招标项目投标文件编制和合同谈判活动，并代表联合体提交和接收相关的资料、信息及指示，并处理与之有关的一切事务，负责合同实施阶段的主办、组织和协调工作。</w:t>
      </w:r>
    </w:p>
    <w:p w14:paraId="50A0417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3、联合体将严格按照招标文件各项要求，递交投标文件，履行合同，并对外承担相应责任。</w:t>
      </w:r>
    </w:p>
    <w:p w14:paraId="6D8BC58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4、联合体各成员单位内部的职责分工如下：</w:t>
      </w:r>
    </w:p>
    <w:p w14:paraId="5462507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①</w:t>
      </w:r>
      <w:permStart w:id="59"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乙方（主）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59"/>
      <w:r>
        <w:rPr>
          <w:rFonts w:hint="eastAsia" w:ascii="仿宋_GB2312" w:eastAsia="仿宋_GB2312"/>
          <w:color w:val="auto"/>
          <w:sz w:val="24"/>
          <w:highlight w:val="none"/>
        </w:rPr>
        <w:t>（施工方单位名称）：作为联合体的主办方除负责本工程的施工外，还应负责设计施工总承包管理的职责。联合体其他相关方违约时，主办方应承担连带责任，具体按合同要求。</w:t>
      </w:r>
    </w:p>
    <w:p w14:paraId="1F7F11E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②</w:t>
      </w:r>
      <w:permStart w:id="60"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乙方（成）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60"/>
      <w:r>
        <w:rPr>
          <w:rFonts w:hint="eastAsia" w:ascii="仿宋_GB2312" w:eastAsia="仿宋_GB2312"/>
          <w:color w:val="auto"/>
          <w:sz w:val="24"/>
          <w:highlight w:val="none"/>
        </w:rPr>
        <w:t>（设计方单位名称）：主要负责本工程的初步设计、可行性研究报告、系统接入设计、施工图设计、竣工图设计、设计优化等工作，具体按合同要求。</w:t>
      </w:r>
    </w:p>
    <w:p w14:paraId="6F46FB5A">
      <w:pPr>
        <w:numPr>
          <w:ilvl w:val="0"/>
          <w:numId w:val="11"/>
        </w:num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本协议书自签署之日起生效，合同履行完毕后自动失效。</w:t>
      </w:r>
    </w:p>
    <w:p w14:paraId="7EAC48FF">
      <w:pPr>
        <w:pStyle w:val="36"/>
        <w:spacing w:before="156"/>
        <w:ind w:firstLine="480"/>
        <w:rPr>
          <w:rFonts w:hint="default" w:ascii="仿宋_GB2312" w:eastAsia="仿宋_GB2312"/>
          <w:color w:val="auto"/>
          <w:highlight w:val="none"/>
        </w:rPr>
      </w:pPr>
      <w:r>
        <w:rPr>
          <w:rFonts w:hint="eastAsia" w:ascii="仿宋_GB2312" w:eastAsia="仿宋_GB2312"/>
          <w:color w:val="auto"/>
          <w:highlight w:val="none"/>
        </w:rPr>
        <w:t>（以下无正文）</w:t>
      </w:r>
    </w:p>
    <w:p w14:paraId="0CB0FD41">
      <w:pPr>
        <w:rPr>
          <w:rFonts w:hint="default" w:ascii="仿宋_GB2312" w:eastAsia="仿宋_GB2312"/>
          <w:color w:val="auto"/>
          <w:sz w:val="24"/>
          <w:highlight w:val="none"/>
        </w:rPr>
      </w:pPr>
    </w:p>
    <w:p w14:paraId="0EEAE88B">
      <w:pPr>
        <w:pStyle w:val="36"/>
        <w:spacing w:before="156"/>
        <w:ind w:firstLine="480"/>
        <w:rPr>
          <w:rFonts w:hint="default" w:ascii="仿宋_GB2312" w:eastAsia="仿宋_GB2312"/>
          <w:color w:val="auto"/>
          <w:highlight w:val="none"/>
        </w:rPr>
      </w:pPr>
    </w:p>
    <w:p w14:paraId="028FEDB2">
      <w:pPr>
        <w:rPr>
          <w:rFonts w:hint="default" w:ascii="仿宋_GB2312" w:eastAsia="仿宋_GB2312"/>
          <w:color w:val="auto"/>
          <w:sz w:val="24"/>
          <w:highlight w:val="none"/>
        </w:rPr>
      </w:pPr>
    </w:p>
    <w:p w14:paraId="6CCFFE6B">
      <w:pPr>
        <w:pStyle w:val="36"/>
        <w:spacing w:before="156"/>
        <w:ind w:firstLine="480"/>
        <w:rPr>
          <w:rFonts w:hint="default" w:ascii="仿宋_GB2312" w:eastAsia="仿宋_GB2312"/>
          <w:color w:val="auto"/>
          <w:highlight w:val="none"/>
        </w:rPr>
      </w:pPr>
    </w:p>
    <w:p w14:paraId="4DA6AC91">
      <w:pPr>
        <w:rPr>
          <w:rFonts w:hint="default" w:ascii="仿宋_GB2312" w:eastAsia="仿宋_GB2312"/>
          <w:color w:val="auto"/>
          <w:sz w:val="24"/>
          <w:highlight w:val="none"/>
        </w:rPr>
      </w:pPr>
    </w:p>
    <w:p w14:paraId="34F4C826">
      <w:pPr>
        <w:pStyle w:val="36"/>
        <w:spacing w:before="156"/>
        <w:ind w:firstLine="480"/>
        <w:rPr>
          <w:rFonts w:hint="default" w:ascii="仿宋_GB2312" w:eastAsia="仿宋_GB2312"/>
          <w:color w:val="auto"/>
          <w:highlight w:val="none"/>
        </w:rPr>
      </w:pPr>
    </w:p>
    <w:p w14:paraId="4CF59FEB">
      <w:pPr>
        <w:rPr>
          <w:rFonts w:hint="default" w:ascii="仿宋_GB2312" w:eastAsia="仿宋_GB2312"/>
          <w:color w:val="auto"/>
          <w:sz w:val="24"/>
          <w:highlight w:val="none"/>
        </w:rPr>
      </w:pPr>
    </w:p>
    <w:p w14:paraId="60E53F32">
      <w:pPr>
        <w:pStyle w:val="36"/>
        <w:spacing w:before="156"/>
        <w:ind w:firstLine="480"/>
        <w:rPr>
          <w:rFonts w:hint="default" w:ascii="仿宋_GB2312" w:eastAsia="仿宋_GB2312"/>
          <w:color w:val="auto"/>
          <w:highlight w:val="none"/>
        </w:rPr>
      </w:pPr>
    </w:p>
    <w:p w14:paraId="68E9848C">
      <w:pPr>
        <w:pStyle w:val="36"/>
        <w:spacing w:before="156"/>
        <w:ind w:firstLine="480"/>
        <w:rPr>
          <w:rFonts w:hint="default" w:ascii="仿宋_GB2312" w:eastAsia="仿宋_GB2312"/>
          <w:color w:val="auto"/>
          <w:highlight w:val="none"/>
        </w:rPr>
      </w:pPr>
      <w:r>
        <w:rPr>
          <w:rFonts w:hint="eastAsia" w:ascii="仿宋_GB2312" w:eastAsia="仿宋_GB2312"/>
          <w:color w:val="auto"/>
          <w:highlight w:val="none"/>
        </w:rPr>
        <w:t>（签署页）</w:t>
      </w:r>
    </w:p>
    <w:p w14:paraId="3D2D5592">
      <w:pPr>
        <w:rPr>
          <w:color w:val="auto"/>
          <w:highlight w:val="none"/>
        </w:rPr>
      </w:pPr>
    </w:p>
    <w:p w14:paraId="2294F097">
      <w:pPr>
        <w:spacing w:line="360" w:lineRule="auto"/>
        <w:rPr>
          <w:rFonts w:hint="default" w:ascii="仿宋_GB2312" w:eastAsia="仿宋_GB2312"/>
          <w:color w:val="auto"/>
          <w:sz w:val="24"/>
          <w:highlight w:val="none"/>
        </w:rPr>
      </w:pPr>
    </w:p>
    <w:p w14:paraId="7CD50710">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承包人（主）：（盖章）</w:t>
      </w:r>
      <w:permStart w:id="61"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乙方（主）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61"/>
      <w:r>
        <w:rPr>
          <w:rFonts w:hint="eastAsia" w:ascii="仿宋_GB2312" w:eastAsia="仿宋_GB2312"/>
          <w:color w:val="auto"/>
          <w:sz w:val="24"/>
          <w:highlight w:val="none"/>
        </w:rPr>
        <w:t xml:space="preserve">        </w:t>
      </w:r>
    </w:p>
    <w:p w14:paraId="6A7C97A3">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 xml:space="preserve">法定代表人（或授权代表）签字：              </w:t>
      </w:r>
    </w:p>
    <w:p w14:paraId="19091FE7">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日    期：    年   月   日</w:t>
      </w:r>
    </w:p>
    <w:p w14:paraId="1B9ECBF0">
      <w:pPr>
        <w:spacing w:line="480" w:lineRule="auto"/>
        <w:ind w:firstLine="480" w:firstLineChars="200"/>
        <w:rPr>
          <w:rFonts w:hint="default" w:ascii="仿宋_GB2312" w:eastAsia="仿宋_GB2312"/>
          <w:color w:val="auto"/>
          <w:sz w:val="24"/>
          <w:highlight w:val="none"/>
        </w:rPr>
      </w:pPr>
    </w:p>
    <w:p w14:paraId="3AD58143">
      <w:pPr>
        <w:spacing w:line="480" w:lineRule="auto"/>
        <w:ind w:firstLine="480" w:firstLineChars="200"/>
        <w:rPr>
          <w:rFonts w:hint="default" w:ascii="仿宋_GB2312" w:eastAsia="仿宋_GB2312"/>
          <w:color w:val="auto"/>
          <w:sz w:val="24"/>
          <w:highlight w:val="none"/>
        </w:rPr>
      </w:pPr>
    </w:p>
    <w:p w14:paraId="7F90999D">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承包人（成）：（盖章）</w:t>
      </w:r>
      <w:permStart w:id="62" w:edGrp="everyone"/>
      <w:r>
        <w:rPr>
          <w:rFonts w:hint="eastAsia" w:ascii="仿宋_GB2312" w:eastAsia="仿宋_GB2312"/>
          <w:color w:val="auto"/>
          <w:sz w:val="24"/>
          <w:highlight w:val="none"/>
          <w:u w:val="single"/>
        </w:rPr>
        <w:fldChar w:fldCharType="begin"/>
      </w:r>
      <w:r>
        <w:rPr>
          <w:rFonts w:hint="eastAsia" w:ascii="仿宋_GB2312" w:eastAsia="仿宋_GB2312"/>
          <w:color w:val="auto"/>
          <w:sz w:val="24"/>
          <w:highlight w:val="none"/>
          <w:u w:val="single"/>
        </w:rPr>
        <w:instrText xml:space="preserve"> REF 乙方（成） \h </w:instrText>
      </w:r>
      <w:r>
        <w:rPr>
          <w:rFonts w:hint="eastAsia" w:ascii="仿宋_GB2312" w:eastAsia="仿宋_GB2312"/>
          <w:color w:val="auto"/>
          <w:sz w:val="24"/>
          <w:highlight w:val="none"/>
          <w:u w:val="single"/>
        </w:rPr>
        <w:fldChar w:fldCharType="separate"/>
      </w:r>
      <w:r>
        <w:rPr>
          <w:rFonts w:hint="eastAsia" w:ascii="仿宋_GB2312" w:eastAsia="仿宋_GB2312"/>
          <w:color w:val="auto"/>
          <w:sz w:val="24"/>
          <w:highlight w:val="none"/>
          <w:u w:val="single"/>
        </w:rPr>
        <w:t>XX有限公司</w:t>
      </w:r>
      <w:r>
        <w:rPr>
          <w:rFonts w:hint="eastAsia" w:ascii="仿宋_GB2312" w:eastAsia="仿宋_GB2312"/>
          <w:color w:val="auto"/>
          <w:sz w:val="24"/>
          <w:highlight w:val="none"/>
          <w:u w:val="single"/>
        </w:rPr>
        <w:fldChar w:fldCharType="end"/>
      </w:r>
      <w:permEnd w:id="62"/>
      <w:r>
        <w:rPr>
          <w:rFonts w:hint="eastAsia" w:ascii="仿宋_GB2312" w:eastAsia="仿宋_GB2312"/>
          <w:color w:val="auto"/>
          <w:sz w:val="24"/>
          <w:highlight w:val="none"/>
        </w:rPr>
        <w:t xml:space="preserve">        </w:t>
      </w:r>
    </w:p>
    <w:p w14:paraId="2E62329A">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 xml:space="preserve">法定代表人（或授权代表）签字：              </w:t>
      </w:r>
    </w:p>
    <w:p w14:paraId="3E388C8D">
      <w:pPr>
        <w:spacing w:line="480" w:lineRule="auto"/>
        <w:ind w:firstLine="480" w:firstLineChars="200"/>
        <w:rPr>
          <w:rFonts w:hint="eastAsia" w:ascii="仿宋_GB2312" w:hAnsi="仿宋_GB2312" w:eastAsia="仿宋_GB2312" w:cs="仿宋_GB2312"/>
          <w:b/>
          <w:color w:val="auto"/>
          <w:sz w:val="32"/>
          <w:szCs w:val="32"/>
          <w:highlight w:val="none"/>
        </w:rPr>
      </w:pPr>
      <w:r>
        <w:rPr>
          <w:rFonts w:hint="eastAsia" w:ascii="仿宋_GB2312" w:eastAsia="仿宋_GB2312"/>
          <w:color w:val="auto"/>
          <w:sz w:val="24"/>
          <w:highlight w:val="none"/>
        </w:rPr>
        <w:t>日    期：    年   月   日</w:t>
      </w:r>
    </w:p>
    <w:p w14:paraId="14DA110A">
      <w:pPr>
        <w:spacing w:line="360" w:lineRule="auto"/>
        <w:jc w:val="left"/>
        <w:rPr>
          <w:rFonts w:hint="eastAsia" w:ascii="仿宋_GB2312" w:hAnsi="仿宋_GB2312" w:eastAsia="仿宋_GB2312" w:cs="仿宋_GB2312"/>
          <w:b/>
          <w:color w:val="auto"/>
          <w:sz w:val="32"/>
          <w:szCs w:val="32"/>
          <w:highlight w:val="none"/>
        </w:rPr>
      </w:pPr>
    </w:p>
    <w:p w14:paraId="438DF485">
      <w:pPr>
        <w:spacing w:line="360" w:lineRule="auto"/>
        <w:jc w:val="left"/>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br w:type="page"/>
      </w:r>
      <w:r>
        <w:rPr>
          <w:rFonts w:hint="eastAsia" w:ascii="仿宋_GB2312" w:hAnsi="仿宋_GB2312" w:eastAsia="仿宋_GB2312" w:cs="仿宋_GB2312"/>
          <w:b/>
          <w:color w:val="auto"/>
          <w:sz w:val="32"/>
          <w:szCs w:val="32"/>
          <w:highlight w:val="none"/>
        </w:rPr>
        <w:t>附件2</w:t>
      </w:r>
    </w:p>
    <w:p w14:paraId="6FF40C4B">
      <w:pPr>
        <w:spacing w:line="360" w:lineRule="auto"/>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安全协议书</w:t>
      </w:r>
    </w:p>
    <w:p w14:paraId="4707DC1C">
      <w:pPr>
        <w:spacing w:line="360" w:lineRule="auto"/>
        <w:rPr>
          <w:rFonts w:hint="default" w:ascii="仿宋_GB2312" w:eastAsia="仿宋_GB2312"/>
          <w:color w:val="auto"/>
          <w:sz w:val="24"/>
          <w:highlight w:val="none"/>
        </w:rPr>
      </w:pPr>
    </w:p>
    <w:p w14:paraId="1B7B859C">
      <w:pPr>
        <w:spacing w:line="360" w:lineRule="auto"/>
        <w:rPr>
          <w:rFonts w:hint="default" w:ascii="仿宋_GB2312" w:eastAsia="仿宋_GB2312"/>
          <w:color w:val="auto"/>
          <w:sz w:val="24"/>
          <w:highlight w:val="none"/>
        </w:rPr>
      </w:pPr>
      <w:r>
        <w:rPr>
          <w:rFonts w:hint="eastAsia" w:ascii="仿宋_GB2312" w:eastAsia="仿宋_GB2312"/>
          <w:b/>
          <w:color w:val="auto"/>
          <w:sz w:val="24"/>
          <w:highlight w:val="none"/>
        </w:rPr>
        <w:t>项目名称：</w:t>
      </w:r>
      <w:permStart w:id="63" w:edGrp="everyone"/>
      <w:r>
        <w:rPr>
          <w:rFonts w:hint="eastAsia" w:ascii="仿宋_GB2312" w:eastAsia="仿宋_GB2312"/>
          <w:color w:val="auto"/>
          <w:sz w:val="24"/>
          <w:highlight w:val="none"/>
        </w:rPr>
        <w:fldChar w:fldCharType="begin"/>
      </w:r>
      <w:r>
        <w:rPr>
          <w:rFonts w:hint="eastAsia" w:ascii="仿宋_GB2312" w:eastAsia="仿宋_GB2312"/>
          <w:color w:val="auto"/>
          <w:sz w:val="24"/>
          <w:highlight w:val="none"/>
        </w:rPr>
        <w:instrText xml:space="preserve"> REF 项目名称 \h </w:instrText>
      </w:r>
      <w:r>
        <w:rPr>
          <w:rFonts w:hint="eastAsia" w:ascii="仿宋_GB2312" w:eastAsia="仿宋_GB2312"/>
          <w:color w:val="auto"/>
          <w:sz w:val="24"/>
          <w:highlight w:val="none"/>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eastAsia="仿宋_GB2312"/>
          <w:color w:val="auto"/>
          <w:sz w:val="24"/>
          <w:highlight w:val="none"/>
        </w:rPr>
        <w:fldChar w:fldCharType="end"/>
      </w:r>
      <w:permEnd w:id="63"/>
    </w:p>
    <w:p w14:paraId="013E21B7">
      <w:pPr>
        <w:spacing w:line="360" w:lineRule="auto"/>
        <w:rPr>
          <w:rFonts w:hint="default" w:ascii="仿宋_GB2312" w:hAnsi="Times New Roman" w:eastAsia="仿宋_GB2312" w:cs="Times New Roman"/>
          <w:color w:val="auto"/>
          <w:sz w:val="24"/>
          <w:highlight w:val="none"/>
        </w:rPr>
      </w:pPr>
      <w:r>
        <w:rPr>
          <w:rFonts w:hint="eastAsia" w:ascii="仿宋_GB2312" w:eastAsia="仿宋_GB2312"/>
          <w:b/>
          <w:color w:val="auto"/>
          <w:sz w:val="24"/>
          <w:highlight w:val="none"/>
        </w:rPr>
        <w:t>合同编号：</w:t>
      </w:r>
      <w:permStart w:id="64" w:edGrp="everyone"/>
      <w:r>
        <w:rPr>
          <w:rFonts w:hint="eastAsia" w:ascii="仿宋_GB2312" w:hAnsi="Times New Roman" w:eastAsia="仿宋_GB2312" w:cs="Times New Roman"/>
          <w:color w:val="auto"/>
          <w:sz w:val="24"/>
          <w:highlight w:val="none"/>
        </w:rPr>
        <w:fldChar w:fldCharType="begin"/>
      </w:r>
      <w:r>
        <w:rPr>
          <w:rFonts w:hint="eastAsia" w:ascii="仿宋_GB2312" w:hAnsi="Times New Roman" w:eastAsia="仿宋_GB2312" w:cs="Times New Roman"/>
          <w:color w:val="auto"/>
          <w:sz w:val="24"/>
          <w:highlight w:val="none"/>
        </w:rPr>
        <w:instrText xml:space="preserve"> REF 合同编号 \h </w:instrText>
      </w:r>
      <w:r>
        <w:rPr>
          <w:rFonts w:hint="eastAsia" w:ascii="仿宋_GB2312" w:hAnsi="Times New Roman" w:eastAsia="仿宋_GB2312" w:cs="Times New Roman"/>
          <w:color w:val="auto"/>
          <w:sz w:val="24"/>
          <w:highlight w:val="none"/>
        </w:rPr>
        <w:fldChar w:fldCharType="separate"/>
      </w:r>
      <w:r>
        <w:rPr>
          <w:rFonts w:hint="eastAsia" w:ascii="仿宋_GB2312" w:hAnsi="Times New Roman" w:eastAsia="仿宋_GB2312" w:cs="Times New Roman"/>
          <w:color w:val="auto"/>
          <w:sz w:val="24"/>
          <w:highlight w:val="none"/>
        </w:rPr>
        <w:t>XFGFSG202X0XX</w:t>
      </w:r>
      <w:r>
        <w:rPr>
          <w:rFonts w:hint="eastAsia" w:ascii="仿宋_GB2312" w:hAnsi="Times New Roman" w:eastAsia="仿宋_GB2312" w:cs="Times New Roman"/>
          <w:color w:val="auto"/>
          <w:sz w:val="24"/>
          <w:highlight w:val="none"/>
        </w:rPr>
        <w:fldChar w:fldCharType="end"/>
      </w:r>
      <w:permEnd w:id="64"/>
    </w:p>
    <w:p w14:paraId="44E6EBAE">
      <w:pPr>
        <w:spacing w:line="360" w:lineRule="auto"/>
        <w:rPr>
          <w:rFonts w:hint="eastAsia" w:ascii="仿宋_GB2312" w:eastAsia="仿宋_GB2312"/>
          <w:color w:val="auto"/>
          <w:sz w:val="24"/>
          <w:highlight w:val="none"/>
          <w:lang w:eastAsia="zh-CN"/>
        </w:rPr>
      </w:pPr>
      <w:r>
        <w:rPr>
          <w:rFonts w:hint="eastAsia" w:ascii="仿宋_GB2312" w:eastAsia="仿宋_GB2312"/>
          <w:b/>
          <w:color w:val="auto"/>
          <w:sz w:val="24"/>
          <w:highlight w:val="none"/>
        </w:rPr>
        <w:t>发包人：</w:t>
      </w:r>
      <w:r>
        <w:rPr>
          <w:rFonts w:hint="eastAsia" w:ascii="仿宋_GB2312" w:eastAsia="仿宋_GB2312"/>
          <w:color w:val="auto"/>
          <w:sz w:val="24"/>
          <w:highlight w:val="none"/>
          <w:lang w:eastAsia="zh-CN"/>
        </w:rPr>
        <w:t>东莞市新锋新能源有限公司</w:t>
      </w:r>
    </w:p>
    <w:p w14:paraId="34DF29ED">
      <w:pPr>
        <w:spacing w:line="360" w:lineRule="auto"/>
        <w:rPr>
          <w:rFonts w:hint="default" w:ascii="仿宋_GB2312" w:eastAsia="仿宋_GB2312"/>
          <w:color w:val="auto"/>
          <w:sz w:val="24"/>
          <w:highlight w:val="none"/>
          <w:u w:val="none"/>
        </w:rPr>
      </w:pPr>
      <w:r>
        <w:rPr>
          <w:rFonts w:hint="eastAsia" w:ascii="仿宋_GB2312" w:eastAsia="仿宋_GB2312"/>
          <w:b/>
          <w:color w:val="auto"/>
          <w:sz w:val="24"/>
          <w:highlight w:val="none"/>
        </w:rPr>
        <w:t>承包人</w:t>
      </w:r>
      <w:r>
        <w:rPr>
          <w:rFonts w:hint="eastAsia" w:ascii="仿宋_GB2312" w:eastAsia="仿宋_GB2312"/>
          <w:b/>
          <w:color w:val="auto"/>
          <w:sz w:val="24"/>
          <w:highlight w:val="none"/>
          <w:lang w:eastAsia="zh-CN"/>
        </w:rPr>
        <w:t>：</w:t>
      </w:r>
      <w:r>
        <w:rPr>
          <w:rFonts w:hint="eastAsia" w:ascii="仿宋_GB2312" w:eastAsia="仿宋_GB2312"/>
          <w:color w:val="auto"/>
          <w:sz w:val="24"/>
          <w:highlight w:val="none"/>
        </w:rPr>
        <w:t>(主</w:t>
      </w:r>
      <w:r>
        <w:rPr>
          <w:rFonts w:hint="eastAsia" w:ascii="仿宋_GB2312" w:eastAsia="仿宋_GB2312"/>
          <w:color w:val="auto"/>
          <w:sz w:val="24"/>
          <w:highlight w:val="none"/>
          <w:u w:val="none"/>
        </w:rPr>
        <w:t>)</w:t>
      </w:r>
      <w:permStart w:id="65"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乙方（主）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65"/>
      <w:r>
        <w:rPr>
          <w:rFonts w:hint="eastAsia" w:ascii="仿宋_GB2312" w:eastAsia="仿宋_GB2312"/>
          <w:color w:val="auto"/>
          <w:sz w:val="24"/>
          <w:highlight w:val="none"/>
          <w:u w:val="none"/>
          <w:lang w:eastAsia="zh-CN"/>
        </w:rPr>
        <w:t>、</w:t>
      </w:r>
      <w:r>
        <w:rPr>
          <w:rFonts w:hint="eastAsia" w:ascii="仿宋_GB2312" w:eastAsia="仿宋_GB2312"/>
          <w:color w:val="auto"/>
          <w:sz w:val="24"/>
          <w:highlight w:val="none"/>
          <w:u w:val="none"/>
        </w:rPr>
        <w:t>(成)</w:t>
      </w:r>
      <w:permStart w:id="66"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乙方（成）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66"/>
    </w:p>
    <w:p w14:paraId="780403E4">
      <w:pPr>
        <w:spacing w:line="360" w:lineRule="auto"/>
        <w:rPr>
          <w:rFonts w:hint="default" w:ascii="仿宋_GB2312" w:eastAsia="仿宋_GB2312"/>
          <w:color w:val="auto"/>
          <w:sz w:val="24"/>
          <w:highlight w:val="none"/>
        </w:rPr>
      </w:pPr>
    </w:p>
    <w:p w14:paraId="6CE94923">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一、安全施工考核</w:t>
      </w:r>
    </w:p>
    <w:p w14:paraId="7359A5FE">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按照施工总承包合同的“安全施工”、“安全事故与检查”的有关内容执行。</w:t>
      </w:r>
    </w:p>
    <w:p w14:paraId="3495C24C">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二、发包人安全责任</w:t>
      </w:r>
    </w:p>
    <w:p w14:paraId="4CBAAA1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1.对承包人单位进行安全资质审查。</w:t>
      </w:r>
    </w:p>
    <w:p w14:paraId="37706D7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2.核实承包人进入施工场地的人员经过安全培训教育，具备安全上岗资格。施工场地属配电房、办公楼等治安消防管理重点部位的，配合承包人向建设单位申办出入登记。</w:t>
      </w:r>
    </w:p>
    <w:p w14:paraId="010E1E11">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3.监督承包人编制、报批施工方案（含安全组织措施、技术措施）。</w:t>
      </w:r>
    </w:p>
    <w:p w14:paraId="227A3DA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4.向承包人派出安全管理人员并按规定进行安全技术交底。</w:t>
      </w:r>
    </w:p>
    <w:p w14:paraId="67A66A2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5.按规定协助承包人办理工作票签发、许可手续，布置安全措施。</w:t>
      </w:r>
    </w:p>
    <w:p w14:paraId="7D99532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6.按照国家《</w:t>
      </w:r>
      <w:r>
        <w:rPr>
          <w:rFonts w:hint="eastAsia" w:ascii="仿宋_GB2312" w:eastAsia="仿宋_GB2312"/>
          <w:color w:val="auto"/>
          <w:sz w:val="24"/>
          <w:highlight w:val="none"/>
          <w:lang w:eastAsia="zh-CN"/>
        </w:rPr>
        <w:t>中华人民共和国安全生产法</w:t>
      </w:r>
      <w:r>
        <w:rPr>
          <w:rFonts w:hint="eastAsia" w:ascii="仿宋_GB2312" w:eastAsia="仿宋_GB2312"/>
          <w:color w:val="auto"/>
          <w:sz w:val="24"/>
          <w:highlight w:val="none"/>
        </w:rPr>
        <w:t>》规定，督促在同一区域长时间交叉作业的多个承包商开工前协商签订安全协议。</w:t>
      </w:r>
    </w:p>
    <w:p w14:paraId="5C0D048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7.向承包人传达有关安全施工、治安、消防工作管理制度、专项活动部署与事故通报等重要信息。</w:t>
      </w:r>
    </w:p>
    <w:p w14:paraId="668C4893">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三、承包人安全责任</w:t>
      </w:r>
    </w:p>
    <w:p w14:paraId="0C55D75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1.依法建立健全施工安全管理制度，严格执行南方电网公司《电网建设安全健康与环境管理办法实施细则》。</w:t>
      </w:r>
    </w:p>
    <w:p w14:paraId="30D3A57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2.对所派出的施工人员持证上岗和上岗前安全教育全面负责。</w:t>
      </w:r>
    </w:p>
    <w:p w14:paraId="4696737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3.开工前负责配合对施工人员进行安全技术交底,人</w:t>
      </w:r>
      <w:r>
        <w:rPr>
          <w:rFonts w:hint="eastAsia" w:ascii="仿宋_GB2312" w:eastAsia="仿宋_GB2312"/>
          <w:color w:val="auto"/>
          <w:sz w:val="24"/>
          <w:highlight w:val="none"/>
          <w:lang w:val="en-US" w:eastAsia="zh-CN"/>
        </w:rPr>
        <w:t>员</w:t>
      </w:r>
      <w:r>
        <w:rPr>
          <w:rFonts w:hint="eastAsia" w:ascii="仿宋_GB2312" w:eastAsia="仿宋_GB2312"/>
          <w:color w:val="auto"/>
          <w:sz w:val="24"/>
          <w:highlight w:val="none"/>
        </w:rPr>
        <w:t>签名记录。</w:t>
      </w:r>
    </w:p>
    <w:p w14:paraId="6CD5AF4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4.严格按照安全规程、制度要求组织实施现场施工作业，办理各类电气、动火工作票，并负责全面执行各项安全措施。</w:t>
      </w:r>
    </w:p>
    <w:p w14:paraId="00B389DA">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5.制订治安、消防工作管理措施并全面落实执行。</w:t>
      </w:r>
    </w:p>
    <w:p w14:paraId="04080C1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6.工地、工棚、临时宿舍等应按规定敷设、使用施工电源，配备足够的消防器材，必要时办理消防报审手续。</w:t>
      </w:r>
    </w:p>
    <w:p w14:paraId="06C98029">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7.易燃易爆物品应按规定在室内分类妥善保管，设置明显防火标志。</w:t>
      </w:r>
    </w:p>
    <w:p w14:paraId="5993DBF3">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8.负责施工范围内电力设施防盗工作，夜班值守人员要保证3人以上，并按规定做好废旧线材回收工作。</w:t>
      </w:r>
    </w:p>
    <w:p w14:paraId="1ED81C4D">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9.完全接受发包人或监理公司的安全管理和事故、违章处罚。</w:t>
      </w:r>
    </w:p>
    <w:p w14:paraId="0FF668CD">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四、违约责任及处罚</w:t>
      </w:r>
    </w:p>
    <w:p w14:paraId="0E6DBEA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按照总承包合同的“双方的权利和义务”、“违约责任”的有关内容执行。</w:t>
      </w:r>
    </w:p>
    <w:p w14:paraId="73CBC777">
      <w:pPr>
        <w:spacing w:line="360" w:lineRule="auto"/>
        <w:rPr>
          <w:rFonts w:hint="default" w:ascii="仿宋_GB2312" w:eastAsia="仿宋_GB2312"/>
          <w:b/>
          <w:color w:val="auto"/>
          <w:sz w:val="24"/>
          <w:highlight w:val="none"/>
        </w:rPr>
      </w:pPr>
      <w:r>
        <w:rPr>
          <w:rFonts w:hint="eastAsia" w:ascii="仿宋_GB2312" w:eastAsia="仿宋_GB2312"/>
          <w:b/>
          <w:color w:val="auto"/>
          <w:sz w:val="24"/>
          <w:highlight w:val="none"/>
        </w:rPr>
        <w:t>五、附则</w:t>
      </w:r>
    </w:p>
    <w:p w14:paraId="7C250AF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1.本合同未尽事宜，按国家有关法律法规执行。</w:t>
      </w:r>
    </w:p>
    <w:p w14:paraId="16D909E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2.本协议书与工程总承包合同为一整体合同文件。</w:t>
      </w:r>
    </w:p>
    <w:p w14:paraId="1C72429A">
      <w:pPr>
        <w:spacing w:line="360" w:lineRule="auto"/>
        <w:ind w:firstLine="480" w:firstLineChars="200"/>
        <w:rPr>
          <w:rFonts w:hint="default" w:ascii="仿宋_GB2312" w:eastAsia="仿宋_GB2312"/>
          <w:color w:val="auto"/>
          <w:sz w:val="24"/>
          <w:highlight w:val="none"/>
        </w:rPr>
      </w:pPr>
    </w:p>
    <w:p w14:paraId="4B7A3131">
      <w:pPr>
        <w:spacing w:line="360" w:lineRule="auto"/>
        <w:rPr>
          <w:rFonts w:hint="default" w:ascii="仿宋_GB2312" w:eastAsia="仿宋_GB2312"/>
          <w:color w:val="auto"/>
          <w:sz w:val="24"/>
          <w:highlight w:val="none"/>
        </w:rPr>
      </w:pPr>
    </w:p>
    <w:p w14:paraId="4DF526D7">
      <w:pPr>
        <w:spacing w:line="480" w:lineRule="auto"/>
        <w:ind w:firstLine="480" w:firstLineChars="200"/>
        <w:rPr>
          <w:rFonts w:hint="eastAsia" w:ascii="仿宋_GB2312" w:eastAsia="仿宋_GB2312"/>
          <w:color w:val="auto"/>
          <w:sz w:val="24"/>
          <w:highlight w:val="none"/>
          <w:u w:val="none"/>
          <w:lang w:eastAsia="zh-CN"/>
        </w:rPr>
      </w:pPr>
      <w:r>
        <w:rPr>
          <w:rFonts w:hint="eastAsia" w:ascii="仿宋_GB2312" w:eastAsia="仿宋_GB2312"/>
          <w:color w:val="auto"/>
          <w:sz w:val="24"/>
          <w:highlight w:val="none"/>
        </w:rPr>
        <w:t>发包人：（盖章）</w:t>
      </w:r>
      <w:r>
        <w:rPr>
          <w:rFonts w:hint="eastAsia" w:ascii="仿宋_GB2312" w:eastAsia="仿宋_GB2312"/>
          <w:color w:val="auto"/>
          <w:sz w:val="24"/>
          <w:highlight w:val="none"/>
          <w:u w:val="none"/>
          <w:lang w:eastAsia="zh-CN"/>
        </w:rPr>
        <w:t>东莞市新锋新能源有限公司</w:t>
      </w:r>
    </w:p>
    <w:p w14:paraId="3E598684">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 xml:space="preserve">法定代表人（或授权代表）签字：             </w:t>
      </w:r>
    </w:p>
    <w:p w14:paraId="0FA7455A">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日   期：    年   月   日</w:t>
      </w:r>
    </w:p>
    <w:p w14:paraId="3F16A501">
      <w:pPr>
        <w:spacing w:line="480" w:lineRule="auto"/>
        <w:ind w:firstLine="480" w:firstLineChars="200"/>
        <w:rPr>
          <w:rFonts w:hint="default" w:ascii="仿宋_GB2312" w:eastAsia="仿宋_GB2312"/>
          <w:color w:val="auto"/>
          <w:sz w:val="24"/>
          <w:highlight w:val="none"/>
        </w:rPr>
      </w:pPr>
    </w:p>
    <w:p w14:paraId="662069B6">
      <w:pPr>
        <w:spacing w:line="480" w:lineRule="auto"/>
        <w:ind w:firstLine="480" w:firstLineChars="200"/>
        <w:rPr>
          <w:rFonts w:hint="default" w:ascii="仿宋_GB2312" w:eastAsia="仿宋_GB2312"/>
          <w:color w:val="auto"/>
          <w:sz w:val="24"/>
          <w:highlight w:val="none"/>
          <w:u w:val="none"/>
        </w:rPr>
      </w:pPr>
      <w:r>
        <w:rPr>
          <w:rFonts w:hint="eastAsia" w:ascii="仿宋_GB2312" w:eastAsia="仿宋_GB2312"/>
          <w:color w:val="auto"/>
          <w:sz w:val="24"/>
          <w:highlight w:val="none"/>
        </w:rPr>
        <w:t>承包人（主）：（盖章）</w:t>
      </w:r>
      <w:permStart w:id="67"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乙方（主）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67"/>
      <w:r>
        <w:rPr>
          <w:rFonts w:hint="eastAsia" w:ascii="仿宋_GB2312" w:eastAsia="仿宋_GB2312"/>
          <w:color w:val="auto"/>
          <w:sz w:val="24"/>
          <w:highlight w:val="none"/>
          <w:u w:val="none"/>
        </w:rPr>
        <w:t xml:space="preserve">        </w:t>
      </w:r>
    </w:p>
    <w:p w14:paraId="5E742057">
      <w:pPr>
        <w:spacing w:line="480" w:lineRule="auto"/>
        <w:ind w:firstLine="480" w:firstLineChars="200"/>
        <w:rPr>
          <w:rFonts w:hint="default" w:ascii="仿宋_GB2312" w:eastAsia="仿宋_GB2312"/>
          <w:color w:val="auto"/>
          <w:sz w:val="24"/>
          <w:highlight w:val="none"/>
          <w:u w:val="none"/>
        </w:rPr>
      </w:pPr>
      <w:r>
        <w:rPr>
          <w:rFonts w:hint="eastAsia" w:ascii="仿宋_GB2312" w:eastAsia="仿宋_GB2312"/>
          <w:color w:val="auto"/>
          <w:sz w:val="24"/>
          <w:highlight w:val="none"/>
          <w:u w:val="none"/>
        </w:rPr>
        <w:t xml:space="preserve">法定代表人（或授权代表）签字：              </w:t>
      </w:r>
    </w:p>
    <w:p w14:paraId="470E0F05">
      <w:pPr>
        <w:spacing w:line="480" w:lineRule="auto"/>
        <w:ind w:firstLine="480" w:firstLineChars="200"/>
        <w:rPr>
          <w:rFonts w:hint="default" w:ascii="仿宋_GB2312" w:eastAsia="仿宋_GB2312"/>
          <w:color w:val="auto"/>
          <w:sz w:val="24"/>
          <w:highlight w:val="none"/>
          <w:u w:val="none"/>
        </w:rPr>
      </w:pPr>
      <w:r>
        <w:rPr>
          <w:rFonts w:hint="eastAsia" w:ascii="仿宋_GB2312" w:eastAsia="仿宋_GB2312"/>
          <w:color w:val="auto"/>
          <w:sz w:val="24"/>
          <w:highlight w:val="none"/>
          <w:u w:val="none"/>
        </w:rPr>
        <w:t>日    期：    年   月   日</w:t>
      </w:r>
    </w:p>
    <w:p w14:paraId="058837D4">
      <w:pPr>
        <w:spacing w:line="480" w:lineRule="auto"/>
        <w:ind w:firstLine="480" w:firstLineChars="200"/>
        <w:rPr>
          <w:rFonts w:hint="default" w:ascii="仿宋_GB2312" w:eastAsia="仿宋_GB2312"/>
          <w:color w:val="auto"/>
          <w:sz w:val="24"/>
          <w:highlight w:val="none"/>
          <w:u w:val="none"/>
        </w:rPr>
      </w:pPr>
    </w:p>
    <w:p w14:paraId="33F869F2">
      <w:pPr>
        <w:spacing w:line="480" w:lineRule="auto"/>
        <w:ind w:firstLine="480" w:firstLineChars="200"/>
        <w:rPr>
          <w:rFonts w:hint="default" w:ascii="仿宋_GB2312" w:eastAsia="仿宋_GB2312"/>
          <w:color w:val="auto"/>
          <w:sz w:val="24"/>
          <w:highlight w:val="none"/>
          <w:u w:val="none"/>
        </w:rPr>
      </w:pPr>
    </w:p>
    <w:p w14:paraId="78475938">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u w:val="none"/>
        </w:rPr>
        <w:t>承包人（成）：（盖章）</w:t>
      </w:r>
      <w:permStart w:id="68"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乙方（成）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68"/>
      <w:r>
        <w:rPr>
          <w:rFonts w:hint="eastAsia" w:ascii="仿宋_GB2312" w:eastAsia="仿宋_GB2312"/>
          <w:color w:val="auto"/>
          <w:sz w:val="24"/>
          <w:highlight w:val="none"/>
        </w:rPr>
        <w:t xml:space="preserve">        </w:t>
      </w:r>
    </w:p>
    <w:p w14:paraId="072AEA8E">
      <w:pPr>
        <w:spacing w:line="48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rPr>
        <w:t xml:space="preserve">法定代表人（或授权代表）签字：              </w:t>
      </w:r>
    </w:p>
    <w:p w14:paraId="07915A61">
      <w:pPr>
        <w:spacing w:line="480" w:lineRule="auto"/>
        <w:ind w:firstLine="480" w:firstLineChars="200"/>
        <w:rPr>
          <w:rFonts w:hint="eastAsia" w:ascii="仿宋_GB2312" w:hAnsi="仿宋_GB2312" w:eastAsia="仿宋_GB2312" w:cs="仿宋_GB2312"/>
          <w:b/>
          <w:color w:val="auto"/>
          <w:sz w:val="32"/>
          <w:szCs w:val="32"/>
          <w:highlight w:val="none"/>
        </w:rPr>
      </w:pPr>
      <w:r>
        <w:rPr>
          <w:rFonts w:hint="eastAsia" w:ascii="仿宋_GB2312" w:eastAsia="仿宋_GB2312"/>
          <w:color w:val="auto"/>
          <w:sz w:val="24"/>
          <w:highlight w:val="none"/>
        </w:rPr>
        <w:t>日    期：    年   月   日</w:t>
      </w:r>
    </w:p>
    <w:p w14:paraId="0B965465">
      <w:pPr>
        <w:spacing w:line="360" w:lineRule="auto"/>
        <w:jc w:val="left"/>
        <w:rPr>
          <w:rFonts w:hint="eastAsia" w:ascii="仿宋_GB2312" w:hAnsi="仿宋_GB2312" w:eastAsia="仿宋_GB2312" w:cs="仿宋_GB2312"/>
          <w:b/>
          <w:color w:val="auto"/>
          <w:sz w:val="32"/>
          <w:szCs w:val="32"/>
          <w:highlight w:val="none"/>
        </w:rPr>
        <w:sectPr>
          <w:headerReference r:id="rId16" w:type="first"/>
          <w:footerReference r:id="rId18" w:type="first"/>
          <w:headerReference r:id="rId15" w:type="default"/>
          <w:footerReference r:id="rId17" w:type="default"/>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732BAC80">
      <w:pPr>
        <w:pStyle w:val="36"/>
        <w:spacing w:before="156"/>
        <w:ind w:firstLine="0" w:firstLineChars="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 xml:space="preserve">附件3 </w:t>
      </w:r>
    </w:p>
    <w:p w14:paraId="2F1A30E2">
      <w:pPr>
        <w:pStyle w:val="36"/>
        <w:spacing w:before="156"/>
        <w:ind w:firstLine="0" w:firstLineChars="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廉洁协议</w:t>
      </w:r>
    </w:p>
    <w:p w14:paraId="3380986C">
      <w:pPr>
        <w:spacing w:line="360" w:lineRule="auto"/>
        <w:rPr>
          <w:rFonts w:hint="default" w:ascii="仿宋_GB2312" w:eastAsia="仿宋_GB2312"/>
          <w:color w:val="auto"/>
          <w:sz w:val="24"/>
          <w:highlight w:val="none"/>
        </w:rPr>
      </w:pPr>
      <w:r>
        <w:rPr>
          <w:rFonts w:hint="default" w:ascii="仿宋_GB2312" w:eastAsia="仿宋_GB2312"/>
          <w:b/>
          <w:color w:val="auto"/>
          <w:sz w:val="24"/>
          <w:highlight w:val="none"/>
        </w:rPr>
        <w:t>项目名称：</w:t>
      </w:r>
      <w:permStart w:id="69" w:edGrp="everyone"/>
      <w:r>
        <w:rPr>
          <w:rFonts w:hint="default" w:ascii="仿宋_GB2312" w:eastAsia="仿宋_GB2312"/>
          <w:color w:val="auto"/>
          <w:sz w:val="24"/>
          <w:highlight w:val="none"/>
        </w:rPr>
        <w:fldChar w:fldCharType="begin"/>
      </w:r>
      <w:r>
        <w:rPr>
          <w:rFonts w:hint="default" w:ascii="仿宋_GB2312" w:eastAsia="仿宋_GB2312"/>
          <w:color w:val="auto"/>
          <w:sz w:val="24"/>
          <w:highlight w:val="none"/>
        </w:rPr>
        <w:instrText xml:space="preserve"> REF 项目名称 \h </w:instrText>
      </w:r>
      <w:r>
        <w:rPr>
          <w:rFonts w:hint="default" w:ascii="仿宋_GB2312" w:eastAsia="仿宋_GB2312"/>
          <w:color w:val="auto"/>
          <w:sz w:val="24"/>
          <w:highlight w:val="none"/>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default" w:ascii="仿宋_GB2312" w:eastAsia="仿宋_GB2312"/>
          <w:color w:val="auto"/>
          <w:sz w:val="24"/>
          <w:highlight w:val="none"/>
        </w:rPr>
        <w:fldChar w:fldCharType="end"/>
      </w:r>
      <w:permEnd w:id="69"/>
    </w:p>
    <w:p w14:paraId="57A358C6">
      <w:pPr>
        <w:spacing w:line="360" w:lineRule="auto"/>
        <w:rPr>
          <w:rFonts w:hint="default" w:ascii="仿宋_GB2312" w:hAnsi="Times New Roman" w:eastAsia="仿宋_GB2312" w:cs="Times New Roman"/>
          <w:color w:val="auto"/>
          <w:sz w:val="24"/>
          <w:highlight w:val="none"/>
        </w:rPr>
      </w:pPr>
      <w:r>
        <w:rPr>
          <w:rFonts w:hint="default" w:ascii="仿宋_GB2312" w:eastAsia="仿宋_GB2312"/>
          <w:b/>
          <w:color w:val="auto"/>
          <w:sz w:val="24"/>
          <w:highlight w:val="none"/>
        </w:rPr>
        <w:t>合同编号：</w:t>
      </w:r>
      <w:permStart w:id="70" w:edGrp="everyone"/>
      <w:r>
        <w:rPr>
          <w:rFonts w:hint="eastAsia" w:ascii="仿宋_GB2312" w:hAnsi="Times New Roman" w:eastAsia="仿宋_GB2312" w:cs="Times New Roman"/>
          <w:color w:val="auto"/>
          <w:sz w:val="24"/>
          <w:highlight w:val="none"/>
        </w:rPr>
        <w:fldChar w:fldCharType="begin"/>
      </w:r>
      <w:r>
        <w:rPr>
          <w:rFonts w:hint="eastAsia" w:ascii="仿宋_GB2312" w:hAnsi="Times New Roman" w:eastAsia="仿宋_GB2312" w:cs="Times New Roman"/>
          <w:color w:val="auto"/>
          <w:sz w:val="24"/>
          <w:highlight w:val="none"/>
        </w:rPr>
        <w:instrText xml:space="preserve"> REF 合同编号 \h </w:instrText>
      </w:r>
      <w:r>
        <w:rPr>
          <w:rFonts w:hint="eastAsia" w:ascii="仿宋_GB2312" w:hAnsi="Times New Roman" w:eastAsia="仿宋_GB2312" w:cs="Times New Roman"/>
          <w:color w:val="auto"/>
          <w:sz w:val="24"/>
          <w:highlight w:val="none"/>
        </w:rPr>
        <w:fldChar w:fldCharType="separate"/>
      </w:r>
      <w:r>
        <w:rPr>
          <w:rFonts w:hint="eastAsia" w:ascii="仿宋_GB2312" w:hAnsi="Times New Roman" w:eastAsia="仿宋_GB2312" w:cs="Times New Roman"/>
          <w:color w:val="auto"/>
          <w:sz w:val="24"/>
          <w:highlight w:val="none"/>
        </w:rPr>
        <w:t>XFGFSG202X0XX</w:t>
      </w:r>
      <w:r>
        <w:rPr>
          <w:rFonts w:hint="eastAsia" w:ascii="仿宋_GB2312" w:hAnsi="Times New Roman" w:eastAsia="仿宋_GB2312" w:cs="Times New Roman"/>
          <w:color w:val="auto"/>
          <w:sz w:val="24"/>
          <w:highlight w:val="none"/>
        </w:rPr>
        <w:fldChar w:fldCharType="end"/>
      </w:r>
      <w:permEnd w:id="70"/>
    </w:p>
    <w:p w14:paraId="53AC71A2">
      <w:pPr>
        <w:spacing w:line="360" w:lineRule="auto"/>
        <w:rPr>
          <w:rFonts w:hint="eastAsia" w:ascii="仿宋_GB2312" w:eastAsia="仿宋_GB2312"/>
          <w:color w:val="auto"/>
          <w:sz w:val="24"/>
          <w:highlight w:val="none"/>
          <w:lang w:eastAsia="zh-CN"/>
        </w:rPr>
      </w:pPr>
      <w:r>
        <w:rPr>
          <w:rFonts w:hint="default" w:ascii="仿宋_GB2312" w:eastAsia="仿宋_GB2312"/>
          <w:b/>
          <w:color w:val="auto"/>
          <w:sz w:val="24"/>
          <w:highlight w:val="none"/>
        </w:rPr>
        <w:t>发包人：</w:t>
      </w:r>
      <w:r>
        <w:rPr>
          <w:rFonts w:hint="default" w:ascii="仿宋_GB2312" w:eastAsia="仿宋_GB2312"/>
          <w:color w:val="auto"/>
          <w:sz w:val="24"/>
          <w:highlight w:val="none"/>
        </w:rPr>
        <w:t xml:space="preserve"> </w:t>
      </w:r>
      <w:r>
        <w:rPr>
          <w:rFonts w:hint="eastAsia" w:ascii="仿宋_GB2312" w:eastAsia="仿宋_GB2312"/>
          <w:color w:val="auto"/>
          <w:sz w:val="24"/>
          <w:highlight w:val="none"/>
          <w:lang w:eastAsia="zh-CN"/>
        </w:rPr>
        <w:t>东莞市新锋新能源有限公司</w:t>
      </w:r>
    </w:p>
    <w:p w14:paraId="54A849FD">
      <w:pPr>
        <w:spacing w:line="360" w:lineRule="auto"/>
        <w:rPr>
          <w:rFonts w:hint="default" w:ascii="仿宋_GB2312" w:eastAsia="仿宋_GB2312"/>
          <w:color w:val="auto"/>
          <w:sz w:val="24"/>
          <w:highlight w:val="none"/>
          <w:u w:val="none"/>
        </w:rPr>
      </w:pPr>
      <w:r>
        <w:rPr>
          <w:rFonts w:hint="eastAsia" w:ascii="仿宋_GB2312" w:eastAsia="仿宋_GB2312"/>
          <w:b/>
          <w:color w:val="auto"/>
          <w:sz w:val="24"/>
          <w:highlight w:val="none"/>
        </w:rPr>
        <w:t>承包人</w:t>
      </w:r>
      <w:r>
        <w:rPr>
          <w:rFonts w:hint="eastAsia" w:ascii="仿宋_GB2312" w:eastAsia="仿宋_GB2312"/>
          <w:b/>
          <w:color w:val="auto"/>
          <w:sz w:val="24"/>
          <w:highlight w:val="none"/>
          <w:lang w:eastAsia="zh-CN"/>
        </w:rPr>
        <w:t>：</w:t>
      </w:r>
      <w:r>
        <w:rPr>
          <w:rFonts w:hint="eastAsia" w:ascii="仿宋_GB2312" w:eastAsia="仿宋_GB2312"/>
          <w:color w:val="auto"/>
          <w:sz w:val="24"/>
          <w:highlight w:val="none"/>
        </w:rPr>
        <w:t>(主</w:t>
      </w:r>
      <w:r>
        <w:rPr>
          <w:rFonts w:hint="eastAsia" w:ascii="仿宋_GB2312" w:eastAsia="仿宋_GB2312"/>
          <w:color w:val="auto"/>
          <w:sz w:val="24"/>
          <w:highlight w:val="none"/>
          <w:u w:val="none"/>
        </w:rPr>
        <w:t>)</w:t>
      </w:r>
      <w:permStart w:id="71"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乙方（主）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71"/>
      <w:r>
        <w:rPr>
          <w:rFonts w:hint="eastAsia" w:ascii="仿宋_GB2312" w:eastAsia="仿宋_GB2312"/>
          <w:color w:val="auto"/>
          <w:sz w:val="24"/>
          <w:highlight w:val="none"/>
          <w:u w:val="none"/>
          <w:lang w:eastAsia="zh-CN"/>
        </w:rPr>
        <w:t>、</w:t>
      </w:r>
      <w:r>
        <w:rPr>
          <w:rFonts w:hint="eastAsia" w:ascii="仿宋_GB2312" w:eastAsia="仿宋_GB2312"/>
          <w:color w:val="auto"/>
          <w:sz w:val="24"/>
          <w:highlight w:val="none"/>
          <w:u w:val="none"/>
        </w:rPr>
        <w:t>(成)</w:t>
      </w:r>
      <w:permStart w:id="72"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乙方（成）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72"/>
    </w:p>
    <w:p w14:paraId="22D1F973">
      <w:pPr>
        <w:spacing w:line="360" w:lineRule="auto"/>
        <w:ind w:firstLine="480" w:firstLineChars="200"/>
        <w:rPr>
          <w:rFonts w:hint="default" w:ascii="仿宋_GB2312" w:eastAsia="仿宋_GB2312"/>
          <w:color w:val="auto"/>
          <w:sz w:val="24"/>
          <w:highlight w:val="none"/>
        </w:rPr>
      </w:pPr>
    </w:p>
    <w:p w14:paraId="77E69259">
      <w:pPr>
        <w:spacing w:line="36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为规范</w:t>
      </w:r>
      <w:r>
        <w:rPr>
          <w:rFonts w:hint="eastAsia" w:ascii="仿宋_GB2312" w:hAnsi="Times New Roman" w:eastAsia="仿宋_GB2312" w:cs="Times New Roman"/>
          <w:color w:val="auto"/>
          <w:sz w:val="24"/>
          <w:highlight w:val="none"/>
          <w:lang w:val="en-US" w:eastAsia="zh-CN"/>
        </w:rPr>
        <w:t>发、承包人</w:t>
      </w:r>
      <w:r>
        <w:rPr>
          <w:rFonts w:hint="default" w:ascii="仿宋_GB2312" w:eastAsia="仿宋_GB2312"/>
          <w:color w:val="auto"/>
          <w:sz w:val="24"/>
          <w:highlight w:val="none"/>
        </w:rPr>
        <w:t>双方的行为，防止违法违纪事件的发生，经双方协商同意，签订廉洁协议，供双方恪守，具体条款如下：</w:t>
      </w:r>
    </w:p>
    <w:p w14:paraId="23731AD9">
      <w:pPr>
        <w:spacing w:line="360" w:lineRule="auto"/>
        <w:rPr>
          <w:rFonts w:hint="default" w:ascii="仿宋_GB2312" w:eastAsia="仿宋_GB2312"/>
          <w:b/>
          <w:color w:val="auto"/>
          <w:sz w:val="24"/>
          <w:highlight w:val="none"/>
        </w:rPr>
      </w:pPr>
      <w:r>
        <w:rPr>
          <w:rFonts w:hint="default" w:ascii="仿宋_GB2312" w:eastAsia="仿宋_GB2312"/>
          <w:b/>
          <w:color w:val="auto"/>
          <w:sz w:val="24"/>
          <w:highlight w:val="none"/>
        </w:rPr>
        <w:t>一、发包人的权利和义务</w:t>
      </w:r>
    </w:p>
    <w:p w14:paraId="0E889E5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1.</w:t>
      </w:r>
      <w:r>
        <w:rPr>
          <w:rFonts w:hint="default" w:ascii="仿宋_GB2312" w:eastAsia="仿宋_GB2312"/>
          <w:color w:val="auto"/>
          <w:sz w:val="24"/>
          <w:highlight w:val="none"/>
        </w:rPr>
        <w:t>发包人的工作人员有责任向承包人介绍本单位有关廉洁从业的制度、规定。发包人的纪检监察人员有权对双方在合同执行过程中的廉洁情况进行监督。</w:t>
      </w:r>
    </w:p>
    <w:p w14:paraId="6E02987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default" w:ascii="仿宋_GB2312" w:eastAsia="仿宋_GB2312"/>
          <w:color w:val="auto"/>
          <w:sz w:val="24"/>
          <w:highlight w:val="none"/>
        </w:rPr>
        <w:t>发包人的工作人员不得向承包人泄露经济活动中的商业秘密。</w:t>
      </w:r>
    </w:p>
    <w:p w14:paraId="57893A9C">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3.</w:t>
      </w:r>
      <w:r>
        <w:rPr>
          <w:rFonts w:hint="default" w:ascii="仿宋_GB2312" w:eastAsia="仿宋_GB2312"/>
          <w:color w:val="auto"/>
          <w:sz w:val="24"/>
          <w:highlight w:val="none"/>
        </w:rPr>
        <w:t>发包人的工作人员在业务往来过程以及合同执行过程中，不得以任何形式向承包人索取贿赂、收受回扣及好处费等；不得接受承包人馈赠的有价证券和贵重物品；不得让承包人报销任何费用；不得参加对执行公务有影响的娱乐活动和宴请；不得向承包人介绍家属或亲友从事与该项目有关的材料、设备供应和该项目分包等经济活动；不得要求承包人为其装修房子；不得要求承包人为亲属安排出境和国内旅游等；不得借婚丧嫁娶之机收受承包人的钱（含有价证券）、物。</w:t>
      </w:r>
    </w:p>
    <w:p w14:paraId="608914E2">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default" w:ascii="仿宋_GB2312" w:eastAsia="仿宋_GB2312"/>
          <w:color w:val="auto"/>
          <w:sz w:val="24"/>
          <w:highlight w:val="none"/>
        </w:rPr>
        <w:t>对承包人主动给予的钱（含有价证券）、物，发包人的工作人员要坚决谢绝，无法拒绝的要在两周内上交发包人的纪检监察部门或上级纪检监察部门。</w:t>
      </w:r>
    </w:p>
    <w:p w14:paraId="1FCD01E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default" w:ascii="仿宋_GB2312" w:eastAsia="仿宋_GB2312"/>
          <w:color w:val="auto"/>
          <w:sz w:val="24"/>
          <w:highlight w:val="none"/>
        </w:rPr>
        <w:t>发包人的工作人员必须遵守廉洁自律的其他有关规定。</w:t>
      </w:r>
    </w:p>
    <w:p w14:paraId="38717C7A">
      <w:pPr>
        <w:spacing w:line="360" w:lineRule="auto"/>
        <w:rPr>
          <w:rFonts w:hint="default" w:ascii="仿宋_GB2312" w:eastAsia="仿宋_GB2312"/>
          <w:b/>
          <w:color w:val="auto"/>
          <w:sz w:val="24"/>
          <w:highlight w:val="none"/>
        </w:rPr>
      </w:pPr>
      <w:r>
        <w:rPr>
          <w:rFonts w:hint="default" w:ascii="仿宋_GB2312" w:eastAsia="仿宋_GB2312"/>
          <w:b/>
          <w:color w:val="auto"/>
          <w:sz w:val="24"/>
          <w:highlight w:val="none"/>
        </w:rPr>
        <w:t>二、承包人的权利和义务</w:t>
      </w:r>
    </w:p>
    <w:p w14:paraId="5B3F6340">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1.</w:t>
      </w:r>
      <w:r>
        <w:rPr>
          <w:rFonts w:hint="default" w:ascii="仿宋_GB2312" w:eastAsia="仿宋_GB2312"/>
          <w:color w:val="auto"/>
          <w:sz w:val="24"/>
          <w:highlight w:val="none"/>
        </w:rPr>
        <w:t>承包人的纪检监察人员有权对双方在业务往来及合同执行过程中的廉洁从业情况进行监督，并积极配合发包人纪检监察工作人员就有关违纪问题进行调查取证。</w:t>
      </w:r>
    </w:p>
    <w:p w14:paraId="358C541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default" w:ascii="仿宋_GB2312" w:eastAsia="仿宋_GB2312"/>
          <w:color w:val="auto"/>
          <w:sz w:val="24"/>
          <w:highlight w:val="none"/>
        </w:rPr>
        <w:t>承包人有权了解发包人在廉洁从业方面的各项制度和规定，并主动配合发包人遵守执行。</w:t>
      </w:r>
    </w:p>
    <w:p w14:paraId="743D9054">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3.</w:t>
      </w:r>
      <w:r>
        <w:rPr>
          <w:rFonts w:hint="default" w:ascii="仿宋_GB2312" w:eastAsia="仿宋_GB2312"/>
          <w:color w:val="auto"/>
          <w:sz w:val="24"/>
          <w:highlight w:val="none"/>
        </w:rPr>
        <w:t>承包人的工作人员不得以任何方式向发包人的工作人员了解业务往来中的商业秘密。</w:t>
      </w:r>
    </w:p>
    <w:p w14:paraId="5DCE123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default" w:ascii="仿宋_GB2312" w:eastAsia="仿宋_GB2312"/>
          <w:color w:val="auto"/>
          <w:sz w:val="24"/>
          <w:highlight w:val="none"/>
        </w:rPr>
        <w:t>承包人的工作人员在业务往来过程及合同执行过程中，不得向发包人的工作人员行贿、提供回扣或其他好处费等；不得向发包人的工作人员馈赠有价证券和贵重物品；不得给发包人的工作人员报销任何费用；不得为发包人的工作人员购置或长期无偿提供交通工具、通讯工具、家电、办公用品等；不得邀请发包人的工作人员参加对执行公务有影响的娱乐活动和宴请；不得接受发包人的工作人员介绍的家属或亲友从事与该项目有关的材料、设备供应或该项目分包等经济活动；不得为发包人的工作人员装修房子；不得为发包人的工作人员的亲属安排出境和国内旅游等；不得借婚丧嫁娶之机向发包人的工作人员赠送钱（含有价证券）、物。</w:t>
      </w:r>
    </w:p>
    <w:p w14:paraId="3C94B796">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default" w:ascii="仿宋_GB2312" w:eastAsia="仿宋_GB2312"/>
          <w:color w:val="auto"/>
          <w:sz w:val="24"/>
          <w:highlight w:val="none"/>
        </w:rPr>
        <w:t>承包人发现发包人的工作人员有不廉洁的行为，必须在48小时内署名报告发包人的纪检监察人员或有关领导。</w:t>
      </w:r>
    </w:p>
    <w:p w14:paraId="5777D980">
      <w:pPr>
        <w:spacing w:line="360" w:lineRule="auto"/>
        <w:rPr>
          <w:rFonts w:hint="default" w:ascii="仿宋_GB2312" w:eastAsia="仿宋_GB2312"/>
          <w:b/>
          <w:color w:val="auto"/>
          <w:sz w:val="24"/>
          <w:highlight w:val="none"/>
        </w:rPr>
      </w:pPr>
      <w:r>
        <w:rPr>
          <w:rFonts w:hint="default" w:ascii="仿宋_GB2312" w:eastAsia="仿宋_GB2312"/>
          <w:b/>
          <w:color w:val="auto"/>
          <w:sz w:val="24"/>
          <w:highlight w:val="none"/>
        </w:rPr>
        <w:t>三、违约责任</w:t>
      </w:r>
    </w:p>
    <w:p w14:paraId="3CBFAFBF">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1.</w:t>
      </w:r>
      <w:r>
        <w:rPr>
          <w:rFonts w:hint="default" w:ascii="仿宋_GB2312" w:eastAsia="仿宋_GB2312"/>
          <w:color w:val="auto"/>
          <w:sz w:val="24"/>
          <w:highlight w:val="none"/>
        </w:rPr>
        <w:t>发包人的工作人员违反廉洁责任，经调查属实的，发包人将依据党、政纪对当事人进行严肃处理，对涉嫌犯罪人员移送司法机关。</w:t>
      </w:r>
    </w:p>
    <w:p w14:paraId="1A1DFCE5">
      <w:pPr>
        <w:spacing w:line="360" w:lineRule="auto"/>
        <w:ind w:firstLine="480" w:firstLineChars="200"/>
        <w:rPr>
          <w:rFonts w:hint="default"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default" w:ascii="仿宋_GB2312" w:eastAsia="仿宋_GB2312"/>
          <w:color w:val="auto"/>
          <w:sz w:val="24"/>
          <w:highlight w:val="none"/>
        </w:rPr>
        <w:t>承包人工作人员违反廉洁责任，经调查属实，发包人有权对承包人进行一次性扣罚与其签订合同总价款的0.5—10%直至终止合同执行，由此造成的经济损失由承包人承担。在今后项目中，发包人公司系统各企业不再考虑与承包人的合作。</w:t>
      </w:r>
    </w:p>
    <w:p w14:paraId="0073B019">
      <w:pPr>
        <w:spacing w:line="360" w:lineRule="auto"/>
        <w:rPr>
          <w:rFonts w:hint="default" w:ascii="仿宋_GB2312" w:eastAsia="仿宋_GB2312"/>
          <w:b/>
          <w:color w:val="auto"/>
          <w:sz w:val="24"/>
          <w:highlight w:val="none"/>
        </w:rPr>
      </w:pPr>
      <w:r>
        <w:rPr>
          <w:rFonts w:hint="default" w:ascii="仿宋_GB2312" w:eastAsia="仿宋_GB2312"/>
          <w:b/>
          <w:color w:val="auto"/>
          <w:sz w:val="24"/>
          <w:highlight w:val="none"/>
        </w:rPr>
        <w:t>四、协议的生效</w:t>
      </w:r>
    </w:p>
    <w:p w14:paraId="2715CB66">
      <w:pPr>
        <w:spacing w:line="360" w:lineRule="auto"/>
        <w:ind w:firstLine="480" w:firstLineChars="200"/>
        <w:jc w:val="both"/>
        <w:rPr>
          <w:rFonts w:hint="default" w:ascii="仿宋_GB2312" w:hAnsi="Times New Roman" w:eastAsia="仿宋_GB2312" w:cs="Times New Roman"/>
          <w:color w:val="auto"/>
          <w:sz w:val="24"/>
          <w:highlight w:val="none"/>
        </w:rPr>
      </w:pPr>
      <w:r>
        <w:rPr>
          <w:rFonts w:hint="eastAsia" w:ascii="仿宋_GB2312" w:hAnsi="Times New Roman" w:eastAsia="仿宋_GB2312" w:cs="Times New Roman"/>
          <w:color w:val="auto"/>
          <w:sz w:val="24"/>
          <w:highlight w:val="none"/>
          <w:lang w:val="en-US" w:eastAsia="zh-CN"/>
        </w:rPr>
        <w:t>1</w:t>
      </w:r>
      <w:r>
        <w:rPr>
          <w:rFonts w:hint="eastAsia" w:ascii="仿宋_GB2312" w:hAnsi="Times New Roman" w:eastAsia="仿宋_GB2312" w:cs="Times New Roman"/>
          <w:color w:val="auto"/>
          <w:sz w:val="24"/>
          <w:highlight w:val="none"/>
        </w:rPr>
        <w:t>.</w:t>
      </w:r>
      <w:r>
        <w:rPr>
          <w:rFonts w:hint="default" w:ascii="仿宋_GB2312" w:hAnsi="Times New Roman" w:eastAsia="仿宋_GB2312" w:cs="Times New Roman"/>
          <w:color w:val="auto"/>
          <w:sz w:val="24"/>
          <w:highlight w:val="none"/>
        </w:rPr>
        <w:t>本</w:t>
      </w:r>
      <w:r>
        <w:rPr>
          <w:rFonts w:hint="eastAsia" w:ascii="仿宋_GB2312" w:hAnsi="Times New Roman" w:eastAsia="仿宋_GB2312" w:cs="Times New Roman"/>
          <w:color w:val="auto"/>
          <w:sz w:val="24"/>
          <w:highlight w:val="none"/>
        </w:rPr>
        <w:t>协议</w:t>
      </w:r>
      <w:permStart w:id="73" w:edGrp="everyone"/>
      <w:r>
        <w:rPr>
          <w:rFonts w:hint="default" w:ascii="仿宋_GB2312" w:hAnsi="Times New Roman" w:eastAsia="仿宋_GB2312" w:cs="Times New Roman"/>
          <w:color w:val="auto"/>
          <w:sz w:val="24"/>
          <w:highlight w:val="none"/>
        </w:rPr>
        <w:fldChar w:fldCharType="begin"/>
      </w:r>
      <w:r>
        <w:rPr>
          <w:rFonts w:hint="default" w:ascii="仿宋_GB2312" w:hAnsi="Times New Roman" w:eastAsia="仿宋_GB2312" w:cs="Times New Roman"/>
          <w:color w:val="auto"/>
          <w:sz w:val="24"/>
          <w:highlight w:val="none"/>
        </w:rPr>
        <w:instrText xml:space="preserve"> REF 合同总数 \h </w:instrText>
      </w:r>
      <w:r>
        <w:rPr>
          <w:rFonts w:hint="default" w:ascii="仿宋_GB2312" w:hAnsi="Times New Roman" w:eastAsia="仿宋_GB2312" w:cs="Times New Roman"/>
          <w:color w:val="auto"/>
          <w:sz w:val="24"/>
          <w:highlight w:val="none"/>
        </w:rPr>
        <w:fldChar w:fldCharType="separate"/>
      </w:r>
      <w:r>
        <w:rPr>
          <w:rFonts w:hint="eastAsia" w:ascii="仿宋_GB2312" w:eastAsia="仿宋_GB2312"/>
          <w:color w:val="auto"/>
          <w:sz w:val="24"/>
          <w:highlight w:val="none"/>
        </w:rPr>
        <w:t>一式陆份</w:t>
      </w:r>
      <w:r>
        <w:rPr>
          <w:rFonts w:hint="default" w:ascii="仿宋_GB2312" w:hAnsi="Times New Roman" w:eastAsia="仿宋_GB2312" w:cs="Times New Roman"/>
          <w:color w:val="auto"/>
          <w:sz w:val="24"/>
          <w:highlight w:val="none"/>
        </w:rPr>
        <w:fldChar w:fldCharType="end"/>
      </w:r>
      <w:permEnd w:id="73"/>
      <w:r>
        <w:rPr>
          <w:rFonts w:hint="default" w:ascii="仿宋_GB2312" w:hAnsi="Times New Roman" w:eastAsia="仿宋_GB2312" w:cs="Times New Roman"/>
          <w:color w:val="auto"/>
          <w:sz w:val="24"/>
          <w:highlight w:val="none"/>
        </w:rPr>
        <w:t>，</w:t>
      </w:r>
      <w:r>
        <w:rPr>
          <w:rFonts w:hint="eastAsia" w:ascii="仿宋_GB2312" w:hAnsi="Times New Roman" w:eastAsia="仿宋_GB2312" w:cs="Times New Roman"/>
          <w:color w:val="auto"/>
          <w:sz w:val="24"/>
          <w:highlight w:val="none"/>
          <w:lang w:eastAsia="zh-CN"/>
        </w:rPr>
        <w:t>发包人</w:t>
      </w:r>
      <w:r>
        <w:rPr>
          <w:rFonts w:hint="default" w:ascii="仿宋_GB2312" w:hAnsi="Times New Roman" w:eastAsia="仿宋_GB2312" w:cs="Times New Roman"/>
          <w:color w:val="auto"/>
          <w:sz w:val="24"/>
          <w:highlight w:val="none"/>
        </w:rPr>
        <w:t>执</w:t>
      </w:r>
      <w:r>
        <w:rPr>
          <w:rFonts w:hint="eastAsia" w:ascii="仿宋_GB2312" w:hAnsi="Times New Roman" w:eastAsia="仿宋_GB2312" w:cs="Times New Roman"/>
          <w:color w:val="auto"/>
          <w:sz w:val="24"/>
          <w:highlight w:val="none"/>
        </w:rPr>
        <w:t>贰</w:t>
      </w:r>
      <w:r>
        <w:rPr>
          <w:rFonts w:hint="default" w:ascii="仿宋_GB2312" w:hAnsi="Times New Roman" w:eastAsia="仿宋_GB2312" w:cs="Times New Roman"/>
          <w:color w:val="auto"/>
          <w:sz w:val="24"/>
          <w:highlight w:val="none"/>
        </w:rPr>
        <w:t>份，</w:t>
      </w:r>
      <w:r>
        <w:rPr>
          <w:rFonts w:hint="eastAsia" w:ascii="仿宋_GB2312" w:hAnsi="Times New Roman" w:eastAsia="仿宋_GB2312" w:cs="Times New Roman"/>
          <w:color w:val="auto"/>
          <w:sz w:val="24"/>
          <w:highlight w:val="none"/>
          <w:lang w:eastAsia="zh-CN"/>
        </w:rPr>
        <w:t>承包人</w:t>
      </w:r>
      <w:permStart w:id="74" w:edGrp="everyone"/>
      <w:r>
        <w:rPr>
          <w:rFonts w:hint="eastAsia" w:ascii="仿宋_GB2312" w:hAnsi="Times New Roman" w:eastAsia="仿宋_GB2312" w:cs="Times New Roman"/>
          <w:color w:val="auto"/>
          <w:sz w:val="24"/>
          <w:highlight w:val="none"/>
          <w:lang w:val="en-US" w:eastAsia="zh-CN"/>
        </w:rPr>
        <w:fldChar w:fldCharType="begin"/>
      </w:r>
      <w:r>
        <w:rPr>
          <w:rFonts w:hint="eastAsia" w:ascii="仿宋_GB2312" w:hAnsi="Times New Roman" w:eastAsia="仿宋_GB2312" w:cs="Times New Roman"/>
          <w:color w:val="auto"/>
          <w:sz w:val="24"/>
          <w:highlight w:val="none"/>
          <w:lang w:val="en-US" w:eastAsia="zh-CN"/>
        </w:rPr>
        <w:instrText xml:space="preserve"> REF 乙方份数 \h </w:instrText>
      </w:r>
      <w:r>
        <w:rPr>
          <w:rFonts w:hint="eastAsia" w:ascii="仿宋_GB2312" w:hAnsi="Times New Roman" w:eastAsia="仿宋_GB2312" w:cs="Times New Roman"/>
          <w:color w:val="auto"/>
          <w:sz w:val="24"/>
          <w:highlight w:val="none"/>
          <w:lang w:val="en-US" w:eastAsia="zh-CN"/>
        </w:rPr>
        <w:fldChar w:fldCharType="separate"/>
      </w:r>
      <w:r>
        <w:rPr>
          <w:rFonts w:hint="eastAsia" w:ascii="仿宋_GB2312" w:eastAsia="仿宋_GB2312"/>
          <w:color w:val="auto"/>
          <w:sz w:val="24"/>
          <w:highlight w:val="none"/>
        </w:rPr>
        <w:t>各执贰份</w:t>
      </w:r>
      <w:r>
        <w:rPr>
          <w:rFonts w:hint="eastAsia" w:ascii="仿宋_GB2312" w:hAnsi="Times New Roman" w:eastAsia="仿宋_GB2312" w:cs="Times New Roman"/>
          <w:color w:val="auto"/>
          <w:sz w:val="24"/>
          <w:highlight w:val="none"/>
          <w:lang w:val="en-US" w:eastAsia="zh-CN"/>
        </w:rPr>
        <w:fldChar w:fldCharType="end"/>
      </w:r>
      <w:permEnd w:id="74"/>
      <w:r>
        <w:rPr>
          <w:rFonts w:hint="eastAsia" w:ascii="仿宋_GB2312" w:hAnsi="Times New Roman" w:eastAsia="仿宋_GB2312" w:cs="Times New Roman"/>
          <w:color w:val="auto"/>
          <w:sz w:val="24"/>
          <w:highlight w:val="none"/>
        </w:rPr>
        <w:t>,具有同等法律效力。</w:t>
      </w:r>
    </w:p>
    <w:p w14:paraId="02A2757D">
      <w:pPr>
        <w:spacing w:line="360" w:lineRule="auto"/>
        <w:ind w:firstLine="480" w:firstLineChars="200"/>
        <w:jc w:val="both"/>
        <w:rPr>
          <w:rFonts w:hint="default" w:ascii="仿宋_GB2312" w:hAnsi="Times New Roman" w:eastAsia="仿宋_GB2312" w:cs="Times New Roman"/>
          <w:color w:val="auto"/>
          <w:sz w:val="24"/>
          <w:highlight w:val="none"/>
        </w:rPr>
      </w:pPr>
      <w:r>
        <w:rPr>
          <w:rFonts w:hint="eastAsia" w:ascii="仿宋_GB2312" w:hAnsi="Times New Roman" w:eastAsia="仿宋_GB2312" w:cs="Times New Roman"/>
          <w:color w:val="auto"/>
          <w:sz w:val="24"/>
          <w:highlight w:val="none"/>
          <w:lang w:val="en-US" w:eastAsia="zh-CN"/>
        </w:rPr>
        <w:t>2</w:t>
      </w:r>
      <w:r>
        <w:rPr>
          <w:rFonts w:hint="eastAsia" w:ascii="仿宋_GB2312" w:hAnsi="Times New Roman" w:eastAsia="仿宋_GB2312" w:cs="Times New Roman"/>
          <w:color w:val="auto"/>
          <w:sz w:val="24"/>
          <w:highlight w:val="none"/>
        </w:rPr>
        <w:t>.本协议经双方签署后生效。</w:t>
      </w:r>
    </w:p>
    <w:p w14:paraId="5A58F47A">
      <w:pPr>
        <w:spacing w:line="360" w:lineRule="auto"/>
        <w:ind w:firstLine="480" w:firstLineChars="200"/>
        <w:rPr>
          <w:rFonts w:hint="default" w:ascii="仿宋_GB2312" w:eastAsia="仿宋_GB2312"/>
          <w:color w:val="auto"/>
          <w:sz w:val="24"/>
          <w:highlight w:val="none"/>
        </w:rPr>
      </w:pPr>
    </w:p>
    <w:p w14:paraId="0CAC7C13">
      <w:pPr>
        <w:pStyle w:val="36"/>
        <w:spacing w:before="156"/>
        <w:ind w:firstLine="480"/>
        <w:rPr>
          <w:color w:val="auto"/>
          <w:highlight w:val="none"/>
        </w:rPr>
      </w:pPr>
    </w:p>
    <w:p w14:paraId="0B6788D4">
      <w:pPr>
        <w:rPr>
          <w:color w:val="auto"/>
          <w:highlight w:val="none"/>
        </w:rPr>
      </w:pPr>
    </w:p>
    <w:p w14:paraId="1454E9C6">
      <w:pPr>
        <w:pStyle w:val="36"/>
        <w:spacing w:before="156"/>
        <w:ind w:firstLine="480"/>
        <w:rPr>
          <w:color w:val="auto"/>
          <w:highlight w:val="none"/>
        </w:rPr>
      </w:pPr>
    </w:p>
    <w:p w14:paraId="7E4E0A8D">
      <w:pPr>
        <w:rPr>
          <w:color w:val="auto"/>
          <w:highlight w:val="none"/>
        </w:rPr>
      </w:pPr>
    </w:p>
    <w:p w14:paraId="2D2075AD">
      <w:pPr>
        <w:pStyle w:val="36"/>
        <w:spacing w:before="156"/>
        <w:ind w:firstLine="480"/>
        <w:rPr>
          <w:color w:val="auto"/>
          <w:highlight w:val="none"/>
        </w:rPr>
      </w:pPr>
    </w:p>
    <w:p w14:paraId="4017ABD6">
      <w:pPr>
        <w:rPr>
          <w:color w:val="auto"/>
          <w:highlight w:val="none"/>
        </w:rPr>
      </w:pPr>
    </w:p>
    <w:p w14:paraId="4F7C229E">
      <w:pPr>
        <w:pStyle w:val="36"/>
        <w:spacing w:before="156"/>
        <w:ind w:firstLine="480"/>
        <w:rPr>
          <w:color w:val="auto"/>
          <w:highlight w:val="none"/>
        </w:rPr>
      </w:pPr>
    </w:p>
    <w:p w14:paraId="088C0D2D">
      <w:pPr>
        <w:ind w:firstLine="420" w:firstLineChars="200"/>
        <w:rPr>
          <w:rFonts w:hint="eastAsia" w:ascii="仿宋_GB2312" w:eastAsia="仿宋_GB2312"/>
          <w:color w:val="auto"/>
          <w:highlight w:val="none"/>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4891FAE7">
      <w:pPr>
        <w:spacing w:line="480" w:lineRule="auto"/>
        <w:ind w:firstLine="480" w:firstLineChars="200"/>
        <w:jc w:val="both"/>
        <w:rPr>
          <w:rFonts w:hint="default" w:ascii="仿宋_GB2312" w:hAnsi="Times New Roman" w:eastAsia="仿宋_GB2312" w:cs="Times New Roman"/>
          <w:color w:val="auto"/>
          <w:sz w:val="24"/>
          <w:highlight w:val="none"/>
        </w:rPr>
      </w:pPr>
      <w:r>
        <w:rPr>
          <w:rFonts w:hint="eastAsia" w:ascii="仿宋_GB2312" w:hAnsi="Times New Roman" w:eastAsia="仿宋_GB2312" w:cs="Times New Roman"/>
          <w:color w:val="auto"/>
          <w:sz w:val="24"/>
          <w:highlight w:val="none"/>
        </w:rPr>
        <w:t>（签署页）</w:t>
      </w:r>
    </w:p>
    <w:p w14:paraId="2922EF35">
      <w:pPr>
        <w:pStyle w:val="36"/>
        <w:spacing w:before="156"/>
        <w:ind w:firstLine="480"/>
        <w:rPr>
          <w:color w:val="auto"/>
          <w:highlight w:val="none"/>
        </w:rPr>
      </w:pPr>
    </w:p>
    <w:p w14:paraId="6AD90344">
      <w:pPr>
        <w:spacing w:line="480" w:lineRule="auto"/>
        <w:ind w:firstLine="480" w:firstLineChars="200"/>
        <w:rPr>
          <w:rFonts w:hint="eastAsia" w:ascii="仿宋_GB2312" w:eastAsia="仿宋_GB2312"/>
          <w:color w:val="auto"/>
          <w:sz w:val="24"/>
          <w:highlight w:val="none"/>
          <w:lang w:eastAsia="zh-CN"/>
        </w:rPr>
      </w:pPr>
      <w:r>
        <w:rPr>
          <w:rFonts w:hint="default" w:ascii="仿宋_GB2312" w:eastAsia="仿宋_GB2312"/>
          <w:color w:val="auto"/>
          <w:sz w:val="24"/>
          <w:highlight w:val="none"/>
        </w:rPr>
        <w:t>发包人：（盖章）</w:t>
      </w:r>
      <w:r>
        <w:rPr>
          <w:rFonts w:hint="eastAsia" w:ascii="仿宋_GB2312" w:eastAsia="仿宋_GB2312"/>
          <w:color w:val="auto"/>
          <w:sz w:val="24"/>
          <w:highlight w:val="none"/>
          <w:u w:val="none"/>
          <w:lang w:eastAsia="zh-CN"/>
        </w:rPr>
        <w:t>东莞市新锋新能源有限公司</w:t>
      </w:r>
    </w:p>
    <w:p w14:paraId="68AB3FE3">
      <w:pPr>
        <w:spacing w:line="48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 xml:space="preserve">法定代表人（或授权代表）签字：             </w:t>
      </w:r>
    </w:p>
    <w:p w14:paraId="51A1B49F">
      <w:pPr>
        <w:spacing w:line="48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日   期：    年   月   日</w:t>
      </w:r>
    </w:p>
    <w:p w14:paraId="261EF537">
      <w:pPr>
        <w:spacing w:line="480" w:lineRule="auto"/>
        <w:ind w:firstLine="480" w:firstLineChars="200"/>
        <w:rPr>
          <w:rFonts w:hint="default" w:ascii="仿宋_GB2312" w:eastAsia="仿宋_GB2312"/>
          <w:color w:val="auto"/>
          <w:sz w:val="24"/>
          <w:highlight w:val="none"/>
        </w:rPr>
      </w:pPr>
    </w:p>
    <w:p w14:paraId="7D7103C4">
      <w:pPr>
        <w:spacing w:line="480" w:lineRule="auto"/>
        <w:ind w:firstLine="480" w:firstLineChars="200"/>
        <w:rPr>
          <w:rFonts w:hint="default" w:ascii="仿宋_GB2312" w:eastAsia="仿宋_GB2312"/>
          <w:color w:val="auto"/>
          <w:sz w:val="24"/>
          <w:highlight w:val="none"/>
          <w:u w:val="none"/>
        </w:rPr>
      </w:pPr>
      <w:r>
        <w:rPr>
          <w:rFonts w:hint="default" w:ascii="仿宋_GB2312" w:eastAsia="仿宋_GB2312"/>
          <w:color w:val="auto"/>
          <w:sz w:val="24"/>
          <w:highlight w:val="none"/>
        </w:rPr>
        <w:t>承包人（主）：（盖章</w:t>
      </w:r>
      <w:r>
        <w:rPr>
          <w:rFonts w:hint="default" w:ascii="仿宋_GB2312" w:eastAsia="仿宋_GB2312"/>
          <w:color w:val="auto"/>
          <w:sz w:val="24"/>
          <w:highlight w:val="none"/>
          <w:u w:val="none"/>
        </w:rPr>
        <w:t>）</w:t>
      </w:r>
      <w:permStart w:id="75"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乙方（主）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75"/>
      <w:r>
        <w:rPr>
          <w:rFonts w:hint="eastAsia" w:ascii="仿宋_GB2312" w:eastAsia="仿宋_GB2312"/>
          <w:color w:val="auto"/>
          <w:sz w:val="24"/>
          <w:highlight w:val="none"/>
          <w:u w:val="none"/>
        </w:rPr>
        <w:t xml:space="preserve">        </w:t>
      </w:r>
    </w:p>
    <w:p w14:paraId="39A8056D">
      <w:pPr>
        <w:spacing w:line="480" w:lineRule="auto"/>
        <w:ind w:firstLine="480" w:firstLineChars="200"/>
        <w:rPr>
          <w:rFonts w:hint="default" w:ascii="仿宋_GB2312" w:eastAsia="仿宋_GB2312"/>
          <w:color w:val="auto"/>
          <w:sz w:val="24"/>
          <w:highlight w:val="none"/>
          <w:u w:val="none"/>
        </w:rPr>
      </w:pPr>
      <w:r>
        <w:rPr>
          <w:rFonts w:hint="default" w:ascii="仿宋_GB2312" w:eastAsia="仿宋_GB2312"/>
          <w:color w:val="auto"/>
          <w:sz w:val="24"/>
          <w:highlight w:val="none"/>
          <w:u w:val="none"/>
        </w:rPr>
        <w:t xml:space="preserve">法定代表人（或授权代表）签字：              </w:t>
      </w:r>
    </w:p>
    <w:p w14:paraId="514DE9E6">
      <w:pPr>
        <w:spacing w:line="480" w:lineRule="auto"/>
        <w:ind w:firstLine="480" w:firstLineChars="200"/>
        <w:rPr>
          <w:rFonts w:hint="default" w:ascii="仿宋_GB2312" w:eastAsia="仿宋_GB2312"/>
          <w:color w:val="auto"/>
          <w:sz w:val="24"/>
          <w:highlight w:val="none"/>
          <w:u w:val="none"/>
        </w:rPr>
      </w:pPr>
      <w:r>
        <w:rPr>
          <w:rFonts w:hint="default" w:ascii="仿宋_GB2312" w:eastAsia="仿宋_GB2312"/>
          <w:color w:val="auto"/>
          <w:sz w:val="24"/>
          <w:highlight w:val="none"/>
          <w:u w:val="none"/>
        </w:rPr>
        <w:t>日    期：    年   月   日</w:t>
      </w:r>
    </w:p>
    <w:p w14:paraId="526DF756">
      <w:pPr>
        <w:spacing w:line="480" w:lineRule="auto"/>
        <w:ind w:firstLine="480" w:firstLineChars="200"/>
        <w:rPr>
          <w:rFonts w:hint="default" w:ascii="仿宋_GB2312" w:eastAsia="仿宋_GB2312"/>
          <w:color w:val="auto"/>
          <w:sz w:val="24"/>
          <w:highlight w:val="none"/>
          <w:u w:val="none"/>
        </w:rPr>
      </w:pPr>
    </w:p>
    <w:p w14:paraId="33C71584">
      <w:pPr>
        <w:spacing w:line="480" w:lineRule="auto"/>
        <w:ind w:firstLine="480" w:firstLineChars="200"/>
        <w:rPr>
          <w:rFonts w:hint="default" w:ascii="仿宋_GB2312" w:eastAsia="仿宋_GB2312"/>
          <w:color w:val="auto"/>
          <w:sz w:val="24"/>
          <w:highlight w:val="none"/>
          <w:u w:val="none"/>
        </w:rPr>
      </w:pPr>
      <w:r>
        <w:rPr>
          <w:rFonts w:hint="default" w:ascii="仿宋_GB2312" w:eastAsia="仿宋_GB2312"/>
          <w:color w:val="auto"/>
          <w:sz w:val="24"/>
          <w:highlight w:val="none"/>
          <w:u w:val="none"/>
        </w:rPr>
        <w:t>承包人（成）：（盖章）</w:t>
      </w:r>
      <w:permStart w:id="76" w:edGrp="everyone"/>
      <w:r>
        <w:rPr>
          <w:rFonts w:hint="eastAsia" w:ascii="仿宋_GB2312" w:eastAsia="仿宋_GB2312"/>
          <w:color w:val="auto"/>
          <w:sz w:val="24"/>
          <w:highlight w:val="none"/>
          <w:u w:val="none"/>
        </w:rPr>
        <w:fldChar w:fldCharType="begin"/>
      </w:r>
      <w:r>
        <w:rPr>
          <w:rFonts w:hint="eastAsia" w:ascii="仿宋_GB2312" w:eastAsia="仿宋_GB2312"/>
          <w:color w:val="auto"/>
          <w:sz w:val="24"/>
          <w:highlight w:val="none"/>
          <w:u w:val="none"/>
        </w:rPr>
        <w:instrText xml:space="preserve"> REF 乙方（成） \h </w:instrText>
      </w:r>
      <w:r>
        <w:rPr>
          <w:rFonts w:hint="eastAsia" w:ascii="仿宋_GB2312" w:eastAsia="仿宋_GB2312"/>
          <w:color w:val="auto"/>
          <w:sz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rPr>
        <w:fldChar w:fldCharType="end"/>
      </w:r>
      <w:permEnd w:id="76"/>
      <w:r>
        <w:rPr>
          <w:rFonts w:hint="default" w:ascii="仿宋_GB2312" w:eastAsia="仿宋_GB2312"/>
          <w:color w:val="auto"/>
          <w:sz w:val="24"/>
          <w:highlight w:val="none"/>
          <w:u w:val="none"/>
        </w:rPr>
        <w:t xml:space="preserve">                          </w:t>
      </w:r>
    </w:p>
    <w:p w14:paraId="48FFF745">
      <w:pPr>
        <w:spacing w:line="48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u w:val="none"/>
        </w:rPr>
        <w:t xml:space="preserve">法定代表人（或授权代表）签字：      </w:t>
      </w:r>
      <w:r>
        <w:rPr>
          <w:rFonts w:hint="default" w:ascii="仿宋_GB2312" w:eastAsia="仿宋_GB2312"/>
          <w:color w:val="auto"/>
          <w:sz w:val="24"/>
          <w:highlight w:val="none"/>
        </w:rPr>
        <w:t xml:space="preserve">        </w:t>
      </w:r>
    </w:p>
    <w:p w14:paraId="0CDECFA3">
      <w:pPr>
        <w:spacing w:line="480" w:lineRule="auto"/>
        <w:ind w:firstLine="480" w:firstLineChars="200"/>
        <w:rPr>
          <w:rFonts w:hint="default" w:ascii="仿宋_GB2312" w:eastAsia="仿宋_GB2312"/>
          <w:color w:val="auto"/>
          <w:sz w:val="24"/>
          <w:highlight w:val="none"/>
        </w:rPr>
      </w:pPr>
      <w:r>
        <w:rPr>
          <w:rFonts w:hint="default" w:ascii="仿宋_GB2312" w:eastAsia="仿宋_GB2312"/>
          <w:color w:val="auto"/>
          <w:sz w:val="24"/>
          <w:highlight w:val="none"/>
        </w:rPr>
        <w:t>日    期：    年   月   日</w:t>
      </w:r>
    </w:p>
    <w:p w14:paraId="1DA6443A">
      <w:pPr>
        <w:rPr>
          <w:color w:val="auto"/>
          <w:highlight w:val="none"/>
        </w:rPr>
      </w:pPr>
    </w:p>
    <w:p w14:paraId="02E20F51">
      <w:pPr>
        <w:pStyle w:val="36"/>
        <w:spacing w:before="156"/>
        <w:ind w:firstLine="480"/>
        <w:rPr>
          <w:color w:val="auto"/>
          <w:highlight w:val="none"/>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03A476F1">
      <w:pPr>
        <w:spacing w:line="360" w:lineRule="auto"/>
        <w:jc w:val="left"/>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附件</w:t>
      </w:r>
      <w:r>
        <w:rPr>
          <w:rFonts w:hint="eastAsia" w:ascii="仿宋_GB2312" w:hAnsi="仿宋_GB2312" w:eastAsia="仿宋_GB2312" w:cs="仿宋_GB2312"/>
          <w:b/>
          <w:color w:val="auto"/>
          <w:sz w:val="32"/>
          <w:szCs w:val="32"/>
          <w:highlight w:val="none"/>
          <w:lang w:val="en-US" w:eastAsia="zh-CN"/>
        </w:rPr>
        <w:t>4</w:t>
      </w:r>
    </w:p>
    <w:p w14:paraId="1A35F2D8">
      <w:pPr>
        <w:pStyle w:val="36"/>
        <w:spacing w:before="156"/>
        <w:ind w:firstLine="0" w:firstLineChars="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阳光合作协议</w:t>
      </w:r>
    </w:p>
    <w:p w14:paraId="408C95ED">
      <w:pPr>
        <w:keepNext w:val="0"/>
        <w:keepLines w:val="0"/>
        <w:pageBreakBefore w:val="0"/>
        <w:widowControl/>
        <w:kinsoku/>
        <w:wordWrap/>
        <w:overflowPunct/>
        <w:topLinePunct w:val="0"/>
        <w:autoSpaceDE/>
        <w:autoSpaceDN/>
        <w:adjustRightInd/>
        <w:snapToGrid/>
        <w:spacing w:before="156" w:beforeLines="50" w:after="0" w:afterLines="50" w:line="360" w:lineRule="auto"/>
        <w:ind w:firstLine="480" w:firstLineChars="200"/>
        <w:contextualSpacing/>
        <w:textAlignment w:val="auto"/>
        <w:rPr>
          <w:rFonts w:hint="eastAsia" w:ascii="仿宋_GB2312" w:hAnsi="仿宋_GB2312" w:eastAsia="仿宋_GB2312" w:cs="仿宋_GB2312"/>
          <w:color w:val="auto"/>
          <w:sz w:val="24"/>
          <w:szCs w:val="24"/>
          <w:highlight w:val="none"/>
          <w:u w:val="single"/>
          <w:lang w:val="en-US" w:eastAsia="zh-CN"/>
        </w:rPr>
      </w:pPr>
      <w:r>
        <w:rPr>
          <w:rFonts w:hint="eastAsia" w:ascii="仿宋_GB2312" w:hAnsi="仿宋_GB2312" w:eastAsia="仿宋_GB2312" w:cs="仿宋_GB2312"/>
          <w:color w:val="auto"/>
          <w:sz w:val="24"/>
          <w:szCs w:val="24"/>
          <w:highlight w:val="none"/>
        </w:rPr>
        <w:t>甲方：</w:t>
      </w:r>
      <w:r>
        <w:rPr>
          <w:rFonts w:hint="eastAsia" w:ascii="仿宋_GB2312" w:hAnsi="仿宋_GB2312" w:eastAsia="仿宋_GB2312" w:cs="仿宋_GB2312"/>
          <w:color w:val="auto"/>
          <w:sz w:val="24"/>
          <w:szCs w:val="24"/>
          <w:highlight w:val="none"/>
          <w:lang w:eastAsia="zh-CN"/>
        </w:rPr>
        <w:t>东莞市新锋新能源有限公司</w:t>
      </w:r>
    </w:p>
    <w:p w14:paraId="48328ABF">
      <w:pPr>
        <w:spacing w:line="360" w:lineRule="auto"/>
        <w:ind w:firstLine="480" w:firstLineChars="20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rPr>
        <w:t>乙方：</w:t>
      </w:r>
      <w:r>
        <w:rPr>
          <w:rFonts w:hint="eastAsia" w:ascii="仿宋_GB2312" w:eastAsia="仿宋_GB2312"/>
          <w:color w:val="auto"/>
          <w:sz w:val="24"/>
          <w:highlight w:val="none"/>
        </w:rPr>
        <w:t>(主)</w:t>
      </w:r>
      <w:permStart w:id="77" w:edGrp="everyone"/>
      <w:r>
        <w:rPr>
          <w:rFonts w:hint="eastAsia" w:ascii="仿宋_GB2312" w:eastAsia="仿宋_GB2312"/>
          <w:color w:val="auto"/>
          <w:sz w:val="24"/>
          <w:highlight w:val="none"/>
          <w:u w:val="none"/>
          <w:lang w:eastAsia="zh-CN"/>
        </w:rPr>
        <w:fldChar w:fldCharType="begin"/>
      </w:r>
      <w:r>
        <w:rPr>
          <w:rFonts w:hint="eastAsia" w:ascii="仿宋_GB2312" w:eastAsia="仿宋_GB2312"/>
          <w:color w:val="auto"/>
          <w:sz w:val="24"/>
          <w:highlight w:val="none"/>
          <w:u w:val="none"/>
          <w:lang w:eastAsia="zh-CN"/>
        </w:rPr>
        <w:instrText xml:space="preserve"> REF 乙方（主） \h </w:instrText>
      </w:r>
      <w:r>
        <w:rPr>
          <w:rFonts w:hint="eastAsia" w:ascii="仿宋_GB2312" w:eastAsia="仿宋_GB2312"/>
          <w:color w:val="auto"/>
          <w:sz w:val="24"/>
          <w:highlight w:val="none"/>
          <w:u w:val="none"/>
          <w:lang w:eastAsia="zh-CN"/>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lang w:eastAsia="zh-CN"/>
        </w:rPr>
        <w:fldChar w:fldCharType="end"/>
      </w:r>
      <w:permEnd w:id="77"/>
      <w:r>
        <w:rPr>
          <w:rFonts w:hint="eastAsia" w:ascii="仿宋_GB2312" w:eastAsia="仿宋_GB2312"/>
          <w:color w:val="auto"/>
          <w:sz w:val="24"/>
          <w:highlight w:val="none"/>
          <w:u w:val="none"/>
          <w:lang w:eastAsia="zh-CN"/>
        </w:rPr>
        <w:t>、</w:t>
      </w:r>
      <w:r>
        <w:rPr>
          <w:rFonts w:hint="eastAsia" w:ascii="仿宋_GB2312" w:eastAsia="仿宋_GB2312"/>
          <w:color w:val="auto"/>
          <w:sz w:val="24"/>
          <w:highlight w:val="none"/>
          <w:u w:val="none"/>
        </w:rPr>
        <w:t>(成)</w:t>
      </w:r>
      <w:permStart w:id="78" w:edGrp="everyone"/>
      <w:r>
        <w:rPr>
          <w:rFonts w:hint="eastAsia" w:ascii="仿宋_GB2312" w:eastAsia="仿宋_GB2312"/>
          <w:color w:val="auto"/>
          <w:sz w:val="24"/>
          <w:highlight w:val="none"/>
          <w:u w:val="none"/>
          <w:lang w:eastAsia="zh-CN"/>
        </w:rPr>
        <w:fldChar w:fldCharType="begin"/>
      </w:r>
      <w:r>
        <w:rPr>
          <w:rFonts w:hint="eastAsia" w:ascii="仿宋_GB2312" w:eastAsia="仿宋_GB2312"/>
          <w:color w:val="auto"/>
          <w:sz w:val="24"/>
          <w:highlight w:val="none"/>
          <w:u w:val="none"/>
          <w:lang w:eastAsia="zh-CN"/>
        </w:rPr>
        <w:instrText xml:space="preserve"> REF 乙方（成） \h </w:instrText>
      </w:r>
      <w:r>
        <w:rPr>
          <w:rFonts w:hint="eastAsia" w:ascii="仿宋_GB2312" w:eastAsia="仿宋_GB2312"/>
          <w:color w:val="auto"/>
          <w:sz w:val="24"/>
          <w:highlight w:val="none"/>
          <w:u w:val="none"/>
          <w:lang w:eastAsia="zh-CN"/>
        </w:rPr>
        <w:fldChar w:fldCharType="separate"/>
      </w:r>
      <w:r>
        <w:rPr>
          <w:rFonts w:hint="eastAsia" w:ascii="仿宋_GB2312" w:eastAsia="仿宋_GB2312"/>
          <w:color w:val="auto"/>
          <w:sz w:val="24"/>
          <w:highlight w:val="none"/>
          <w:u w:val="none"/>
        </w:rPr>
        <w:t>XX有限公司</w:t>
      </w:r>
      <w:r>
        <w:rPr>
          <w:rFonts w:hint="eastAsia" w:ascii="仿宋_GB2312" w:eastAsia="仿宋_GB2312"/>
          <w:color w:val="auto"/>
          <w:sz w:val="24"/>
          <w:highlight w:val="none"/>
          <w:u w:val="none"/>
          <w:lang w:eastAsia="zh-CN"/>
        </w:rPr>
        <w:fldChar w:fldCharType="end"/>
      </w:r>
      <w:permEnd w:id="78"/>
    </w:p>
    <w:p w14:paraId="495407EF">
      <w:pPr>
        <w:keepNext w:val="0"/>
        <w:keepLines w:val="0"/>
        <w:pageBreakBefore w:val="0"/>
        <w:widowControl/>
        <w:kinsoku/>
        <w:wordWrap/>
        <w:overflowPunct/>
        <w:topLinePunct w:val="0"/>
        <w:autoSpaceDE/>
        <w:autoSpaceDN/>
        <w:adjustRightInd/>
        <w:snapToGrid/>
        <w:spacing w:before="0" w:beforeLines="200" w:after="156" w:afterLines="50" w:line="360" w:lineRule="auto"/>
        <w:ind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甲乙双方于</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日签署了《</w:t>
      </w:r>
      <w:permStart w:id="79" w:edGrp="everyone"/>
      <w:r>
        <w:rPr>
          <w:rFonts w:hint="eastAsia" w:ascii="仿宋_GB2312" w:hAnsi="仿宋_GB2312" w:eastAsia="仿宋_GB2312" w:cs="仿宋_GB2312"/>
          <w:snapToGrid w:val="0"/>
          <w:color w:val="auto"/>
          <w:kern w:val="0"/>
          <w:sz w:val="24"/>
          <w:szCs w:val="24"/>
          <w:highlight w:val="none"/>
          <w:u w:val="single"/>
          <w:lang w:val="en-US"/>
        </w:rPr>
        <w:fldChar w:fldCharType="begin"/>
      </w:r>
      <w:r>
        <w:rPr>
          <w:rFonts w:hint="eastAsia" w:ascii="仿宋_GB2312" w:hAnsi="仿宋_GB2312" w:eastAsia="仿宋_GB2312" w:cs="仿宋_GB2312"/>
          <w:snapToGrid w:val="0"/>
          <w:color w:val="auto"/>
          <w:kern w:val="0"/>
          <w:sz w:val="24"/>
          <w:szCs w:val="24"/>
          <w:highlight w:val="none"/>
          <w:u w:val="single"/>
          <w:lang w:val="en-US"/>
        </w:rPr>
        <w:instrText xml:space="preserve"> REF 项目名称 \h </w:instrText>
      </w:r>
      <w:r>
        <w:rPr>
          <w:rFonts w:hint="eastAsia" w:ascii="仿宋_GB2312" w:hAnsi="仿宋_GB2312" w:eastAsia="仿宋_GB2312" w:cs="仿宋_GB2312"/>
          <w:snapToGrid w:val="0"/>
          <w:color w:val="auto"/>
          <w:kern w:val="0"/>
          <w:sz w:val="24"/>
          <w:szCs w:val="24"/>
          <w:highlight w:val="none"/>
          <w:u w:val="single"/>
          <w:lang w:val="en-US"/>
        </w:rPr>
        <w:fldChar w:fldCharType="separate"/>
      </w:r>
      <w:r>
        <w:rPr>
          <w:rFonts w:hint="eastAsia" w:ascii="仿宋_GB2312" w:eastAsia="仿宋_GB2312"/>
          <w:color w:val="auto"/>
          <w:sz w:val="24"/>
          <w:highlight w:val="none"/>
          <w:lang w:eastAsia="zh-CN"/>
        </w:rPr>
        <w:t>东莞市新锋新能源有限公司</w:t>
      </w:r>
      <w:r>
        <w:rPr>
          <w:rFonts w:hint="eastAsia" w:ascii="仿宋_GB2312" w:eastAsia="仿宋_GB2312"/>
          <w:color w:val="auto"/>
          <w:sz w:val="24"/>
          <w:highlight w:val="none"/>
        </w:rPr>
        <w:t>XX厂区分布式光伏发电项目</w:t>
      </w:r>
      <w:r>
        <w:rPr>
          <w:rFonts w:hint="eastAsia" w:ascii="仿宋_GB2312" w:hAnsi="仿宋_GB2312" w:eastAsia="仿宋_GB2312" w:cs="仿宋_GB2312"/>
          <w:snapToGrid w:val="0"/>
          <w:color w:val="auto"/>
          <w:kern w:val="0"/>
          <w:sz w:val="24"/>
          <w:szCs w:val="24"/>
          <w:highlight w:val="none"/>
          <w:u w:val="single"/>
          <w:lang w:val="en-US"/>
        </w:rPr>
        <w:fldChar w:fldCharType="end"/>
      </w:r>
      <w:permEnd w:id="79"/>
      <w:r>
        <w:rPr>
          <w:rFonts w:hint="eastAsia" w:ascii="仿宋_GB2312" w:hAnsi="仿宋_GB2312" w:eastAsia="仿宋_GB2312" w:cs="仿宋_GB2312"/>
          <w:snapToGrid w:val="0"/>
          <w:color w:val="auto"/>
          <w:kern w:val="0"/>
          <w:sz w:val="24"/>
          <w:szCs w:val="24"/>
          <w:highlight w:val="none"/>
          <w:u w:val="none"/>
          <w:lang w:val="en-US" w:eastAsia="zh-CN"/>
        </w:rPr>
        <w:t>合同</w:t>
      </w:r>
      <w:r>
        <w:rPr>
          <w:rFonts w:hint="eastAsia" w:ascii="仿宋_GB2312" w:hAnsi="仿宋_GB2312" w:eastAsia="仿宋_GB2312" w:cs="仿宋_GB2312"/>
          <w:color w:val="auto"/>
          <w:sz w:val="24"/>
          <w:szCs w:val="24"/>
          <w:highlight w:val="none"/>
        </w:rPr>
        <w:t>》（以下简称原合同），为加强双方阳光合作，保证职员职业安全，甲乙双方经协商签订本协议并作为双方共同遵守的阳光合作行为准则。</w:t>
      </w:r>
    </w:p>
    <w:p w14:paraId="5E0A0989">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一、</w:t>
      </w:r>
      <w:r>
        <w:rPr>
          <w:rFonts w:hint="eastAsia" w:ascii="仿宋_GB2312" w:hAnsi="仿宋_GB2312" w:eastAsia="仿宋_GB2312" w:cs="仿宋_GB2312"/>
          <w:b/>
          <w:color w:val="auto"/>
          <w:sz w:val="24"/>
          <w:szCs w:val="24"/>
          <w:highlight w:val="none"/>
        </w:rPr>
        <w:t>甲方责任</w:t>
      </w:r>
    </w:p>
    <w:p w14:paraId="6AB78928">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1.甲方有责任向乙方介绍本单位有关采购管理通用原则和本协议的规定。</w:t>
      </w:r>
    </w:p>
    <w:p w14:paraId="73B33587">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2.甲方有责任对本单位相关人员进行阳光合作教育。</w:t>
      </w:r>
    </w:p>
    <w:p w14:paraId="59E202F2">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71AADE8">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4.甲方人员如违反阳光合作管理制度及本协议规定，甲方视情节轻重、影响大小给予行政及经济处罚。</w:t>
      </w:r>
    </w:p>
    <w:p w14:paraId="2B8D9346">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5．对于乙方举报甲方人员违反阳光合作规定的情况，甲方应及时进行调查，根据调查情况进行处理，并将调查结果向乙方反馈。</w:t>
      </w:r>
    </w:p>
    <w:p w14:paraId="08C81D4C">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6.接受举报的一方应为举报方保密，不得对举报方进行报复，对举报属实和严格遵守《阳光合作协议》的合作方，在同等条件下给予后续合作的优先权。</w:t>
      </w:r>
    </w:p>
    <w:p w14:paraId="322F7A55">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二、</w:t>
      </w:r>
      <w:r>
        <w:rPr>
          <w:rFonts w:hint="eastAsia" w:ascii="仿宋_GB2312" w:hAnsi="仿宋_GB2312" w:eastAsia="仿宋_GB2312" w:cs="仿宋_GB2312"/>
          <w:b/>
          <w:color w:val="auto"/>
          <w:sz w:val="24"/>
          <w:szCs w:val="24"/>
          <w:highlight w:val="none"/>
        </w:rPr>
        <w:t>乙方责任</w:t>
      </w:r>
    </w:p>
    <w:p w14:paraId="02AD7C3A">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1.乙方应保证乙方人员了解甲方有关采购管理通用原则和及本协议的规定，并遵照执行。</w:t>
      </w:r>
    </w:p>
    <w:p w14:paraId="5E86E08C">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2.乙方不得以任何形式给予甲方人员回扣、赠送实物、现金、有价证券、礼券等有价物品或提供旅游等其他可能影响职务行为公正履行的活动（以下统称“财物”）。</w:t>
      </w:r>
    </w:p>
    <w:p w14:paraId="277F7402">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3.乙方有责任接受甲方对乙方在合作期间阳光合作管理执行情况的监督，并对甲方相关调查工作主动配合。</w:t>
      </w:r>
    </w:p>
    <w:p w14:paraId="3010E4FB">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4.乙方有义务就甲方人员任何形式的索取或收受财物行为及时向甲方（直接联系人为</w:t>
      </w:r>
      <w:r>
        <w:rPr>
          <w:rFonts w:hint="eastAsia" w:ascii="仿宋_GB2312" w:hAnsi="仿宋_GB2312" w:eastAsia="仿宋_GB2312" w:cs="仿宋_GB2312"/>
          <w:color w:val="auto"/>
          <w:sz w:val="24"/>
          <w:szCs w:val="24"/>
          <w:highlight w:val="none"/>
          <w:lang w:eastAsia="zh-CN"/>
        </w:rPr>
        <w:t>东莞市新锋新能源有限公司</w:t>
      </w:r>
      <w:r>
        <w:rPr>
          <w:rFonts w:hint="eastAsia" w:ascii="仿宋_GB2312" w:hAnsi="仿宋_GB2312" w:eastAsia="仿宋_GB2312" w:cs="仿宋_GB2312"/>
          <w:color w:val="auto"/>
          <w:sz w:val="24"/>
          <w:szCs w:val="24"/>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w:t>
      </w:r>
      <w:r>
        <w:rPr>
          <w:rFonts w:hint="eastAsia" w:ascii="仿宋_GB2312" w:hAnsi="仿宋_GB2312" w:eastAsia="仿宋_GB2312" w:cs="仿宋_GB2312"/>
          <w:color w:val="auto"/>
          <w:sz w:val="24"/>
          <w:szCs w:val="24"/>
          <w:highlight w:val="none"/>
          <w:lang w:val="en-US" w:eastAsia="zh-CN"/>
        </w:rPr>
        <w:t>东莞市新锋新能源有限公司</w:t>
      </w:r>
      <w:r>
        <w:rPr>
          <w:rFonts w:hint="eastAsia" w:ascii="仿宋_GB2312" w:hAnsi="仿宋_GB2312" w:eastAsia="仿宋_GB2312" w:cs="仿宋_GB2312"/>
          <w:color w:val="auto"/>
          <w:sz w:val="24"/>
          <w:szCs w:val="24"/>
          <w:highlight w:val="none"/>
        </w:rPr>
        <w:t>合格供应商。</w:t>
      </w:r>
    </w:p>
    <w:p w14:paraId="49639633">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5．甲方接受乙方实名或匿名举报，保证为举报者的信息保密，常设举报部门及电</w:t>
      </w:r>
      <w:r>
        <w:rPr>
          <w:rFonts w:hint="eastAsia" w:ascii="仿宋_GB2312" w:hAnsi="仿宋_GB2312" w:eastAsia="仿宋_GB2312" w:cs="仿宋_GB2312"/>
          <w:color w:val="auto"/>
          <w:sz w:val="24"/>
          <w:szCs w:val="24"/>
          <w:highlight w:val="none"/>
          <w:lang w:val="en-US" w:eastAsia="zh-CN"/>
        </w:rPr>
        <w:t>话</w:t>
      </w:r>
      <w:r>
        <w:rPr>
          <w:rFonts w:hint="eastAsia" w:ascii="仿宋_GB2312" w:hAnsi="仿宋_GB2312" w:eastAsia="仿宋_GB2312" w:cs="仿宋_GB2312"/>
          <w:color w:val="auto"/>
          <w:sz w:val="24"/>
          <w:szCs w:val="24"/>
          <w:highlight w:val="none"/>
        </w:rPr>
        <w:t xml:space="preserve">： </w:t>
      </w:r>
    </w:p>
    <w:p w14:paraId="1CE58A8C">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举报受理部门：</w:t>
      </w:r>
      <w:r>
        <w:rPr>
          <w:rFonts w:hint="eastAsia" w:ascii="仿宋_GB2312" w:hAnsi="仿宋_GB2312" w:eastAsia="仿宋_GB2312" w:cs="仿宋_GB2312"/>
          <w:color w:val="auto"/>
          <w:sz w:val="24"/>
          <w:szCs w:val="24"/>
          <w:highlight w:val="none"/>
          <w:lang w:eastAsia="zh-CN"/>
        </w:rPr>
        <w:t>东莞市新锋新能源有限公司</w:t>
      </w:r>
    </w:p>
    <w:p w14:paraId="16175E22">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举报电话：</w:t>
      </w:r>
      <w:r>
        <w:rPr>
          <w:rFonts w:hint="eastAsia" w:ascii="仿宋_GB2312" w:hAnsi="仿宋_GB2312" w:eastAsia="仿宋_GB2312" w:cs="仿宋_GB2312"/>
          <w:color w:val="auto"/>
          <w:sz w:val="24"/>
          <w:szCs w:val="24"/>
          <w:highlight w:val="none"/>
          <w:lang w:val="en-US" w:eastAsia="zh-CN"/>
        </w:rPr>
        <w:t>0769-22899838</w:t>
      </w:r>
    </w:p>
    <w:p w14:paraId="1324BA0B">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邮寄地址：广东省东莞市松山湖园区新城路5号1栋601室</w:t>
      </w:r>
    </w:p>
    <w:p w14:paraId="4EFCB33D">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三、</w:t>
      </w:r>
      <w:r>
        <w:rPr>
          <w:rFonts w:hint="eastAsia" w:ascii="仿宋_GB2312" w:hAnsi="仿宋_GB2312" w:eastAsia="仿宋_GB2312" w:cs="仿宋_GB2312"/>
          <w:b/>
          <w:color w:val="auto"/>
          <w:sz w:val="24"/>
          <w:szCs w:val="24"/>
          <w:highlight w:val="none"/>
        </w:rPr>
        <w:t>其他</w:t>
      </w:r>
    </w:p>
    <w:p w14:paraId="20B49CF7">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1.本协议是原合同的补充协议，与原合同有同等法律效力。</w:t>
      </w:r>
    </w:p>
    <w:p w14:paraId="12E41755">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2.本协议</w:t>
      </w:r>
      <w:permStart w:id="80" w:edGrp="everyone"/>
      <w:r>
        <w:rPr>
          <w:rFonts w:hint="eastAsia" w:ascii="仿宋_GB2312" w:hAnsi="仿宋_GB2312" w:eastAsia="仿宋_GB2312" w:cs="仿宋_GB2312"/>
          <w:color w:val="auto"/>
          <w:sz w:val="24"/>
          <w:szCs w:val="24"/>
          <w:highlight w:val="none"/>
          <w:u w:val="single"/>
          <w:lang w:val="en-US" w:eastAsia="zh-CN"/>
        </w:rPr>
        <w:fldChar w:fldCharType="begin"/>
      </w:r>
      <w:r>
        <w:rPr>
          <w:rFonts w:hint="eastAsia" w:ascii="仿宋_GB2312" w:hAnsi="仿宋_GB2312" w:eastAsia="仿宋_GB2312" w:cs="仿宋_GB2312"/>
          <w:color w:val="auto"/>
          <w:sz w:val="24"/>
          <w:szCs w:val="24"/>
          <w:highlight w:val="none"/>
          <w:u w:val="single"/>
          <w:lang w:val="en-US" w:eastAsia="zh-CN"/>
        </w:rPr>
        <w:instrText xml:space="preserve"> REF 合同总数 \h </w:instrText>
      </w:r>
      <w:r>
        <w:rPr>
          <w:rFonts w:hint="eastAsia" w:ascii="仿宋_GB2312" w:hAnsi="仿宋_GB2312" w:eastAsia="仿宋_GB2312" w:cs="仿宋_GB2312"/>
          <w:color w:val="auto"/>
          <w:sz w:val="24"/>
          <w:szCs w:val="24"/>
          <w:highlight w:val="none"/>
          <w:u w:val="single"/>
          <w:lang w:val="en-US" w:eastAsia="zh-CN"/>
        </w:rPr>
        <w:fldChar w:fldCharType="separate"/>
      </w:r>
      <w:r>
        <w:rPr>
          <w:rFonts w:hint="eastAsia" w:ascii="仿宋_GB2312" w:eastAsia="仿宋_GB2312"/>
          <w:color w:val="auto"/>
          <w:sz w:val="24"/>
          <w:highlight w:val="none"/>
        </w:rPr>
        <w:t>一式陆份</w:t>
      </w:r>
      <w:r>
        <w:rPr>
          <w:rFonts w:hint="eastAsia" w:ascii="仿宋_GB2312" w:hAnsi="仿宋_GB2312" w:eastAsia="仿宋_GB2312" w:cs="仿宋_GB2312"/>
          <w:color w:val="auto"/>
          <w:sz w:val="24"/>
          <w:szCs w:val="24"/>
          <w:highlight w:val="none"/>
          <w:u w:val="single"/>
          <w:lang w:val="en-US" w:eastAsia="zh-CN"/>
        </w:rPr>
        <w:fldChar w:fldCharType="end"/>
      </w:r>
      <w:permEnd w:id="80"/>
      <w:r>
        <w:rPr>
          <w:rFonts w:hint="eastAsia" w:ascii="仿宋_GB2312" w:hAnsi="仿宋_GB2312" w:eastAsia="仿宋_GB2312" w:cs="仿宋_GB2312"/>
          <w:color w:val="auto"/>
          <w:sz w:val="24"/>
          <w:szCs w:val="24"/>
          <w:highlight w:val="none"/>
        </w:rPr>
        <w:t>，甲方执</w:t>
      </w:r>
      <w:r>
        <w:rPr>
          <w:rFonts w:hint="eastAsia" w:ascii="仿宋_GB2312" w:hAnsi="仿宋_GB2312" w:eastAsia="仿宋_GB2312" w:cs="仿宋_GB2312"/>
          <w:color w:val="auto"/>
          <w:sz w:val="24"/>
          <w:szCs w:val="24"/>
          <w:highlight w:val="none"/>
          <w:u w:val="none"/>
          <w:lang w:val="en-US" w:eastAsia="zh-CN"/>
        </w:rPr>
        <w:t>贰</w:t>
      </w:r>
      <w:r>
        <w:rPr>
          <w:rFonts w:hint="eastAsia" w:ascii="仿宋_GB2312" w:hAnsi="仿宋_GB2312" w:eastAsia="仿宋_GB2312" w:cs="仿宋_GB2312"/>
          <w:color w:val="auto"/>
          <w:sz w:val="24"/>
          <w:szCs w:val="24"/>
          <w:highlight w:val="none"/>
        </w:rPr>
        <w:t>份，乙方</w:t>
      </w:r>
      <w:permStart w:id="81" w:edGrp="everyone"/>
      <w:r>
        <w:rPr>
          <w:rFonts w:hint="eastAsia" w:ascii="仿宋_GB2312" w:hAnsi="仿宋_GB2312" w:eastAsia="仿宋_GB2312" w:cs="仿宋_GB2312"/>
          <w:color w:val="auto"/>
          <w:sz w:val="24"/>
          <w:szCs w:val="24"/>
          <w:highlight w:val="none"/>
        </w:rPr>
        <w:fldChar w:fldCharType="begin"/>
      </w:r>
      <w:r>
        <w:rPr>
          <w:rFonts w:hint="eastAsia" w:ascii="仿宋_GB2312" w:hAnsi="仿宋_GB2312" w:eastAsia="仿宋_GB2312" w:cs="仿宋_GB2312"/>
          <w:color w:val="auto"/>
          <w:sz w:val="24"/>
          <w:szCs w:val="24"/>
          <w:highlight w:val="none"/>
        </w:rPr>
        <w:instrText xml:space="preserve"> REF 乙方份数 \h </w:instrText>
      </w:r>
      <w:r>
        <w:rPr>
          <w:rFonts w:hint="eastAsia" w:ascii="仿宋_GB2312" w:hAnsi="仿宋_GB2312" w:eastAsia="仿宋_GB2312" w:cs="仿宋_GB2312"/>
          <w:color w:val="auto"/>
          <w:sz w:val="24"/>
          <w:szCs w:val="24"/>
          <w:highlight w:val="none"/>
        </w:rPr>
        <w:fldChar w:fldCharType="separate"/>
      </w:r>
      <w:r>
        <w:rPr>
          <w:rFonts w:hint="eastAsia" w:ascii="仿宋_GB2312" w:eastAsia="仿宋_GB2312"/>
          <w:color w:val="auto"/>
          <w:sz w:val="24"/>
          <w:highlight w:val="none"/>
        </w:rPr>
        <w:t>各执贰份</w:t>
      </w:r>
      <w:r>
        <w:rPr>
          <w:rFonts w:hint="eastAsia" w:ascii="仿宋_GB2312" w:hAnsi="仿宋_GB2312" w:eastAsia="仿宋_GB2312" w:cs="仿宋_GB2312"/>
          <w:color w:val="auto"/>
          <w:sz w:val="24"/>
          <w:szCs w:val="24"/>
          <w:highlight w:val="none"/>
        </w:rPr>
        <w:fldChar w:fldCharType="end"/>
      </w:r>
      <w:permEnd w:id="81"/>
      <w:r>
        <w:rPr>
          <w:rFonts w:hint="eastAsia" w:ascii="仿宋_GB2312" w:hAnsi="仿宋_GB2312" w:eastAsia="仿宋_GB2312" w:cs="仿宋_GB2312"/>
          <w:color w:val="auto"/>
          <w:sz w:val="24"/>
          <w:szCs w:val="24"/>
          <w:highlight w:val="none"/>
        </w:rPr>
        <w:t>,具有同等法律效力。</w:t>
      </w:r>
    </w:p>
    <w:p w14:paraId="1DEFB58F">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3.本协议经双方签署后生效。</w:t>
      </w:r>
    </w:p>
    <w:p w14:paraId="07A66E40">
      <w:pPr>
        <w:pStyle w:val="12"/>
        <w:rPr>
          <w:rFonts w:hint="eastAsia" w:ascii="仿宋_GB2312" w:hAnsi="仿宋_GB2312" w:eastAsia="仿宋_GB2312" w:cs="仿宋_GB2312"/>
          <w:color w:val="auto"/>
          <w:sz w:val="24"/>
          <w:szCs w:val="24"/>
          <w:highlight w:val="none"/>
        </w:rPr>
      </w:pPr>
    </w:p>
    <w:tbl>
      <w:tblPr>
        <w:tblStyle w:val="29"/>
        <w:tblW w:w="0" w:type="auto"/>
        <w:tblInd w:w="0" w:type="dxa"/>
        <w:tblBorders>
          <w:top w:val="none" w:color="auto" w:sz="4" w:space="0"/>
          <w:left w:val="none" w:color="auto" w:sz="4" w:space="0"/>
          <w:bottom w:val="none" w:color="auto" w:sz="4" w:space="0"/>
          <w:right w:val="none" w:color="auto" w:sz="4" w:space="0"/>
          <w:insideH w:val="none" w:color="auto" w:sz="4" w:space="0"/>
          <w:insideV w:val="none" w:color="auto" w:sz="4" w:space="0"/>
        </w:tblBorders>
        <w:tblLayout w:type="autofit"/>
        <w:tblCellMar>
          <w:top w:w="0" w:type="dxa"/>
          <w:left w:w="108" w:type="dxa"/>
          <w:bottom w:w="0" w:type="dxa"/>
          <w:right w:w="108" w:type="dxa"/>
        </w:tblCellMar>
      </w:tblPr>
      <w:tblGrid>
        <w:gridCol w:w="3284"/>
        <w:gridCol w:w="3284"/>
        <w:gridCol w:w="3284"/>
      </w:tblGrid>
      <w:tr w14:paraId="3E1411FF">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411" w:hRule="atLeast"/>
        </w:trPr>
        <w:tc>
          <w:tcPr>
            <w:tcW w:w="3284" w:type="dxa"/>
            <w:tcBorders>
              <w:tl2br w:val="nil"/>
              <w:tr2bl w:val="nil"/>
            </w:tcBorders>
            <w:shd w:val="clear" w:color="auto" w:fill="auto"/>
            <w:noWrap w:val="0"/>
            <w:vAlign w:val="center"/>
          </w:tcPr>
          <w:p w14:paraId="73F83DEC">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rPr>
              <w:t>甲方（盖章）：</w:t>
            </w:r>
            <w:r>
              <w:rPr>
                <w:rFonts w:hint="eastAsia" w:ascii="仿宋_GB2312" w:hAnsi="仿宋_GB2312" w:eastAsia="仿宋_GB2312" w:cs="仿宋_GB2312"/>
                <w:color w:val="auto"/>
                <w:sz w:val="24"/>
                <w:szCs w:val="24"/>
                <w:highlight w:val="none"/>
                <w:u w:val="none"/>
                <w:lang w:eastAsia="zh-CN"/>
              </w:rPr>
              <w:t>东莞市新锋新能源有限公司</w:t>
            </w:r>
          </w:p>
        </w:tc>
        <w:tc>
          <w:tcPr>
            <w:tcW w:w="3284" w:type="dxa"/>
            <w:tcBorders>
              <w:tl2br w:val="nil"/>
              <w:tr2bl w:val="nil"/>
            </w:tcBorders>
            <w:shd w:val="clear" w:color="auto" w:fill="auto"/>
            <w:noWrap w:val="0"/>
            <w:vAlign w:val="center"/>
          </w:tcPr>
          <w:p w14:paraId="6D19B244">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rPr>
              <w:t>乙方</w:t>
            </w:r>
            <w:r>
              <w:rPr>
                <w:rFonts w:hint="eastAsia" w:ascii="仿宋_GB2312" w:hAnsi="仿宋_GB2312" w:eastAsia="仿宋_GB2312" w:cs="仿宋_GB2312"/>
                <w:color w:val="auto"/>
                <w:sz w:val="24"/>
                <w:szCs w:val="24"/>
                <w:highlight w:val="none"/>
                <w:u w:val="none"/>
                <w:lang w:eastAsia="zh-CN"/>
              </w:rPr>
              <w:t>（</w:t>
            </w:r>
            <w:r>
              <w:rPr>
                <w:rFonts w:hint="eastAsia" w:ascii="仿宋_GB2312" w:hAnsi="仿宋_GB2312" w:eastAsia="仿宋_GB2312" w:cs="仿宋_GB2312"/>
                <w:color w:val="auto"/>
                <w:sz w:val="24"/>
                <w:szCs w:val="24"/>
                <w:highlight w:val="none"/>
                <w:u w:val="none"/>
                <w:lang w:val="en-US" w:eastAsia="zh-CN"/>
              </w:rPr>
              <w:t>主）</w:t>
            </w:r>
            <w:r>
              <w:rPr>
                <w:rFonts w:hint="eastAsia" w:ascii="仿宋_GB2312" w:hAnsi="仿宋_GB2312" w:eastAsia="仿宋_GB2312" w:cs="仿宋_GB2312"/>
                <w:color w:val="auto"/>
                <w:sz w:val="24"/>
                <w:szCs w:val="24"/>
                <w:highlight w:val="none"/>
                <w:u w:val="none"/>
              </w:rPr>
              <w:t>（盖章）：</w:t>
            </w:r>
            <w:permStart w:id="82" w:edGrp="everyone"/>
            <w:r>
              <w:rPr>
                <w:rFonts w:hint="eastAsia" w:ascii="仿宋_GB2312" w:hAnsi="仿宋_GB2312" w:eastAsia="仿宋_GB2312" w:cs="仿宋_GB2312"/>
                <w:color w:val="auto"/>
                <w:sz w:val="24"/>
                <w:szCs w:val="24"/>
                <w:highlight w:val="none"/>
                <w:u w:val="none"/>
              </w:rPr>
              <w:fldChar w:fldCharType="begin"/>
            </w:r>
            <w:r>
              <w:rPr>
                <w:rFonts w:hint="eastAsia" w:ascii="仿宋_GB2312" w:hAnsi="仿宋_GB2312" w:eastAsia="仿宋_GB2312" w:cs="仿宋_GB2312"/>
                <w:color w:val="auto"/>
                <w:sz w:val="24"/>
                <w:szCs w:val="24"/>
                <w:highlight w:val="none"/>
                <w:u w:val="none"/>
              </w:rPr>
              <w:instrText xml:space="preserve"> REF 乙方（主） \h </w:instrText>
            </w:r>
            <w:r>
              <w:rPr>
                <w:rFonts w:hint="eastAsia" w:ascii="仿宋_GB2312" w:hAnsi="仿宋_GB2312" w:eastAsia="仿宋_GB2312" w:cs="仿宋_GB2312"/>
                <w:color w:val="auto"/>
                <w:sz w:val="24"/>
                <w:szCs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hAnsi="仿宋_GB2312" w:eastAsia="仿宋_GB2312" w:cs="仿宋_GB2312"/>
                <w:color w:val="auto"/>
                <w:sz w:val="24"/>
                <w:szCs w:val="24"/>
                <w:highlight w:val="none"/>
                <w:u w:val="none"/>
              </w:rPr>
              <w:fldChar w:fldCharType="end"/>
            </w:r>
            <w:permEnd w:id="82"/>
          </w:p>
        </w:tc>
        <w:tc>
          <w:tcPr>
            <w:tcW w:w="3284" w:type="dxa"/>
            <w:tcBorders>
              <w:tl2br w:val="nil"/>
              <w:tr2bl w:val="nil"/>
            </w:tcBorders>
            <w:shd w:val="clear" w:color="auto" w:fill="auto"/>
            <w:noWrap w:val="0"/>
            <w:vAlign w:val="center"/>
          </w:tcPr>
          <w:p w14:paraId="0D3FE669">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乙方</w:t>
            </w:r>
            <w:r>
              <w:rPr>
                <w:rFonts w:hint="default" w:ascii="仿宋_GB2312" w:eastAsia="仿宋_GB2312"/>
                <w:color w:val="auto"/>
                <w:sz w:val="24"/>
                <w:highlight w:val="none"/>
                <w:u w:val="none"/>
              </w:rPr>
              <w:t>（成）：（盖章）</w:t>
            </w:r>
            <w:permStart w:id="83" w:edGrp="everyone"/>
            <w:r>
              <w:rPr>
                <w:rFonts w:hint="default" w:ascii="仿宋_GB2312" w:eastAsia="仿宋_GB2312"/>
                <w:color w:val="auto"/>
                <w:sz w:val="24"/>
                <w:highlight w:val="none"/>
                <w:u w:val="none"/>
                <w:lang w:val="en-US"/>
              </w:rPr>
              <w:fldChar w:fldCharType="begin"/>
            </w:r>
            <w:r>
              <w:rPr>
                <w:rFonts w:hint="default" w:ascii="仿宋_GB2312" w:eastAsia="仿宋_GB2312"/>
                <w:color w:val="auto"/>
                <w:sz w:val="24"/>
                <w:highlight w:val="none"/>
                <w:u w:val="none"/>
                <w:lang w:val="en-US"/>
              </w:rPr>
              <w:instrText xml:space="preserve"> REF 乙方（成） \h </w:instrText>
            </w:r>
            <w:r>
              <w:rPr>
                <w:rFonts w:hint="default" w:ascii="仿宋_GB2312" w:eastAsia="仿宋_GB2312"/>
                <w:color w:val="auto"/>
                <w:sz w:val="24"/>
                <w:highlight w:val="none"/>
                <w:u w:val="none"/>
                <w:lang w:val="en-US"/>
              </w:rPr>
              <w:fldChar w:fldCharType="separate"/>
            </w:r>
            <w:r>
              <w:rPr>
                <w:rFonts w:hint="eastAsia" w:ascii="仿宋_GB2312" w:eastAsia="仿宋_GB2312"/>
                <w:color w:val="auto"/>
                <w:sz w:val="24"/>
                <w:highlight w:val="none"/>
                <w:u w:val="none"/>
              </w:rPr>
              <w:t>XX有限公司</w:t>
            </w:r>
            <w:r>
              <w:rPr>
                <w:rFonts w:hint="default" w:ascii="仿宋_GB2312" w:eastAsia="仿宋_GB2312"/>
                <w:color w:val="auto"/>
                <w:sz w:val="24"/>
                <w:highlight w:val="none"/>
                <w:u w:val="none"/>
                <w:lang w:val="en-US"/>
              </w:rPr>
              <w:fldChar w:fldCharType="end"/>
            </w:r>
            <w:permEnd w:id="83"/>
          </w:p>
        </w:tc>
      </w:tr>
      <w:tr w14:paraId="303B14B3">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502" w:hRule="atLeast"/>
        </w:trPr>
        <w:tc>
          <w:tcPr>
            <w:tcW w:w="3284" w:type="dxa"/>
            <w:tcBorders>
              <w:tl2br w:val="nil"/>
              <w:tr2bl w:val="nil"/>
            </w:tcBorders>
            <w:shd w:val="clear" w:color="auto" w:fill="auto"/>
            <w:noWrap w:val="0"/>
            <w:vAlign w:val="center"/>
          </w:tcPr>
          <w:p w14:paraId="4AAB8EB0">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法定代表人（授权代表）：</w:t>
            </w:r>
          </w:p>
        </w:tc>
        <w:tc>
          <w:tcPr>
            <w:tcW w:w="3284" w:type="dxa"/>
            <w:tcBorders>
              <w:tl2br w:val="nil"/>
              <w:tr2bl w:val="nil"/>
            </w:tcBorders>
            <w:shd w:val="clear" w:color="auto" w:fill="auto"/>
            <w:noWrap w:val="0"/>
            <w:vAlign w:val="center"/>
          </w:tcPr>
          <w:p w14:paraId="3D6DD8B3">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法定代表人（授权代表）：</w:t>
            </w:r>
          </w:p>
        </w:tc>
        <w:tc>
          <w:tcPr>
            <w:tcW w:w="3284" w:type="dxa"/>
            <w:tcBorders>
              <w:tl2br w:val="nil"/>
              <w:tr2bl w:val="nil"/>
            </w:tcBorders>
            <w:shd w:val="clear" w:color="auto" w:fill="auto"/>
            <w:noWrap w:val="0"/>
            <w:vAlign w:val="center"/>
          </w:tcPr>
          <w:p w14:paraId="63AF9BB9">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法定代表人（授权代表）：</w:t>
            </w:r>
          </w:p>
        </w:tc>
      </w:tr>
      <w:tr w14:paraId="0694E170">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203" w:hRule="atLeast"/>
        </w:trPr>
        <w:tc>
          <w:tcPr>
            <w:tcW w:w="3284" w:type="dxa"/>
            <w:tcBorders>
              <w:tl2br w:val="nil"/>
              <w:tr2bl w:val="nil"/>
            </w:tcBorders>
            <w:shd w:val="clear" w:color="auto" w:fill="auto"/>
            <w:noWrap w:val="0"/>
            <w:vAlign w:val="center"/>
          </w:tcPr>
          <w:p w14:paraId="35C68A51">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签约日期：   年   月   日</w:t>
            </w:r>
          </w:p>
        </w:tc>
        <w:tc>
          <w:tcPr>
            <w:tcW w:w="3284" w:type="dxa"/>
            <w:tcBorders>
              <w:tl2br w:val="nil"/>
              <w:tr2bl w:val="nil"/>
            </w:tcBorders>
            <w:shd w:val="clear" w:color="auto" w:fill="auto"/>
            <w:noWrap w:val="0"/>
            <w:vAlign w:val="center"/>
          </w:tcPr>
          <w:p w14:paraId="67300D5C">
            <w:pPr>
              <w:pStyle w:val="12"/>
              <w:widowControl w:val="0"/>
              <w:spacing w:after="120"/>
              <w:jc w:val="both"/>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签约日期：   年   月   日</w:t>
            </w:r>
          </w:p>
        </w:tc>
        <w:tc>
          <w:tcPr>
            <w:tcW w:w="3284" w:type="dxa"/>
            <w:tcBorders>
              <w:tl2br w:val="nil"/>
              <w:tr2bl w:val="nil"/>
            </w:tcBorders>
            <w:shd w:val="clear" w:color="auto" w:fill="auto"/>
            <w:noWrap w:val="0"/>
            <w:vAlign w:val="center"/>
          </w:tcPr>
          <w:p w14:paraId="5D2152C8">
            <w:pPr>
              <w:pStyle w:val="12"/>
              <w:widowControl w:val="0"/>
              <w:spacing w:after="12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签约日期：   年   月   日</w:t>
            </w:r>
          </w:p>
        </w:tc>
      </w:tr>
    </w:tbl>
    <w:p w14:paraId="6B9FDD18">
      <w:pPr>
        <w:spacing w:before="68" w:line="201" w:lineRule="auto"/>
        <w:rPr>
          <w:rFonts w:hint="default" w:ascii="黑体" w:hAnsi="黑体" w:eastAsia="黑体" w:cs="黑体"/>
          <w:color w:val="auto"/>
          <w:sz w:val="24"/>
          <w:szCs w:val="24"/>
          <w:highlight w:val="none"/>
        </w:rPr>
      </w:pPr>
    </w:p>
    <w:p w14:paraId="1678C03D">
      <w:pPr>
        <w:spacing w:line="480" w:lineRule="auto"/>
        <w:ind w:firstLine="480" w:firstLineChars="200"/>
        <w:rPr>
          <w:rFonts w:hint="default" w:ascii="仿宋_GB2312" w:eastAsia="仿宋_GB2312"/>
          <w:color w:val="auto"/>
          <w:sz w:val="24"/>
          <w:highlight w:val="none"/>
        </w:rPr>
      </w:pPr>
    </w:p>
    <w:p w14:paraId="415380F3">
      <w:pPr>
        <w:spacing w:line="360" w:lineRule="auto"/>
        <w:ind w:firstLine="643" w:firstLineChars="200"/>
        <w:jc w:val="both"/>
        <w:rPr>
          <w:rFonts w:hint="eastAsia" w:ascii="仿宋_GB2312" w:hAnsi="仿宋_GB2312" w:eastAsia="仿宋_GB2312" w:cs="仿宋_GB2312"/>
          <w:b/>
          <w:color w:val="auto"/>
          <w:sz w:val="32"/>
          <w:szCs w:val="32"/>
          <w:highlight w:val="none"/>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7DA0B97F">
      <w:pPr>
        <w:spacing w:line="360" w:lineRule="auto"/>
        <w:jc w:val="both"/>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附件</w:t>
      </w:r>
      <w:r>
        <w:rPr>
          <w:rFonts w:hint="eastAsia" w:ascii="仿宋_GB2312" w:hAnsi="仿宋_GB2312" w:eastAsia="仿宋_GB2312" w:cs="仿宋_GB2312"/>
          <w:b/>
          <w:color w:val="auto"/>
          <w:sz w:val="32"/>
          <w:szCs w:val="32"/>
          <w:highlight w:val="none"/>
          <w:lang w:val="en-US" w:eastAsia="zh-CN"/>
        </w:rPr>
        <w:t>5</w:t>
      </w:r>
      <w:r>
        <w:rPr>
          <w:rFonts w:hint="eastAsia" w:ascii="仿宋_GB2312" w:hAnsi="仿宋_GB2312" w:eastAsia="仿宋_GB2312" w:cs="仿宋_GB2312"/>
          <w:b/>
          <w:color w:val="auto"/>
          <w:sz w:val="32"/>
          <w:szCs w:val="32"/>
          <w:highlight w:val="none"/>
        </w:rPr>
        <w:t xml:space="preserve"> 中标（成交）通知书</w:t>
      </w:r>
    </w:p>
    <w:p w14:paraId="337398E9">
      <w:pPr>
        <w:rPr>
          <w:rFonts w:hint="eastAsia"/>
          <w:color w:val="auto"/>
          <w:highlight w:val="none"/>
        </w:rPr>
      </w:pPr>
    </w:p>
    <w:p w14:paraId="713D8662">
      <w:pPr>
        <w:rPr>
          <w:rFonts w:hint="eastAsia"/>
          <w:color w:val="auto"/>
          <w:highlight w:val="none"/>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480DDB08">
      <w:pPr>
        <w:spacing w:line="360" w:lineRule="auto"/>
        <w:jc w:val="left"/>
        <w:rPr>
          <w:rFonts w:hint="eastAsia" w:ascii="仿宋_GB2312" w:hAnsi="仿宋_GB2312" w:eastAsia="仿宋_GB2312" w:cs="仿宋_GB2312"/>
          <w:b/>
          <w:color w:val="auto"/>
          <w:sz w:val="32"/>
          <w:szCs w:val="32"/>
          <w:highlight w:val="none"/>
          <w:lang w:eastAsia="zh-CN"/>
        </w:rPr>
      </w:pPr>
      <w:r>
        <w:rPr>
          <w:rFonts w:hint="eastAsia" w:ascii="仿宋_GB2312" w:hAnsi="仿宋_GB2312" w:eastAsia="仿宋_GB2312" w:cs="仿宋_GB2312"/>
          <w:b/>
          <w:color w:val="auto"/>
          <w:sz w:val="32"/>
          <w:szCs w:val="32"/>
          <w:highlight w:val="none"/>
        </w:rPr>
        <w:t>附件</w:t>
      </w:r>
      <w:r>
        <w:rPr>
          <w:rFonts w:hint="eastAsia" w:ascii="仿宋_GB2312" w:hAnsi="仿宋_GB2312" w:eastAsia="仿宋_GB2312" w:cs="仿宋_GB2312"/>
          <w:b/>
          <w:color w:val="auto"/>
          <w:sz w:val="32"/>
          <w:szCs w:val="32"/>
          <w:highlight w:val="none"/>
          <w:lang w:val="en-US" w:eastAsia="zh-CN"/>
        </w:rPr>
        <w:t>6</w:t>
      </w:r>
    </w:p>
    <w:p w14:paraId="43F6A3E2">
      <w:pPr>
        <w:spacing w:line="360" w:lineRule="auto"/>
        <w:jc w:val="center"/>
        <w:rPr>
          <w:rFonts w:hint="default" w:ascii="仿宋_GB2312" w:eastAsia="仿宋_GB2312"/>
          <w:color w:val="auto"/>
          <w:sz w:val="24"/>
          <w:highlight w:val="none"/>
        </w:rPr>
      </w:pPr>
      <w:r>
        <w:rPr>
          <w:rFonts w:hint="eastAsia" w:ascii="仿宋_GB2312" w:hAnsi="仿宋_GB2312" w:eastAsia="仿宋_GB2312" w:cs="仿宋_GB2312"/>
          <w:b/>
          <w:color w:val="auto"/>
          <w:sz w:val="32"/>
          <w:szCs w:val="32"/>
          <w:highlight w:val="none"/>
        </w:rPr>
        <w:t>承包商违规行为处罚条例</w:t>
      </w:r>
    </w:p>
    <w:tbl>
      <w:tblPr>
        <w:tblStyle w:val="28"/>
        <w:tblpPr w:leftFromText="180" w:rightFromText="180" w:vertAnchor="text" w:horzAnchor="page" w:tblpX="1203" w:tblpY="659"/>
        <w:tblOverlap w:val="never"/>
        <w:tblW w:w="9870" w:type="dxa"/>
        <w:tblInd w:w="0" w:type="dxa"/>
        <w:tblLayout w:type="autofit"/>
        <w:tblCellMar>
          <w:top w:w="0" w:type="dxa"/>
          <w:left w:w="108" w:type="dxa"/>
          <w:bottom w:w="0" w:type="dxa"/>
          <w:right w:w="108" w:type="dxa"/>
        </w:tblCellMar>
      </w:tblPr>
      <w:tblGrid>
        <w:gridCol w:w="735"/>
        <w:gridCol w:w="1128"/>
        <w:gridCol w:w="3060"/>
        <w:gridCol w:w="1350"/>
        <w:gridCol w:w="1097"/>
        <w:gridCol w:w="1250"/>
        <w:gridCol w:w="1250"/>
      </w:tblGrid>
      <w:tr w14:paraId="173EBCC4">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B4416A">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序号</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B8AF69">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项目</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CC5834">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内容</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C6CD8">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罚款说明</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03EA58">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第一次违反</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762981">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第二次违反</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1F4BAA">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三次以上违反</w:t>
            </w:r>
          </w:p>
        </w:tc>
      </w:tr>
      <w:tr w14:paraId="1EE4486D">
        <w:tblPrEx>
          <w:tblCellMar>
            <w:top w:w="0" w:type="dxa"/>
            <w:left w:w="108" w:type="dxa"/>
            <w:bottom w:w="0" w:type="dxa"/>
            <w:right w:w="108" w:type="dxa"/>
          </w:tblCellMar>
        </w:tblPrEx>
        <w:trPr>
          <w:trHeight w:val="454" w:hRule="atLeast"/>
        </w:trPr>
        <w:tc>
          <w:tcPr>
            <w:tcW w:w="735" w:type="dxa"/>
            <w:tcBorders>
              <w:top w:val="nil"/>
              <w:left w:val="single" w:color="000000" w:sz="4" w:space="0"/>
              <w:bottom w:val="single" w:color="000000" w:sz="4" w:space="0"/>
              <w:right w:val="single" w:color="000000" w:sz="4" w:space="0"/>
            </w:tcBorders>
            <w:shd w:val="clear" w:color="auto" w:fill="BFBFBF"/>
            <w:vAlign w:val="center"/>
          </w:tcPr>
          <w:p w14:paraId="1BA8EAA1">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一</w:t>
            </w:r>
          </w:p>
        </w:tc>
        <w:tc>
          <w:tcPr>
            <w:tcW w:w="4188" w:type="dxa"/>
            <w:gridSpan w:val="2"/>
            <w:tcBorders>
              <w:top w:val="nil"/>
              <w:left w:val="single" w:color="000000" w:sz="4" w:space="0"/>
              <w:bottom w:val="single" w:color="000000" w:sz="4" w:space="0"/>
              <w:right w:val="single" w:color="000000" w:sz="4" w:space="0"/>
            </w:tcBorders>
            <w:shd w:val="clear" w:color="auto" w:fill="BFBFBF"/>
            <w:vAlign w:val="center"/>
          </w:tcPr>
          <w:p w14:paraId="60609CEE">
            <w:pPr>
              <w:widowControl/>
              <w:jc w:val="left"/>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工程前期准备</w:t>
            </w:r>
          </w:p>
        </w:tc>
        <w:tc>
          <w:tcPr>
            <w:tcW w:w="1350" w:type="dxa"/>
            <w:tcBorders>
              <w:top w:val="nil"/>
              <w:left w:val="single" w:color="000000" w:sz="4" w:space="0"/>
              <w:bottom w:val="single" w:color="000000" w:sz="4" w:space="0"/>
              <w:right w:val="single" w:color="000000" w:sz="4" w:space="0"/>
            </w:tcBorders>
            <w:shd w:val="clear" w:color="auto" w:fill="BFBFBF"/>
            <w:vAlign w:val="center"/>
          </w:tcPr>
          <w:p w14:paraId="3899E14C">
            <w:pPr>
              <w:jc w:val="center"/>
              <w:rPr>
                <w:rFonts w:hint="eastAsia" w:ascii="仿宋" w:hAnsi="仿宋" w:eastAsia="仿宋" w:cs="仿宋"/>
                <w:b/>
                <w:color w:val="auto"/>
                <w:sz w:val="20"/>
                <w:szCs w:val="20"/>
                <w:highlight w:val="none"/>
              </w:rPr>
            </w:pPr>
          </w:p>
        </w:tc>
        <w:tc>
          <w:tcPr>
            <w:tcW w:w="3597" w:type="dxa"/>
            <w:gridSpan w:val="3"/>
            <w:tcBorders>
              <w:top w:val="nil"/>
              <w:left w:val="single" w:color="000000" w:sz="4" w:space="0"/>
              <w:bottom w:val="single" w:color="000000" w:sz="4" w:space="0"/>
              <w:right w:val="single" w:color="000000" w:sz="4" w:space="0"/>
            </w:tcBorders>
            <w:shd w:val="clear" w:color="auto" w:fill="BFBFBF"/>
            <w:vAlign w:val="center"/>
          </w:tcPr>
          <w:p w14:paraId="2551D540">
            <w:pPr>
              <w:widowControl/>
              <w:jc w:val="center"/>
              <w:textAlignment w:val="center"/>
              <w:rPr>
                <w:rFonts w:hint="eastAsia" w:ascii="仿宋" w:hAnsi="仿宋" w:eastAsia="仿宋" w:cs="仿宋"/>
                <w:color w:val="auto"/>
                <w:sz w:val="20"/>
                <w:szCs w:val="20"/>
                <w:highlight w:val="none"/>
              </w:rPr>
            </w:pPr>
            <w:r>
              <w:rPr>
                <w:rFonts w:hint="eastAsia" w:ascii="仿宋" w:hAnsi="仿宋" w:eastAsia="仿宋" w:cs="仿宋"/>
                <w:color w:val="auto"/>
                <w:kern w:val="0"/>
                <w:sz w:val="20"/>
                <w:szCs w:val="20"/>
                <w:highlight w:val="none"/>
              </w:rPr>
              <w:t>单位：元/次</w:t>
            </w:r>
          </w:p>
        </w:tc>
      </w:tr>
      <w:tr w14:paraId="11E590F4">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CF77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732B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持证上岗</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83F83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施工劳动力安排合理、充足，具备持证上岗资格。</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E005A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56786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14CA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62116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01BAC140">
        <w:tblPrEx>
          <w:tblCellMar>
            <w:top w:w="0" w:type="dxa"/>
            <w:left w:w="108" w:type="dxa"/>
            <w:bottom w:w="0" w:type="dxa"/>
            <w:right w:w="108" w:type="dxa"/>
          </w:tblCellMar>
        </w:tblPrEx>
        <w:trPr>
          <w:trHeight w:val="99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A9D9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48D03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工器具管理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06FA2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施工机械、施工机具、工器具、安全工器具配置充足、合理；进行进场前的检查，确认合格，建立清册和维护保养台帐。</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0EB4A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F7801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C1400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306BB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710626CA">
        <w:tblPrEx>
          <w:tblCellMar>
            <w:top w:w="0" w:type="dxa"/>
            <w:left w:w="108" w:type="dxa"/>
            <w:bottom w:w="0" w:type="dxa"/>
            <w:right w:w="108" w:type="dxa"/>
          </w:tblCellMar>
        </w:tblPrEx>
        <w:trPr>
          <w:trHeight w:val="116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31008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E0602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固定场所配置</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4DA82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五牌一图按规范挂设，按合同约定设立项目部（如有）</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09679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在材料/施工人员进场前未完成，不符合上述规定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50519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E0DEB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53FB8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1B477E4F">
        <w:tblPrEx>
          <w:tblCellMar>
            <w:top w:w="0" w:type="dxa"/>
            <w:left w:w="108" w:type="dxa"/>
            <w:bottom w:w="0" w:type="dxa"/>
            <w:right w:w="108" w:type="dxa"/>
          </w:tblCellMar>
        </w:tblPrEx>
        <w:trPr>
          <w:trHeight w:val="470" w:hRule="atLeast"/>
        </w:trPr>
        <w:tc>
          <w:tcPr>
            <w:tcW w:w="73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0C8431C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b/>
                <w:color w:val="auto"/>
                <w:sz w:val="21"/>
                <w:szCs w:val="21"/>
                <w:highlight w:val="none"/>
              </w:rPr>
            </w:pPr>
            <w:r>
              <w:rPr>
                <w:rFonts w:hint="eastAsia" w:ascii="仿宋_GB2312" w:hAnsi="Times New Roman" w:eastAsia="仿宋_GB2312" w:cs="Times New Roman"/>
                <w:b/>
                <w:color w:val="auto"/>
                <w:sz w:val="21"/>
                <w:szCs w:val="21"/>
                <w:highlight w:val="none"/>
              </w:rPr>
              <w:t>二</w:t>
            </w:r>
          </w:p>
        </w:tc>
        <w:tc>
          <w:tcPr>
            <w:tcW w:w="5538"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68B61EF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left"/>
              <w:textAlignment w:val="auto"/>
              <w:rPr>
                <w:rFonts w:hint="eastAsia" w:ascii="仿宋_GB2312" w:hAnsi="Times New Roman" w:eastAsia="仿宋_GB2312" w:cs="Times New Roman"/>
                <w:b/>
                <w:color w:val="auto"/>
                <w:sz w:val="21"/>
                <w:szCs w:val="21"/>
                <w:highlight w:val="none"/>
              </w:rPr>
            </w:pPr>
            <w:r>
              <w:rPr>
                <w:rFonts w:hint="eastAsia" w:ascii="仿宋_GB2312" w:hAnsi="Times New Roman" w:eastAsia="仿宋_GB2312" w:cs="Times New Roman"/>
                <w:b/>
                <w:color w:val="auto"/>
                <w:sz w:val="21"/>
                <w:szCs w:val="21"/>
                <w:highlight w:val="none"/>
              </w:rPr>
              <w:t>工程安全管理</w:t>
            </w:r>
          </w:p>
        </w:tc>
        <w:tc>
          <w:tcPr>
            <w:tcW w:w="3597"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60C7FB1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单位：元/次</w:t>
            </w:r>
          </w:p>
        </w:tc>
      </w:tr>
      <w:tr w14:paraId="2AE354BF">
        <w:tblPrEx>
          <w:tblCellMar>
            <w:top w:w="0" w:type="dxa"/>
            <w:left w:w="108" w:type="dxa"/>
            <w:bottom w:w="0" w:type="dxa"/>
            <w:right w:w="108" w:type="dxa"/>
          </w:tblCellMar>
        </w:tblPrEx>
        <w:trPr>
          <w:trHeight w:val="12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1D861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D72DC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劳保用品使用</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ABE64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作业人员按照规定使用符合安全标准、规范的劳动防护用品。</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136EB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没使用劳务用具、或没正确使用劳务安全用具均属于以上范畴</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28095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2FBF8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7BB80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51C559E9">
        <w:tblPrEx>
          <w:tblCellMar>
            <w:top w:w="0" w:type="dxa"/>
            <w:left w:w="108" w:type="dxa"/>
            <w:bottom w:w="0" w:type="dxa"/>
            <w:right w:w="108" w:type="dxa"/>
          </w:tblCellMar>
        </w:tblPrEx>
        <w:trPr>
          <w:trHeight w:val="1005"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CDCA6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41F32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安全技术交底</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A5190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班组级安全交底记录齐全；开工前或分部、分项工程开工前，对参加施工的所有人员进行安全交底，交底记录中无未签字、代签字或机打签字等问题。</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65A92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D65C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24114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97D9F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2A675A26">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31711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FAD0B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安全活动</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E9C92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认真参加及组织班前、班后会及其他安全活动。</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0DCB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DBF38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24E38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F11EF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6835C674">
        <w:tblPrEx>
          <w:tblCellMar>
            <w:top w:w="0" w:type="dxa"/>
            <w:left w:w="108" w:type="dxa"/>
            <w:bottom w:w="0" w:type="dxa"/>
            <w:right w:w="108" w:type="dxa"/>
          </w:tblCellMar>
        </w:tblPrEx>
        <w:trPr>
          <w:trHeight w:val="1065"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25364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655E4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安全会议</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1886A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每月组织一次对本施工现场的安全隐患排查和整治工作，并积极参与项目管理单位组织的安全会议和其他安全生产活动。</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9FC3B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95C5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0BC30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A1CF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36AA8269">
        <w:tblPrEx>
          <w:tblCellMar>
            <w:top w:w="0" w:type="dxa"/>
            <w:left w:w="108" w:type="dxa"/>
            <w:bottom w:w="0" w:type="dxa"/>
            <w:right w:w="108" w:type="dxa"/>
          </w:tblCellMar>
        </w:tblPrEx>
        <w:trPr>
          <w:trHeight w:val="1065"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A6819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9242D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文明施工</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9431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遵守施工现场管理要求，做到安全警示标志齐全、安全防护措施有效、施工材料定置摆放、现场道路过道畅通无阻。</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B78C7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47F51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416AA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FDBCC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2088F9A1">
        <w:tblPrEx>
          <w:tblCellMar>
            <w:top w:w="0" w:type="dxa"/>
            <w:left w:w="108" w:type="dxa"/>
            <w:bottom w:w="0" w:type="dxa"/>
            <w:right w:w="108" w:type="dxa"/>
          </w:tblCellMar>
        </w:tblPrEx>
        <w:trPr>
          <w:trHeight w:val="1005"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1E9AD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24B52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安全隐患限时整改</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6AC05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规定的期限内，按照业主项目部及监理单位下发的安全隐患整改通知单限时进行隐患原因分析及整改。</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FFF8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限时约定时间按通知单约定，若超过约定整改时间者</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4E165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8C1D9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11933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1B9B84C1">
        <w:tblPrEx>
          <w:tblCellMar>
            <w:top w:w="0" w:type="dxa"/>
            <w:left w:w="108" w:type="dxa"/>
            <w:bottom w:w="0" w:type="dxa"/>
            <w:right w:w="108" w:type="dxa"/>
          </w:tblCellMar>
        </w:tblPrEx>
        <w:trPr>
          <w:trHeight w:val="144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B6742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79183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电源箱</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001E4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电源箱、柜、板符合作业环境要求，编号、识别标记齐全醒目，箱、柜、板内外整洁、完好，无杂物、无积水，有足够的操作空间，符合安全规程要求，箱、柜、门完好，开关外壳、消弧罩齐全，引入、引出电缆孔洞封堵严密，室外电源箱防雨设施良好。</w:t>
            </w:r>
            <w:r>
              <w:rPr>
                <w:rFonts w:hint="eastAsia" w:ascii="仿宋_GB2312" w:hAnsi="Times New Roman" w:eastAsia="仿宋_GB2312" w:cs="Times New Roman"/>
                <w:color w:val="auto"/>
                <w:sz w:val="21"/>
                <w:szCs w:val="21"/>
                <w:highlight w:val="none"/>
              </w:rPr>
              <w:br w:type="textWrapping"/>
            </w:r>
            <w:r>
              <w:rPr>
                <w:rFonts w:hint="eastAsia" w:ascii="仿宋_GB2312" w:hAnsi="Times New Roman" w:eastAsia="仿宋_GB2312" w:cs="Times New Roman"/>
                <w:color w:val="auto"/>
                <w:sz w:val="21"/>
                <w:szCs w:val="21"/>
                <w:highlight w:val="none"/>
              </w:rPr>
              <w:t>导线敷设符合规定，内部器件安装及配线工艺符合安全要求，漏电保护装置配置合理、动作可靠，各路配线负荷标志清晰，熔丝（片）容量符合规程要求，无铜丝、铝线等其他物质代替熔丝现象。</w:t>
            </w:r>
            <w:r>
              <w:rPr>
                <w:rFonts w:hint="eastAsia" w:ascii="仿宋_GB2312" w:hAnsi="Times New Roman" w:eastAsia="仿宋_GB2312" w:cs="Times New Roman"/>
                <w:color w:val="auto"/>
                <w:sz w:val="21"/>
                <w:szCs w:val="21"/>
                <w:highlight w:val="none"/>
              </w:rPr>
              <w:br w:type="textWrapping"/>
            </w:r>
            <w:r>
              <w:rPr>
                <w:rFonts w:hint="eastAsia" w:ascii="仿宋_GB2312" w:hAnsi="Times New Roman" w:eastAsia="仿宋_GB2312" w:cs="Times New Roman"/>
                <w:color w:val="auto"/>
                <w:sz w:val="21"/>
                <w:szCs w:val="21"/>
                <w:highlight w:val="none"/>
              </w:rPr>
              <w:t>保护接地、接零系统连接正确、牢固可靠，符合安全要求，插座相线、中性线布置符合规定，接线端子标志清楚，保护装置齐全，与负荷匹配合理，外露带电部分屏护完好。</w:t>
            </w:r>
            <w:r>
              <w:rPr>
                <w:rFonts w:hint="eastAsia" w:ascii="仿宋_GB2312" w:hAnsi="Times New Roman" w:eastAsia="仿宋_GB2312" w:cs="Times New Roman"/>
                <w:color w:val="auto"/>
                <w:sz w:val="21"/>
                <w:szCs w:val="21"/>
                <w:highlight w:val="none"/>
              </w:rPr>
              <w:br w:type="textWrapping"/>
            </w:r>
            <w:r>
              <w:rPr>
                <w:rFonts w:hint="eastAsia" w:ascii="仿宋_GB2312" w:hAnsi="Times New Roman" w:eastAsia="仿宋_GB2312" w:cs="Times New Roman"/>
                <w:color w:val="auto"/>
                <w:sz w:val="21"/>
                <w:szCs w:val="21"/>
                <w:highlight w:val="none"/>
              </w:rPr>
              <w:t>临时用电接线应经过允许，使用绝缘良好、并与负荷匹配的护套软管，敷设符合安全要求，装有总开关控制和漏电保护装置，每分路应装设与负荷匹配的熔断器，临时用电设备接地可靠，严禁在有爆炸和火灾危险场所设临时线路，不得在刀闸或开关上口使用插头、开关。</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8C776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32214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6FBB5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84CD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307BC5DE">
        <w:tblPrEx>
          <w:tblCellMar>
            <w:top w:w="0" w:type="dxa"/>
            <w:left w:w="108" w:type="dxa"/>
            <w:bottom w:w="0" w:type="dxa"/>
            <w:right w:w="108" w:type="dxa"/>
          </w:tblCellMar>
        </w:tblPrEx>
        <w:trPr>
          <w:trHeight w:val="2185"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60FD2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34059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电焊作业</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A014C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电焊机使用管理、检查试验制度完善，检查维护责任落实，编号统一、清晰。</w:t>
            </w:r>
            <w:r>
              <w:rPr>
                <w:rFonts w:hint="eastAsia" w:ascii="仿宋_GB2312" w:hAnsi="Times New Roman" w:eastAsia="仿宋_GB2312" w:cs="Times New Roman"/>
                <w:color w:val="auto"/>
                <w:sz w:val="21"/>
                <w:szCs w:val="21"/>
                <w:highlight w:val="none"/>
              </w:rPr>
              <w:br w:type="textWrapping"/>
            </w:r>
            <w:r>
              <w:rPr>
                <w:rFonts w:hint="eastAsia" w:ascii="仿宋_GB2312" w:hAnsi="Times New Roman" w:eastAsia="仿宋_GB2312" w:cs="Times New Roman"/>
                <w:color w:val="auto"/>
                <w:sz w:val="21"/>
                <w:szCs w:val="21"/>
                <w:highlight w:val="none"/>
              </w:rPr>
              <w:t>电焊机性能良好，符合安全要求，接线端子屏蔽罩齐全，电焊机接线规范，电源线、焊接电缆与焊机连接处有可靠屏护。金属外壳有可靠的接地（零），一、二次绕组及绕组与外壳间绝缘良好，一次线长度不超过2-3米，且不得拖地或跨越通道使用。二次线接头不超过三个，连接良好。焊钳夹紧力好，绝缘可靠，隔热层完好。</w:t>
            </w:r>
            <w:r>
              <w:rPr>
                <w:rFonts w:hint="eastAsia" w:ascii="仿宋_GB2312" w:hAnsi="Times New Roman" w:eastAsia="仿宋_GB2312" w:cs="Times New Roman"/>
                <w:color w:val="auto"/>
                <w:sz w:val="21"/>
                <w:szCs w:val="21"/>
                <w:highlight w:val="none"/>
              </w:rPr>
              <w:br w:type="textWrapping"/>
            </w:r>
            <w:r>
              <w:rPr>
                <w:rFonts w:hint="eastAsia" w:ascii="仿宋_GB2312" w:hAnsi="Times New Roman" w:eastAsia="仿宋_GB2312" w:cs="Times New Roman"/>
                <w:color w:val="auto"/>
                <w:sz w:val="21"/>
                <w:szCs w:val="21"/>
                <w:highlight w:val="none"/>
              </w:rPr>
              <w:t>焊接作业应使用动火工作票，现场的防火措施足够，作业人员应持证上岗，按规定正确佩戴个人防护用品。在有限空间作业必须设有防止金属熔渣飞溅、掉落引起火灾的措施以及防止烫伤、触电、爆炸等措施。</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5B183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7BE3F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1AF49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AC4B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4484DE9A">
        <w:tblPrEx>
          <w:tblCellMar>
            <w:top w:w="0" w:type="dxa"/>
            <w:left w:w="108" w:type="dxa"/>
            <w:bottom w:w="0" w:type="dxa"/>
            <w:right w:w="108" w:type="dxa"/>
          </w:tblCellMar>
        </w:tblPrEx>
        <w:trPr>
          <w:trHeight w:val="455" w:hRule="atLeast"/>
        </w:trPr>
        <w:tc>
          <w:tcPr>
            <w:tcW w:w="73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66E503F1">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三</w:t>
            </w:r>
          </w:p>
        </w:tc>
        <w:tc>
          <w:tcPr>
            <w:tcW w:w="5538"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707FF969">
            <w:pPr>
              <w:widowControl/>
              <w:jc w:val="left"/>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工程质量管理</w:t>
            </w:r>
          </w:p>
        </w:tc>
        <w:tc>
          <w:tcPr>
            <w:tcW w:w="3597"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50AC488D">
            <w:pPr>
              <w:widowControl/>
              <w:jc w:val="center"/>
              <w:textAlignment w:val="center"/>
              <w:rPr>
                <w:rFonts w:hint="eastAsia" w:ascii="仿宋" w:hAnsi="仿宋" w:eastAsia="仿宋" w:cs="仿宋"/>
                <w:color w:val="auto"/>
                <w:sz w:val="20"/>
                <w:szCs w:val="20"/>
                <w:highlight w:val="none"/>
              </w:rPr>
            </w:pPr>
            <w:r>
              <w:rPr>
                <w:rFonts w:hint="eastAsia" w:ascii="仿宋" w:hAnsi="仿宋" w:eastAsia="仿宋" w:cs="仿宋"/>
                <w:color w:val="auto"/>
                <w:kern w:val="0"/>
                <w:sz w:val="20"/>
                <w:szCs w:val="20"/>
                <w:highlight w:val="none"/>
              </w:rPr>
              <w:t>单位：元/次</w:t>
            </w:r>
          </w:p>
        </w:tc>
      </w:tr>
      <w:tr w14:paraId="4626D0D6">
        <w:tblPrEx>
          <w:tblCellMar>
            <w:top w:w="0" w:type="dxa"/>
            <w:left w:w="108" w:type="dxa"/>
            <w:bottom w:w="0" w:type="dxa"/>
            <w:right w:w="108" w:type="dxa"/>
          </w:tblCellMar>
        </w:tblPrEx>
        <w:trPr>
          <w:trHeight w:val="8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9390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96E58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材料/设备报验</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DE153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材料/设备应在进场前通知监理单位/建设单位验收，未经检验的材料/设备不得使用，检验不合格的材料/设备及时退场</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768F1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F1D4E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048A9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5F136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37A3849F">
        <w:tblPrEx>
          <w:tblCellMar>
            <w:top w:w="0" w:type="dxa"/>
            <w:left w:w="108" w:type="dxa"/>
            <w:bottom w:w="0" w:type="dxa"/>
            <w:right w:w="108" w:type="dxa"/>
          </w:tblCellMar>
        </w:tblPrEx>
        <w:trPr>
          <w:trHeight w:val="9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FD35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8E219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材料/设备检验验收</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B65C5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工程施工中没有使用国家、地方和行业以及公司明令禁止和限制使用的建筑材料及施工工艺，及不符合国家标准的；且不符合合同或招标文件约定的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FE2C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优先顺序：设计图纸（已盖章）、行业标准、国家标准</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37B95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7080A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035E4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30602BAD">
        <w:tblPrEx>
          <w:tblCellMar>
            <w:top w:w="0" w:type="dxa"/>
            <w:left w:w="108" w:type="dxa"/>
            <w:bottom w:w="0" w:type="dxa"/>
            <w:right w:w="108" w:type="dxa"/>
          </w:tblCellMar>
        </w:tblPrEx>
        <w:trPr>
          <w:trHeight w:val="142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E8C5A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9A00F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隐蔽工程验收</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0E214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隐蔽工程自检合格后，承包单位在 48 小时前书面通知监理工程师参加隐蔽工程的检查，承包人准备记录表格验收合格监理工程师在验收记录上签字后，承包单位可进行隐蔽和继续施工。验收不合格。承包人在监理工程师限定的时间内整改后重新验收。</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EAD54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未按上述规定执行者</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EB380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F12C4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42991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112E09DA">
        <w:tblPrEx>
          <w:tblCellMar>
            <w:top w:w="0" w:type="dxa"/>
            <w:left w:w="108" w:type="dxa"/>
            <w:bottom w:w="0" w:type="dxa"/>
            <w:right w:w="108" w:type="dxa"/>
          </w:tblCellMar>
        </w:tblPrEx>
        <w:trPr>
          <w:trHeight w:val="1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5682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6D09F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质量缺陷管理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BBECB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对施工存在的质量缺陷，认真整改并及时回复整改意见。</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DDE5E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48小时内回复整改意见；并在通知单约定时间内限时整改，不符合上述规定者</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52C69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E530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7346D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378E7464">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BA9D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D1735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资料与进度同步</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3030A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工程质保资料、验评记录及签证记录内容真实、数据准确，能与工程保持同步。</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AB05F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不符合上述规定</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05B1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B4489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CD5B6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188598E8">
        <w:tblPrEx>
          <w:tblCellMar>
            <w:top w:w="0" w:type="dxa"/>
            <w:left w:w="108" w:type="dxa"/>
            <w:bottom w:w="0" w:type="dxa"/>
            <w:right w:w="108" w:type="dxa"/>
          </w:tblCellMar>
        </w:tblPrEx>
        <w:trPr>
          <w:trHeight w:val="147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6FC32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4B0DF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材料/设备进场检验</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7673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工程施工中没有使用国家、地方和行业以及公司明令禁止和限制使用的建筑材料及施工工艺，及不符合国家标准的；且不符合合同或招标文件约定的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C98B3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优先顺序：设计图纸（已盖章）、行业标准、国家标准</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3FA6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F5102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F56E4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4F0DFE02">
        <w:tblPrEx>
          <w:tblCellMar>
            <w:top w:w="0" w:type="dxa"/>
            <w:left w:w="108" w:type="dxa"/>
            <w:bottom w:w="0" w:type="dxa"/>
            <w:right w:w="108" w:type="dxa"/>
          </w:tblCellMar>
        </w:tblPrEx>
        <w:trPr>
          <w:trHeight w:val="485" w:hRule="atLeast"/>
        </w:trPr>
        <w:tc>
          <w:tcPr>
            <w:tcW w:w="73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4A72F41B">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四</w:t>
            </w:r>
          </w:p>
        </w:tc>
        <w:tc>
          <w:tcPr>
            <w:tcW w:w="5538"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4C0EC0FB">
            <w:pPr>
              <w:widowControl/>
              <w:jc w:val="left"/>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工程综合管理</w:t>
            </w:r>
          </w:p>
        </w:tc>
        <w:tc>
          <w:tcPr>
            <w:tcW w:w="3597"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6F8507F1">
            <w:pPr>
              <w:widowControl/>
              <w:jc w:val="center"/>
              <w:textAlignment w:val="center"/>
              <w:rPr>
                <w:rFonts w:hint="eastAsia" w:ascii="仿宋" w:hAnsi="仿宋" w:eastAsia="仿宋" w:cs="仿宋"/>
                <w:color w:val="auto"/>
                <w:sz w:val="20"/>
                <w:szCs w:val="20"/>
                <w:highlight w:val="none"/>
              </w:rPr>
            </w:pPr>
            <w:r>
              <w:rPr>
                <w:rFonts w:hint="eastAsia" w:ascii="仿宋" w:hAnsi="仿宋" w:eastAsia="仿宋" w:cs="仿宋"/>
                <w:color w:val="auto"/>
                <w:kern w:val="0"/>
                <w:sz w:val="20"/>
                <w:szCs w:val="20"/>
                <w:highlight w:val="none"/>
              </w:rPr>
              <w:t>单位：元/次</w:t>
            </w:r>
          </w:p>
        </w:tc>
      </w:tr>
      <w:tr w14:paraId="79CD4E61">
        <w:tblPrEx>
          <w:tblCellMar>
            <w:top w:w="0" w:type="dxa"/>
            <w:left w:w="108" w:type="dxa"/>
            <w:bottom w:w="0" w:type="dxa"/>
            <w:right w:w="108" w:type="dxa"/>
          </w:tblCellMar>
        </w:tblPrEx>
        <w:trPr>
          <w:trHeight w:val="147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9C2EF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8A8B3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业主单位/客户/监管部门投诉</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43579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总承包单位在实施过程中，因施工单位原因：不限于安全、质量、进度问题。业主单位/客户/监管部门投诉至新锋</w:t>
            </w:r>
            <w:r>
              <w:rPr>
                <w:rFonts w:hint="eastAsia" w:ascii="仿宋_GB2312" w:hAnsi="Times New Roman" w:eastAsia="仿宋_GB2312" w:cs="Times New Roman"/>
                <w:color w:val="auto"/>
                <w:sz w:val="21"/>
                <w:szCs w:val="21"/>
                <w:highlight w:val="none"/>
                <w:lang w:val="en-US" w:eastAsia="zh-CN"/>
              </w:rPr>
              <w:t>新能源</w:t>
            </w:r>
            <w:r>
              <w:rPr>
                <w:rFonts w:hint="eastAsia" w:ascii="仿宋_GB2312" w:hAnsi="Times New Roman" w:eastAsia="仿宋_GB2312" w:cs="Times New Roman"/>
                <w:color w:val="auto"/>
                <w:sz w:val="21"/>
                <w:szCs w:val="21"/>
                <w:highlight w:val="none"/>
              </w:rPr>
              <w:t>总经理的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C5E8E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19DD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22894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1BA9A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5B0F8845">
        <w:tblPrEx>
          <w:tblCellMar>
            <w:top w:w="0" w:type="dxa"/>
            <w:left w:w="108" w:type="dxa"/>
            <w:bottom w:w="0" w:type="dxa"/>
            <w:right w:w="108" w:type="dxa"/>
          </w:tblCellMar>
        </w:tblPrEx>
        <w:trPr>
          <w:trHeight w:val="147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C3744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3BB31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进度工作汇报</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3AC87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项目开始实施到竣工验收，施工单位需每天向甲方负责人书面汇报工程进度；每周三汇报项目周进度（项目一张图）</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A721D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未如期汇报者</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A0F9F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8481E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67108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299EFD71">
        <w:tblPrEx>
          <w:tblCellMar>
            <w:top w:w="0" w:type="dxa"/>
            <w:left w:w="108" w:type="dxa"/>
            <w:bottom w:w="0" w:type="dxa"/>
            <w:right w:w="108" w:type="dxa"/>
          </w:tblCellMar>
        </w:tblPrEx>
        <w:trPr>
          <w:trHeight w:val="583"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3CD09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0BB6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工完料尽场地清</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9B3B7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施工现场工完、料尽、场地清。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F3EDE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未按上述规定执行者</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2BE7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3864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EBC8E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5FCA6666">
        <w:tblPrEx>
          <w:tblCellMar>
            <w:top w:w="0" w:type="dxa"/>
            <w:left w:w="108" w:type="dxa"/>
            <w:bottom w:w="0" w:type="dxa"/>
            <w:right w:w="108" w:type="dxa"/>
          </w:tblCellMar>
        </w:tblPrEx>
        <w:trPr>
          <w:trHeight w:val="1093"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2B5AB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00B84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施工进度滞后</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C7C4E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项目开工后，工程进度滞后超过5天（自然日），且未经甲方项目负责人书面同意延期的。（不可抗力因素除外）</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4D714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实际工期与计划工程不符者、工期滞后者</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52BB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9E56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09E0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罚款8000</w:t>
            </w:r>
          </w:p>
        </w:tc>
      </w:tr>
      <w:tr w14:paraId="1E7D70C3">
        <w:tblPrEx>
          <w:tblCellMar>
            <w:top w:w="0" w:type="dxa"/>
            <w:left w:w="108" w:type="dxa"/>
            <w:bottom w:w="0" w:type="dxa"/>
            <w:right w:w="108" w:type="dxa"/>
          </w:tblCellMar>
        </w:tblPrEx>
        <w:trPr>
          <w:trHeight w:val="955"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AD96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5734A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施工道路及场地保护</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24B1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施工道路修筑、维护确保不造成水土流失、破坏周围植被。</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5F2E2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未按上述规定执行者</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6B7B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46047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64DA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694147A4">
        <w:tblPrEx>
          <w:tblCellMar>
            <w:top w:w="0" w:type="dxa"/>
            <w:left w:w="108" w:type="dxa"/>
            <w:bottom w:w="0" w:type="dxa"/>
            <w:right w:w="108" w:type="dxa"/>
          </w:tblCellMar>
        </w:tblPrEx>
        <w:trPr>
          <w:trHeight w:val="1705"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EB307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BF494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监管部门罚单</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8CCCF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因施工单位原因，受监管部门开罚单及被扣分者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7BA3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2B0E9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罚款金额为监管部门开出罚单金额的两倍</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9B16B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罚款金额为监管部门开出罚单金额的两倍</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90D7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罚款金额为监管部门开出罚单金额的两倍，且该分包商年度综合评定为：不合格</w:t>
            </w:r>
          </w:p>
        </w:tc>
      </w:tr>
      <w:tr w14:paraId="3249F1C6">
        <w:tblPrEx>
          <w:tblCellMar>
            <w:top w:w="0" w:type="dxa"/>
            <w:left w:w="108" w:type="dxa"/>
            <w:bottom w:w="0" w:type="dxa"/>
            <w:right w:w="108" w:type="dxa"/>
          </w:tblCellMar>
        </w:tblPrEx>
        <w:trPr>
          <w:trHeight w:val="390" w:hRule="atLeast"/>
        </w:trPr>
        <w:tc>
          <w:tcPr>
            <w:tcW w:w="73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1D7E2B43">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五</w:t>
            </w:r>
          </w:p>
        </w:tc>
        <w:tc>
          <w:tcPr>
            <w:tcW w:w="5538"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70DBA0AA">
            <w:pPr>
              <w:widowControl/>
              <w:jc w:val="left"/>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起重吊装作业</w:t>
            </w:r>
          </w:p>
        </w:tc>
        <w:tc>
          <w:tcPr>
            <w:tcW w:w="3597"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78D6D213">
            <w:pPr>
              <w:widowControl/>
              <w:jc w:val="center"/>
              <w:textAlignment w:val="center"/>
              <w:rPr>
                <w:rFonts w:hint="eastAsia" w:ascii="仿宋" w:hAnsi="仿宋" w:eastAsia="仿宋" w:cs="仿宋"/>
                <w:color w:val="auto"/>
                <w:sz w:val="20"/>
                <w:szCs w:val="20"/>
                <w:highlight w:val="none"/>
              </w:rPr>
            </w:pPr>
            <w:r>
              <w:rPr>
                <w:rFonts w:hint="eastAsia" w:ascii="仿宋" w:hAnsi="仿宋" w:eastAsia="仿宋" w:cs="仿宋"/>
                <w:color w:val="auto"/>
                <w:kern w:val="0"/>
                <w:sz w:val="20"/>
                <w:szCs w:val="20"/>
                <w:highlight w:val="none"/>
              </w:rPr>
              <w:t>单位：元/次</w:t>
            </w:r>
          </w:p>
        </w:tc>
      </w:tr>
      <w:tr w14:paraId="713BB9C4">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1418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F120C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0B3D7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起重机的安全保护装置不完好</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EEA49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60093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719A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92A62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685F334B">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A234E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54AF5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6A7D8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使用未经许可或未经注册的吊装装置</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DFE04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913AC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0055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F7269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743CE0D3">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25099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A110C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038F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使用未经检查合格的索具</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FE249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3B4ED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59439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C02F6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1D3970D5">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F7C17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6B69A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C70C4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非起重工进行起重操作和指挥</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DAF01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33D57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73DBF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A519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178E15FA">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6E067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89293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6A3A6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吊装区域未进行隔离及无人监护</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7EF8B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38FD6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9AC1B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6E2E5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2DEC722B">
        <w:tblPrEx>
          <w:tblCellMar>
            <w:top w:w="0" w:type="dxa"/>
            <w:left w:w="108" w:type="dxa"/>
            <w:bottom w:w="0" w:type="dxa"/>
            <w:right w:w="108" w:type="dxa"/>
          </w:tblCellMar>
        </w:tblPrEx>
        <w:trPr>
          <w:trHeight w:val="399" w:hRule="atLeast"/>
        </w:trPr>
        <w:tc>
          <w:tcPr>
            <w:tcW w:w="735"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76B9C594">
            <w:pPr>
              <w:widowControl/>
              <w:jc w:val="center"/>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六</w:t>
            </w:r>
          </w:p>
        </w:tc>
        <w:tc>
          <w:tcPr>
            <w:tcW w:w="5538"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3395C28A">
            <w:pPr>
              <w:widowControl/>
              <w:jc w:val="left"/>
              <w:textAlignment w:val="center"/>
              <w:rPr>
                <w:rFonts w:hint="eastAsia" w:ascii="仿宋" w:hAnsi="仿宋" w:eastAsia="仿宋" w:cs="仿宋"/>
                <w:b/>
                <w:color w:val="auto"/>
                <w:sz w:val="20"/>
                <w:szCs w:val="20"/>
                <w:highlight w:val="none"/>
              </w:rPr>
            </w:pPr>
            <w:r>
              <w:rPr>
                <w:rFonts w:hint="eastAsia" w:ascii="仿宋" w:hAnsi="仿宋" w:eastAsia="仿宋" w:cs="仿宋"/>
                <w:b/>
                <w:color w:val="auto"/>
                <w:kern w:val="0"/>
                <w:sz w:val="20"/>
                <w:szCs w:val="20"/>
                <w:highlight w:val="none"/>
              </w:rPr>
              <w:t>光伏专项管理</w:t>
            </w:r>
          </w:p>
        </w:tc>
        <w:tc>
          <w:tcPr>
            <w:tcW w:w="3597" w:type="dxa"/>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14:paraId="3FC819E7">
            <w:pPr>
              <w:widowControl/>
              <w:jc w:val="center"/>
              <w:textAlignment w:val="center"/>
              <w:rPr>
                <w:rFonts w:hint="eastAsia" w:ascii="仿宋" w:hAnsi="仿宋" w:eastAsia="仿宋" w:cs="仿宋"/>
                <w:color w:val="auto"/>
                <w:sz w:val="20"/>
                <w:szCs w:val="20"/>
                <w:highlight w:val="none"/>
              </w:rPr>
            </w:pPr>
            <w:r>
              <w:rPr>
                <w:rFonts w:hint="eastAsia" w:ascii="仿宋" w:hAnsi="仿宋" w:eastAsia="仿宋" w:cs="仿宋"/>
                <w:color w:val="auto"/>
                <w:kern w:val="0"/>
                <w:sz w:val="20"/>
                <w:szCs w:val="20"/>
                <w:highlight w:val="none"/>
              </w:rPr>
              <w:t>单位：元/次</w:t>
            </w:r>
          </w:p>
        </w:tc>
      </w:tr>
      <w:tr w14:paraId="74085C6C">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DFDD9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8E10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BAC80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施工人员在非指定区域吸烟、乱丢烟头的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750BD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16DD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63010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7ACE4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04740C12">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AC9D2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5D0A1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96340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不按指定路线出入施工区域且不听劝阻者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84BF0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37904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8E487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F100F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3E4623E4">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D1B6C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CD79D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2D3B6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下班收工未将施工设备断电、气体钢瓶断气者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4C651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2FDC9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ED890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B79F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21FBF1DC">
        <w:tblPrEx>
          <w:tblCellMar>
            <w:top w:w="0" w:type="dxa"/>
            <w:left w:w="108" w:type="dxa"/>
            <w:bottom w:w="0" w:type="dxa"/>
            <w:right w:w="108" w:type="dxa"/>
          </w:tblCellMar>
        </w:tblPrEx>
        <w:trPr>
          <w:trHeight w:val="365"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D419E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84575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DF756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未经申请用电/不按规定接电/使用破损电缆/电线搭接延长者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AE5EA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2A890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8FA17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599CD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44828581">
        <w:tblPrEx>
          <w:tblCellMar>
            <w:top w:w="0" w:type="dxa"/>
            <w:left w:w="108" w:type="dxa"/>
            <w:bottom w:w="0" w:type="dxa"/>
            <w:right w:w="108" w:type="dxa"/>
          </w:tblCellMar>
        </w:tblPrEx>
        <w:trPr>
          <w:trHeight w:val="9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D6B76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385AF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EE72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施工现场存在坑洞、高空坠落物、触电、滑倒等危险因素的场地,未设置醒目标识、护栏或围栏，经指正仍未整改的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2F2E0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E1694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4795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C230F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79AE2136">
        <w:tblPrEx>
          <w:tblCellMar>
            <w:top w:w="0" w:type="dxa"/>
            <w:left w:w="108" w:type="dxa"/>
            <w:bottom w:w="0" w:type="dxa"/>
            <w:right w:w="108" w:type="dxa"/>
          </w:tblCellMar>
        </w:tblPrEx>
        <w:trPr>
          <w:trHeight w:val="6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FE11E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D8C0B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E1A12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危险作业场所未设置警示标志(如禁止进入/注意头部等)及安全防护措施(如耐高压电或耐热手套等)者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8F5ED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CA838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747FD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FCD0B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7F75FECD">
        <w:tblPrEx>
          <w:tblCellMar>
            <w:top w:w="0" w:type="dxa"/>
            <w:left w:w="108" w:type="dxa"/>
            <w:bottom w:w="0" w:type="dxa"/>
            <w:right w:w="108" w:type="dxa"/>
          </w:tblCellMar>
        </w:tblPrEx>
        <w:trPr>
          <w:trHeight w:val="778"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6455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736E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862C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违规采用头顶、肩扛等方式搬运组件、踩踏光伏组件者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2DDA2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5C195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5C175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C2926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35175A08">
        <w:tblPrEx>
          <w:tblCellMar>
            <w:top w:w="0" w:type="dxa"/>
            <w:left w:w="108" w:type="dxa"/>
            <w:bottom w:w="0" w:type="dxa"/>
            <w:right w:w="108" w:type="dxa"/>
          </w:tblCellMar>
        </w:tblPrEx>
        <w:trPr>
          <w:trHeight w:val="778"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220BC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B9DE5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4D02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屋顶作业违规抛掷支架、桥架、扁钢等施工材料者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78998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5A7D9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03F1A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F1666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32399963">
        <w:tblPrEx>
          <w:tblCellMar>
            <w:top w:w="0" w:type="dxa"/>
            <w:left w:w="108" w:type="dxa"/>
            <w:bottom w:w="0" w:type="dxa"/>
            <w:right w:w="108" w:type="dxa"/>
          </w:tblCellMar>
        </w:tblPrEx>
        <w:trPr>
          <w:trHeight w:val="778"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05A8C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13B9E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407D3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出现焊接质量（主控项）问题</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CF50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544D5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B6F66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69576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71E7A5C5">
        <w:tblPrEx>
          <w:tblCellMar>
            <w:top w:w="0" w:type="dxa"/>
            <w:left w:w="108" w:type="dxa"/>
            <w:bottom w:w="0" w:type="dxa"/>
            <w:right w:w="108" w:type="dxa"/>
          </w:tblCellMar>
        </w:tblPrEx>
        <w:trPr>
          <w:trHeight w:val="778"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D8C23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17EB6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11A1B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出现油漆流淌严重资料问题</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E3749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487E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38493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BE496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2FC7A5E6">
        <w:tblPrEx>
          <w:tblCellMar>
            <w:top w:w="0" w:type="dxa"/>
            <w:left w:w="108" w:type="dxa"/>
            <w:bottom w:w="0" w:type="dxa"/>
            <w:right w:w="108" w:type="dxa"/>
          </w:tblCellMar>
        </w:tblPrEx>
        <w:trPr>
          <w:trHeight w:val="778"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4B304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9EE41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0DCE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出现混凝土墩缺角、破损开裂严重、不密实、养护不到位等质量问题</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8C53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5B0B8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21DD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308D1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1E5F2D69">
        <w:tblPrEx>
          <w:tblCellMar>
            <w:top w:w="0" w:type="dxa"/>
            <w:left w:w="108" w:type="dxa"/>
            <w:bottom w:w="0" w:type="dxa"/>
            <w:right w:w="108" w:type="dxa"/>
          </w:tblCellMar>
        </w:tblPrEx>
        <w:trPr>
          <w:trHeight w:val="778"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1F94C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84719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9C10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出现楼板防水质量差、导致楼板漏水的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C39E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62A55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D02C0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BFF92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7A47CCCE">
        <w:tblPrEx>
          <w:tblCellMar>
            <w:top w:w="0" w:type="dxa"/>
            <w:left w:w="108" w:type="dxa"/>
            <w:bottom w:w="0" w:type="dxa"/>
            <w:right w:w="108" w:type="dxa"/>
          </w:tblCellMar>
        </w:tblPrEx>
        <w:trPr>
          <w:trHeight w:val="778"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CEF52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146FA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E0519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因施工不当，打穿楼板的，没做好成品保护的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AC69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16C1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C2CC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7DC49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0A7D4D50">
        <w:tblPrEx>
          <w:tblCellMar>
            <w:top w:w="0" w:type="dxa"/>
            <w:left w:w="108" w:type="dxa"/>
            <w:bottom w:w="0" w:type="dxa"/>
            <w:right w:w="108" w:type="dxa"/>
          </w:tblCellMar>
        </w:tblPrEx>
        <w:trPr>
          <w:trHeight w:val="778"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D901D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D4CF4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5AF4C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高压钢瓶未集中保管或直立未进行固定或任其横置滚动或管线阻碍走道者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03E75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435A8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E097E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C22A4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06AAD551">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584D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DB99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319E1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使用氧气或乙炔进行切割时未加装逆止阀</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DD172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BEDE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6A059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5994B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5B10D0AF">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68BC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626CD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B8A15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在严禁动火区或在油漆施工中，以及其它危险区域吸烟或动火者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25471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95746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166B4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7EFD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4EFE98AD">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F13B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4BCA3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12EA1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施工现场未确定监工及现场安全管理人员或监工、现场安全管理人员未在现场督导者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80B45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3B15F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74453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D1C15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46602C7A">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7D812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881EF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D436B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施工人员不听劝阻等正常管理，而采取抵触、</w:t>
            </w:r>
            <w:r>
              <w:rPr>
                <w:rFonts w:hint="eastAsia" w:ascii="仿宋_GB2312" w:eastAsia="仿宋_GB2312" w:cs="Times New Roman"/>
                <w:color w:val="auto"/>
                <w:sz w:val="21"/>
                <w:szCs w:val="21"/>
                <w:highlight w:val="none"/>
                <w:lang w:eastAsia="zh-CN"/>
              </w:rPr>
              <w:t>谩骂</w:t>
            </w:r>
            <w:r>
              <w:rPr>
                <w:rFonts w:hint="eastAsia" w:ascii="仿宋_GB2312" w:hAnsi="Times New Roman" w:eastAsia="仿宋_GB2312" w:cs="Times New Roman"/>
                <w:color w:val="auto"/>
                <w:sz w:val="21"/>
                <w:szCs w:val="21"/>
                <w:highlight w:val="none"/>
              </w:rPr>
              <w:t>等行为</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F9965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86409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F89B3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A47F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4E94DFB0">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EDEE0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19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8B3E4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598CB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吊车作业时，无信号指挥人员、安全管理人员在现场指挥、管理的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54EF0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F3F52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EBA22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ACE3A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0627874E">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66565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46AB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7EFA8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未办理施工/危险作业审批手续，擅自施工</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FFAC4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78882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69479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1F6E9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0B89011D">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1F023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60EF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47726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未通知相关负责人员，自行任意转动任一管路之阀类开关或电气开关者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9A56B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C202C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A24A9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9139F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6449F9F4">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C47DA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438BF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01022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擅自拆除或挪用或隔离机电设备/安全装置/消防设施/警告标志者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72F9A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FA454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6555A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C20A0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73E8D80E">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A571E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BB7B3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110B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使用未依法注册登记的特种设备或特种设备未依法年检的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10C1A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9F9D3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5E9A1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80E9D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r>
      <w:tr w14:paraId="2EB4FB37">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2DF76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2FAB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57EA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施工单位未按法律规定用工的，（如施工人员未满16岁童工或女工从事</w:t>
            </w:r>
            <w:r>
              <w:rPr>
                <w:rFonts w:hint="eastAsia" w:ascii="仿宋_GB2312" w:eastAsia="仿宋_GB2312" w:cs="Times New Roman"/>
                <w:color w:val="auto"/>
                <w:sz w:val="21"/>
                <w:szCs w:val="21"/>
                <w:highlight w:val="none"/>
                <w:lang w:eastAsia="zh-CN"/>
              </w:rPr>
              <w:t>高处作业</w:t>
            </w:r>
            <w:r>
              <w:rPr>
                <w:rFonts w:hint="eastAsia" w:ascii="仿宋_GB2312" w:hAnsi="Times New Roman" w:eastAsia="仿宋_GB2312" w:cs="Times New Roman"/>
                <w:color w:val="auto"/>
                <w:sz w:val="21"/>
                <w:szCs w:val="21"/>
                <w:highlight w:val="none"/>
              </w:rPr>
              <w:t>等危险性、有害性工作）</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22BCB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C1C67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9FB48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6EF50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1F8EECC7">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600B9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3FED7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6C34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不当施工或行为造成空气/土壤/水污染且未采取任何恢复措施者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9267D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D75F7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FCCD4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935EF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41DCF4B2">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01A13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26</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D5A4B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CC406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高空作业未做工程安全防护措施的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3C502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1FB0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E5892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38E78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656F9FE5">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4D483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27</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1677A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05B42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吊车利用吊索及钩头直接当作人员上/下之用者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D6C68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B849D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C068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B2A81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286765DA">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29779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28</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2AEBC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2C94E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施工场所喝酒/酒醉工作者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0F0E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0510C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FC9F4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6BB6D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6A87DC9C">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2005A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29</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BD8B2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EFD8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吊车吊运钢瓶等需要固定的物品而未使用固定支架，直接用钢索吊升的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B9E81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343DF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8D65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罚款3000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CAE46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r>
      <w:tr w14:paraId="1E24C209">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3F980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30</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54C6A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521AB">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有危险通知停工改善而未改善或不执行按甲方/监理单位停工整改要求的</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A5112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14EA1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43182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罚款8000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A1BBB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罚款10000</w:t>
            </w:r>
          </w:p>
        </w:tc>
      </w:tr>
      <w:tr w14:paraId="4E56A493">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57F09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31</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807DE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C399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违反安全管理法规，在强风、雨雪等恶劣天气强行施工者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68091">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C6EC1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83E65E">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罚款8000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C33A0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罚款10000</w:t>
            </w:r>
          </w:p>
        </w:tc>
      </w:tr>
      <w:tr w14:paraId="75D64E67">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87069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32</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20DA83">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8F091A">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施工现场发生危险，未令停止作业及未告知甲方或监理人员，发生事故者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2E395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4248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9A046F">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CCBD2">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罚款20000</w:t>
            </w:r>
          </w:p>
        </w:tc>
      </w:tr>
      <w:tr w14:paraId="5031EAFC">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A6EFC4">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33</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A5328D">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9C5699">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工作场所发生职业伤害，未通报甲方且未依照相关规定办理者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A2937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BB148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12F31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27FA9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罚款20000</w:t>
            </w:r>
          </w:p>
        </w:tc>
      </w:tr>
      <w:tr w14:paraId="77DE32B3">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C5A01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34</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357DE5">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2BD6B7">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因现场施工单位安全防护措施不到位导致发生事故</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A43450">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D4378">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罚款5000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42744C">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罚款10000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D17AA6">
            <w:pPr>
              <w:keepNext w:val="0"/>
              <w:keepLines w:val="0"/>
              <w:pageBreakBefore w:val="0"/>
              <w:widowControl w:val="0"/>
              <w:kinsoku/>
              <w:wordWrap/>
              <w:overflowPunct/>
              <w:topLinePunct w:val="0"/>
              <w:autoSpaceDE/>
              <w:autoSpaceDN/>
              <w:adjustRightInd/>
              <w:snapToGrid/>
              <w:spacing w:beforeLines="0" w:afterLines="0" w:line="240" w:lineRule="auto"/>
              <w:ind w:firstLine="0" w:firstLineChars="0"/>
              <w:jc w:val="center"/>
              <w:textAlignment w:val="auto"/>
              <w:rPr>
                <w:rFonts w:hint="eastAsia" w:ascii="仿宋_GB2312" w:hAnsi="Times New Roman" w:eastAsia="仿宋_GB2312" w:cs="Times New Roman"/>
                <w:color w:val="auto"/>
                <w:sz w:val="21"/>
                <w:szCs w:val="21"/>
                <w:highlight w:val="none"/>
              </w:rPr>
            </w:pPr>
            <w:r>
              <w:rPr>
                <w:rFonts w:hint="eastAsia" w:ascii="仿宋_GB2312" w:hAnsi="Times New Roman" w:eastAsia="仿宋_GB2312" w:cs="Times New Roman"/>
                <w:color w:val="auto"/>
                <w:sz w:val="21"/>
                <w:szCs w:val="21"/>
                <w:highlight w:val="none"/>
              </w:rPr>
              <w:t>罚款20000</w:t>
            </w:r>
          </w:p>
        </w:tc>
      </w:tr>
      <w:tr w14:paraId="1D7C1D3F">
        <w:tblPrEx>
          <w:tblCellMar>
            <w:top w:w="0" w:type="dxa"/>
            <w:left w:w="108" w:type="dxa"/>
            <w:bottom w:w="0" w:type="dxa"/>
            <w:right w:w="108" w:type="dxa"/>
          </w:tblCellMar>
        </w:tblPrEx>
        <w:trPr>
          <w:trHeight w:val="1037" w:hRule="atLeast"/>
        </w:trPr>
        <w:tc>
          <w:tcPr>
            <w:tcW w:w="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DAAE30">
            <w:pPr>
              <w:keepNext w:val="0"/>
              <w:keepLines w:val="0"/>
              <w:widowControl w:val="0"/>
              <w:suppressLineNumbers w:val="0"/>
              <w:spacing w:before="0" w:beforeAutospacing="0" w:after="0" w:afterAutospacing="0"/>
              <w:ind w:left="0" w:leftChars="0" w:right="0" w:rightChars="0"/>
              <w:jc w:val="center"/>
              <w:rPr>
                <w:rFonts w:hint="eastAsia" w:ascii="仿宋_GB2312" w:hAnsi="Times New Roman" w:eastAsia="仿宋_GB2312" w:cs="Times New Roman"/>
                <w:color w:val="auto"/>
                <w:kern w:val="2"/>
                <w:sz w:val="21"/>
                <w:szCs w:val="21"/>
                <w:highlight w:val="none"/>
                <w:lang w:val="en-US" w:eastAsia="zh-CN" w:bidi="ar-SA"/>
              </w:rPr>
            </w:pPr>
            <w:r>
              <w:rPr>
                <w:rFonts w:hint="eastAsia" w:ascii="仿宋_GB2312" w:hAnsi="Times New Roman" w:eastAsia="仿宋_GB2312" w:cs="仿宋_GB2312"/>
                <w:color w:val="auto"/>
                <w:kern w:val="2"/>
                <w:sz w:val="21"/>
                <w:szCs w:val="21"/>
                <w:highlight w:val="none"/>
                <w:lang w:val="en-US" w:eastAsia="zh-CN" w:bidi="ar"/>
              </w:rPr>
              <w:t>35</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E65090">
            <w:pPr>
              <w:keepNext w:val="0"/>
              <w:keepLines w:val="0"/>
              <w:widowControl w:val="0"/>
              <w:suppressLineNumbers w:val="0"/>
              <w:spacing w:before="0" w:beforeAutospacing="0" w:after="0" w:afterAutospacing="0"/>
              <w:ind w:left="0" w:leftChars="0" w:right="0" w:rightChars="0"/>
              <w:jc w:val="center"/>
              <w:rPr>
                <w:rFonts w:hint="eastAsia" w:ascii="仿宋_GB2312" w:hAnsi="Times New Roman" w:eastAsia="仿宋_GB2312" w:cs="Times New Roman"/>
                <w:color w:val="auto"/>
                <w:kern w:val="2"/>
                <w:sz w:val="21"/>
                <w:szCs w:val="21"/>
                <w:highlight w:val="none"/>
                <w:lang w:val="en-US" w:eastAsia="zh-CN" w:bidi="ar-SA"/>
              </w:rPr>
            </w:pPr>
            <w:r>
              <w:rPr>
                <w:rFonts w:hint="eastAsia" w:ascii="仿宋_GB2312" w:hAnsi="Times New Roman" w:eastAsia="仿宋_GB2312" w:cs="仿宋_GB2312"/>
                <w:color w:val="auto"/>
                <w:kern w:val="2"/>
                <w:sz w:val="21"/>
                <w:szCs w:val="21"/>
                <w:highlight w:val="none"/>
                <w:lang w:val="en-US" w:eastAsia="zh-CN" w:bidi="ar"/>
              </w:rPr>
              <w:t>专项管理</w:t>
            </w:r>
          </w:p>
        </w:tc>
        <w:tc>
          <w:tcPr>
            <w:tcW w:w="30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DB0ABD">
            <w:pPr>
              <w:keepNext w:val="0"/>
              <w:keepLines w:val="0"/>
              <w:widowControl w:val="0"/>
              <w:suppressLineNumbers w:val="0"/>
              <w:spacing w:before="0" w:beforeAutospacing="0" w:after="0" w:afterAutospacing="0"/>
              <w:ind w:left="0" w:leftChars="0" w:right="0" w:rightChars="0"/>
              <w:jc w:val="center"/>
              <w:rPr>
                <w:rFonts w:hint="eastAsia" w:ascii="仿宋_GB2312" w:hAnsi="Times New Roman" w:eastAsia="仿宋_GB2312" w:cs="Times New Roman"/>
                <w:color w:val="auto"/>
                <w:kern w:val="2"/>
                <w:sz w:val="21"/>
                <w:szCs w:val="21"/>
                <w:highlight w:val="none"/>
                <w:lang w:val="en-US" w:eastAsia="zh-CN" w:bidi="ar-SA"/>
              </w:rPr>
            </w:pPr>
            <w:r>
              <w:rPr>
                <w:rFonts w:hint="eastAsia" w:ascii="仿宋_GB2312" w:hAnsi="Times New Roman" w:eastAsia="仿宋_GB2312" w:cs="仿宋_GB2312"/>
                <w:color w:val="auto"/>
                <w:kern w:val="2"/>
                <w:sz w:val="21"/>
                <w:szCs w:val="21"/>
                <w:highlight w:val="none"/>
                <w:lang w:val="en-US" w:eastAsia="zh-CN" w:bidi="ar"/>
              </w:rPr>
              <w:t>其他可能导致安全事故或产生事故隐患的违规行为</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A750DB">
            <w:pPr>
              <w:keepNext w:val="0"/>
              <w:keepLines w:val="0"/>
              <w:widowControl w:val="0"/>
              <w:suppressLineNumbers w:val="0"/>
              <w:spacing w:before="0" w:beforeAutospacing="0" w:after="0" w:afterAutospacing="0"/>
              <w:ind w:left="0" w:leftChars="0" w:right="0" w:rightChars="0"/>
              <w:jc w:val="center"/>
              <w:rPr>
                <w:rFonts w:hint="eastAsia" w:ascii="仿宋_GB2312" w:hAnsi="Times New Roman" w:eastAsia="仿宋_GB2312" w:cs="Times New Roman"/>
                <w:color w:val="auto"/>
                <w:kern w:val="2"/>
                <w:sz w:val="21"/>
                <w:szCs w:val="21"/>
                <w:highlight w:val="none"/>
                <w:lang w:val="en-US" w:eastAsia="zh-CN" w:bidi="ar-SA"/>
              </w:rPr>
            </w:pPr>
            <w:r>
              <w:rPr>
                <w:rFonts w:hint="eastAsia" w:ascii="仿宋_GB2312" w:hAnsi="Times New Roman" w:eastAsia="仿宋_GB2312" w:cs="仿宋_GB2312"/>
                <w:color w:val="auto"/>
                <w:kern w:val="2"/>
                <w:sz w:val="21"/>
                <w:szCs w:val="21"/>
                <w:highlight w:val="none"/>
                <w:lang w:val="en-US" w:eastAsia="zh-CN" w:bidi="ar"/>
              </w:rPr>
              <w:t>存在上述问题的</w:t>
            </w:r>
          </w:p>
        </w:tc>
        <w:tc>
          <w:tcPr>
            <w:tcW w:w="109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107E8E">
            <w:pPr>
              <w:keepNext w:val="0"/>
              <w:keepLines w:val="0"/>
              <w:widowControl w:val="0"/>
              <w:suppressLineNumbers w:val="0"/>
              <w:spacing w:before="0" w:beforeAutospacing="0" w:after="0" w:afterAutospacing="0"/>
              <w:ind w:left="0" w:leftChars="0" w:right="0" w:rightChars="0"/>
              <w:jc w:val="center"/>
              <w:rPr>
                <w:rFonts w:hint="eastAsia" w:ascii="仿宋_GB2312" w:hAnsi="Times New Roman" w:eastAsia="仿宋_GB2312" w:cs="Times New Roman"/>
                <w:color w:val="auto"/>
                <w:kern w:val="2"/>
                <w:sz w:val="21"/>
                <w:szCs w:val="21"/>
                <w:highlight w:val="none"/>
                <w:lang w:val="en-US" w:eastAsia="zh-CN" w:bidi="ar-SA"/>
              </w:rPr>
            </w:pPr>
            <w:r>
              <w:rPr>
                <w:rFonts w:hint="eastAsia" w:ascii="仿宋_GB2312" w:hAnsi="Times New Roman" w:eastAsia="仿宋_GB2312" w:cs="仿宋_GB2312"/>
                <w:color w:val="auto"/>
                <w:kern w:val="2"/>
                <w:sz w:val="21"/>
                <w:szCs w:val="21"/>
                <w:highlight w:val="none"/>
                <w:lang w:val="en-US" w:eastAsia="zh-CN" w:bidi="ar"/>
              </w:rPr>
              <w:t>罚款1000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1C0CC">
            <w:pPr>
              <w:keepNext w:val="0"/>
              <w:keepLines w:val="0"/>
              <w:widowControl w:val="0"/>
              <w:suppressLineNumbers w:val="0"/>
              <w:spacing w:before="0" w:beforeAutospacing="0" w:after="0" w:afterAutospacing="0"/>
              <w:ind w:left="0" w:leftChars="0" w:right="0" w:rightChars="0"/>
              <w:jc w:val="center"/>
              <w:rPr>
                <w:rFonts w:hint="eastAsia" w:ascii="仿宋_GB2312" w:hAnsi="Times New Roman" w:eastAsia="仿宋_GB2312" w:cs="Times New Roman"/>
                <w:color w:val="auto"/>
                <w:kern w:val="2"/>
                <w:sz w:val="21"/>
                <w:szCs w:val="21"/>
                <w:highlight w:val="none"/>
                <w:lang w:val="en-US" w:eastAsia="zh-CN" w:bidi="ar-SA"/>
              </w:rPr>
            </w:pPr>
            <w:r>
              <w:rPr>
                <w:rFonts w:hint="eastAsia" w:ascii="仿宋_GB2312" w:hAnsi="Times New Roman" w:eastAsia="仿宋_GB2312" w:cs="仿宋_GB2312"/>
                <w:color w:val="auto"/>
                <w:kern w:val="2"/>
                <w:sz w:val="21"/>
                <w:szCs w:val="21"/>
                <w:highlight w:val="none"/>
                <w:lang w:val="en-US" w:eastAsia="zh-CN" w:bidi="ar"/>
              </w:rPr>
              <w:t>罚款2000</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9A8847">
            <w:pPr>
              <w:keepNext w:val="0"/>
              <w:keepLines w:val="0"/>
              <w:widowControl w:val="0"/>
              <w:suppressLineNumbers w:val="0"/>
              <w:spacing w:before="0" w:beforeAutospacing="0" w:after="0" w:afterAutospacing="0"/>
              <w:ind w:left="0" w:leftChars="0" w:right="0" w:rightChars="0"/>
              <w:jc w:val="center"/>
              <w:rPr>
                <w:rFonts w:hint="eastAsia" w:ascii="仿宋_GB2312" w:hAnsi="Times New Roman" w:eastAsia="仿宋_GB2312" w:cs="Times New Roman"/>
                <w:color w:val="auto"/>
                <w:kern w:val="2"/>
                <w:sz w:val="21"/>
                <w:szCs w:val="21"/>
                <w:highlight w:val="none"/>
                <w:lang w:val="en-US" w:eastAsia="zh-CN" w:bidi="ar-SA"/>
              </w:rPr>
            </w:pPr>
            <w:r>
              <w:rPr>
                <w:rFonts w:hint="eastAsia" w:ascii="仿宋_GB2312" w:hAnsi="Times New Roman" w:eastAsia="仿宋_GB2312" w:cs="仿宋_GB2312"/>
                <w:color w:val="auto"/>
                <w:kern w:val="2"/>
                <w:sz w:val="21"/>
                <w:szCs w:val="21"/>
                <w:highlight w:val="none"/>
                <w:lang w:val="en-US" w:eastAsia="zh-CN" w:bidi="ar"/>
              </w:rPr>
              <w:t>罚款3000</w:t>
            </w:r>
          </w:p>
        </w:tc>
      </w:tr>
    </w:tbl>
    <w:p w14:paraId="4D2BD4DC">
      <w:pPr>
        <w:pStyle w:val="36"/>
        <w:ind w:left="0" w:leftChars="0" w:firstLine="0" w:firstLineChars="0"/>
        <w:rPr>
          <w:rFonts w:hint="default" w:eastAsia="宋体"/>
          <w:color w:val="auto"/>
          <w:highlight w:val="none"/>
          <w:lang w:val="en-US" w:eastAsia="zh-CN"/>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6CE50D56">
      <w:pPr>
        <w:spacing w:line="360" w:lineRule="auto"/>
        <w:jc w:val="left"/>
        <w:rPr>
          <w:rFonts w:hint="eastAsia" w:ascii="仿宋_GB2312" w:hAnsi="仿宋_GB2312" w:eastAsia="仿宋_GB2312" w:cs="仿宋_GB2312"/>
          <w:b/>
          <w:color w:val="auto"/>
          <w:sz w:val="32"/>
          <w:szCs w:val="32"/>
          <w:highlight w:val="none"/>
          <w:lang w:val="en-US" w:eastAsia="zh-CN"/>
        </w:rPr>
      </w:pPr>
      <w:r>
        <w:rPr>
          <w:rFonts w:hint="default" w:ascii="仿宋_GB2312" w:hAnsi="仿宋_GB2312" w:eastAsia="仿宋_GB2312" w:cs="仿宋_GB2312"/>
          <w:b/>
          <w:color w:val="auto"/>
          <w:sz w:val="32"/>
          <w:szCs w:val="32"/>
          <w:highlight w:val="none"/>
          <w:lang w:val="en-US" w:eastAsia="zh-CN"/>
        </w:rPr>
        <w:t>附件</w:t>
      </w:r>
      <w:r>
        <w:rPr>
          <w:rFonts w:hint="eastAsia" w:ascii="仿宋_GB2312" w:hAnsi="仿宋_GB2312" w:eastAsia="仿宋_GB2312" w:cs="仿宋_GB2312"/>
          <w:b/>
          <w:color w:val="auto"/>
          <w:sz w:val="32"/>
          <w:szCs w:val="32"/>
          <w:highlight w:val="none"/>
          <w:lang w:val="en-US" w:eastAsia="zh-CN"/>
        </w:rPr>
        <w:t xml:space="preserve">7 </w:t>
      </w:r>
    </w:p>
    <w:p w14:paraId="1EE46FFB">
      <w:pPr>
        <w:spacing w:line="360" w:lineRule="auto"/>
        <w:jc w:val="center"/>
        <w:rPr>
          <w:rFonts w:hint="default" w:ascii="仿宋_GB2312" w:hAnsi="仿宋_GB2312" w:eastAsia="仿宋_GB2312" w:cs="仿宋_GB2312"/>
          <w:b/>
          <w:color w:val="auto"/>
          <w:sz w:val="32"/>
          <w:szCs w:val="32"/>
          <w:highlight w:val="none"/>
          <w:lang w:val="en-US" w:eastAsia="zh-CN"/>
        </w:rPr>
      </w:pPr>
      <w:r>
        <w:rPr>
          <w:rFonts w:hint="default" w:ascii="仿宋_GB2312" w:hAnsi="仿宋_GB2312" w:eastAsia="仿宋_GB2312" w:cs="仿宋_GB2312"/>
          <w:b/>
          <w:color w:val="auto"/>
          <w:sz w:val="32"/>
          <w:szCs w:val="32"/>
          <w:highlight w:val="none"/>
          <w:lang w:val="en-US" w:eastAsia="zh-CN"/>
        </w:rPr>
        <w:t>光伏电站发电量保证书</w:t>
      </w:r>
    </w:p>
    <w:p w14:paraId="13EFA1E2">
      <w:pPr>
        <w:spacing w:beforeLines="0" w:afterLines="0" w:line="360" w:lineRule="auto"/>
        <w:rPr>
          <w:rFonts w:hint="eastAsia" w:ascii="仿宋_GB2312" w:hAnsi="Times New Roman" w:eastAsia="仿宋_GB2312"/>
          <w:color w:val="auto"/>
          <w:sz w:val="24"/>
          <w:szCs w:val="24"/>
          <w:highlight w:val="none"/>
        </w:rPr>
      </w:pPr>
    </w:p>
    <w:p w14:paraId="3DE45911">
      <w:pPr>
        <w:spacing w:beforeLines="0" w:after="313" w:afterLines="100" w:line="36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致</w:t>
      </w:r>
      <w:r>
        <w:rPr>
          <w:rFonts w:hint="eastAsia" w:ascii="仿宋_GB2312" w:eastAsia="仿宋_GB2312"/>
          <w:b/>
          <w:color w:val="auto"/>
          <w:sz w:val="24"/>
          <w:szCs w:val="24"/>
          <w:highlight w:val="none"/>
          <w:lang w:eastAsia="zh-CN"/>
        </w:rPr>
        <w:t>东莞市新锋新能源有限公司</w:t>
      </w:r>
      <w:r>
        <w:rPr>
          <w:rFonts w:hint="eastAsia" w:ascii="仿宋_GB2312" w:hAnsi="Times New Roman" w:eastAsia="仿宋_GB2312"/>
          <w:b/>
          <w:color w:val="auto"/>
          <w:sz w:val="24"/>
          <w:szCs w:val="24"/>
          <w:highlight w:val="none"/>
        </w:rPr>
        <w:t>：</w:t>
      </w:r>
      <w:r>
        <w:rPr>
          <w:rFonts w:hint="eastAsia" w:ascii="仿宋_GB2312" w:hAnsi="Times New Roman" w:eastAsia="仿宋_GB2312"/>
          <w:color w:val="auto"/>
          <w:sz w:val="24"/>
          <w:szCs w:val="24"/>
          <w:highlight w:val="none"/>
        </w:rPr>
        <w:t xml:space="preserve"> </w:t>
      </w:r>
    </w:p>
    <w:p w14:paraId="0D5DF17F">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我司已与贵司签订</w:t>
      </w:r>
      <w:permStart w:id="84" w:edGrp="everyone"/>
      <w:r>
        <w:rPr>
          <w:rFonts w:hint="eastAsia" w:ascii="仿宋_GB2312" w:hAnsi="Times New Roman" w:eastAsia="仿宋_GB2312"/>
          <w:color w:val="auto"/>
          <w:sz w:val="24"/>
          <w:szCs w:val="24"/>
          <w:highlight w:val="none"/>
        </w:rPr>
        <w:fldChar w:fldCharType="begin"/>
      </w:r>
      <w:r>
        <w:rPr>
          <w:rFonts w:hint="eastAsia" w:ascii="仿宋_GB2312" w:hAnsi="Times New Roman" w:eastAsia="仿宋_GB2312"/>
          <w:color w:val="auto"/>
          <w:sz w:val="24"/>
          <w:szCs w:val="24"/>
          <w:highlight w:val="none"/>
        </w:rPr>
        <w:instrText xml:space="preserve"> REF 项目名称 \h </w:instrText>
      </w:r>
      <w:r>
        <w:rPr>
          <w:rFonts w:hint="eastAsia" w:ascii="仿宋_GB2312" w:hAnsi="Times New Roman" w:eastAsia="仿宋_GB2312"/>
          <w:color w:val="auto"/>
          <w:sz w:val="24"/>
          <w:szCs w:val="24"/>
          <w:highlight w:val="none"/>
        </w:rPr>
        <w:fldChar w:fldCharType="separate"/>
      </w:r>
      <w:r>
        <w:rPr>
          <w:rFonts w:hint="eastAsia" w:ascii="仿宋_GB2312" w:eastAsia="仿宋_GB2312"/>
          <w:color w:val="auto"/>
          <w:sz w:val="24"/>
          <w:szCs w:val="24"/>
          <w:highlight w:val="none"/>
          <w:lang w:eastAsia="zh-CN"/>
        </w:rPr>
        <w:t>东莞市新锋新能源有限公司</w:t>
      </w:r>
      <w:r>
        <w:rPr>
          <w:rFonts w:hint="eastAsia" w:ascii="仿宋_GB2312" w:hAnsi="Times New Roman" w:eastAsia="仿宋_GB2312"/>
          <w:color w:val="auto"/>
          <w:sz w:val="24"/>
          <w:szCs w:val="24"/>
          <w:highlight w:val="none"/>
        </w:rPr>
        <w:t>XX厂区分布式光伏发电项目</w:t>
      </w:r>
      <w:r>
        <w:rPr>
          <w:rFonts w:hint="eastAsia" w:ascii="仿宋_GB2312" w:hAnsi="Times New Roman" w:eastAsia="仿宋_GB2312"/>
          <w:color w:val="auto"/>
          <w:sz w:val="24"/>
          <w:szCs w:val="24"/>
          <w:highlight w:val="none"/>
        </w:rPr>
        <w:fldChar w:fldCharType="end"/>
      </w:r>
      <w:permEnd w:id="84"/>
      <w:r>
        <w:rPr>
          <w:rFonts w:hint="eastAsia" w:ascii="仿宋_GB2312" w:hAnsi="Times New Roman" w:eastAsia="仿宋_GB2312"/>
          <w:color w:val="auto"/>
          <w:sz w:val="24"/>
          <w:szCs w:val="24"/>
          <w:highlight w:val="none"/>
        </w:rPr>
        <w:t>总承包合同（合同编号</w:t>
      </w:r>
      <w:r>
        <w:rPr>
          <w:rFonts w:hint="eastAsia" w:ascii="仿宋_GB2312" w:hAnsi="Times New Roman" w:eastAsia="仿宋_GB2312"/>
          <w:b/>
          <w:color w:val="auto"/>
          <w:sz w:val="24"/>
          <w:szCs w:val="24"/>
          <w:highlight w:val="none"/>
        </w:rPr>
        <w:t>：</w:t>
      </w:r>
      <w:permStart w:id="85" w:edGrp="everyone"/>
      <w:r>
        <w:rPr>
          <w:rFonts w:hint="eastAsia" w:ascii="仿宋_GB2312" w:hAnsi="Times New Roman" w:eastAsia="仿宋_GB2312" w:cs="Times New Roman"/>
          <w:color w:val="auto"/>
          <w:sz w:val="24"/>
          <w:szCs w:val="24"/>
          <w:highlight w:val="none"/>
        </w:rPr>
        <w:fldChar w:fldCharType="begin"/>
      </w:r>
      <w:r>
        <w:rPr>
          <w:rFonts w:hint="eastAsia" w:ascii="仿宋_GB2312" w:hAnsi="Times New Roman" w:eastAsia="仿宋_GB2312" w:cs="Times New Roman"/>
          <w:color w:val="auto"/>
          <w:sz w:val="24"/>
          <w:szCs w:val="24"/>
          <w:highlight w:val="none"/>
        </w:rPr>
        <w:instrText xml:space="preserve"> REF 合同编号 \h </w:instrText>
      </w:r>
      <w:r>
        <w:rPr>
          <w:rFonts w:hint="eastAsia" w:ascii="仿宋_GB2312" w:hAnsi="Times New Roman" w:eastAsia="仿宋_GB2312" w:cs="Times New Roman"/>
          <w:color w:val="auto"/>
          <w:sz w:val="24"/>
          <w:szCs w:val="24"/>
          <w:highlight w:val="none"/>
        </w:rPr>
        <w:fldChar w:fldCharType="separate"/>
      </w:r>
      <w:r>
        <w:rPr>
          <w:rFonts w:hint="eastAsia" w:ascii="仿宋_GB2312" w:hAnsi="Times New Roman" w:eastAsia="仿宋_GB2312" w:cs="Times New Roman"/>
          <w:color w:val="auto"/>
          <w:sz w:val="24"/>
          <w:szCs w:val="24"/>
          <w:highlight w:val="none"/>
        </w:rPr>
        <w:t>XFGFSG202X0XX</w:t>
      </w:r>
      <w:r>
        <w:rPr>
          <w:rFonts w:hint="eastAsia" w:ascii="仿宋_GB2312" w:hAnsi="Times New Roman" w:eastAsia="仿宋_GB2312" w:cs="Times New Roman"/>
          <w:color w:val="auto"/>
          <w:sz w:val="24"/>
          <w:szCs w:val="24"/>
          <w:highlight w:val="none"/>
        </w:rPr>
        <w:fldChar w:fldCharType="end"/>
      </w:r>
      <w:permEnd w:id="85"/>
      <w:r>
        <w:rPr>
          <w:rFonts w:hint="eastAsia" w:ascii="仿宋_GB2312" w:hAnsi="Times New Roman" w:eastAsia="仿宋_GB2312"/>
          <w:color w:val="auto"/>
          <w:sz w:val="24"/>
          <w:szCs w:val="24"/>
          <w:highlight w:val="none"/>
        </w:rPr>
        <w:t>），我司同意在合同履行过程中，向贵司就本项目建成投运光伏电站发电量做如下保证：</w:t>
      </w:r>
    </w:p>
    <w:p w14:paraId="3408B1BE">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1、我司保证本项目在并网投运后连续</w:t>
      </w:r>
      <w:r>
        <w:rPr>
          <w:rFonts w:hint="eastAsia" w:ascii="仿宋_GB2312" w:hAnsi="Times New Roman" w:eastAsia="仿宋_GB2312"/>
          <w:b/>
          <w:color w:val="auto"/>
          <w:sz w:val="24"/>
          <w:szCs w:val="24"/>
          <w:highlight w:val="none"/>
        </w:rPr>
        <w:t>2年</w:t>
      </w:r>
      <w:r>
        <w:rPr>
          <w:rFonts w:hint="eastAsia" w:ascii="仿宋_GB2312" w:hAnsi="Times New Roman" w:eastAsia="仿宋_GB2312"/>
          <w:color w:val="auto"/>
          <w:sz w:val="24"/>
          <w:szCs w:val="24"/>
          <w:highlight w:val="none"/>
        </w:rPr>
        <w:t>运营期内，项目</w:t>
      </w:r>
      <w:r>
        <w:rPr>
          <w:rFonts w:hint="eastAsia" w:ascii="仿宋_GB2312" w:hAnsi="Times New Roman" w:eastAsia="仿宋_GB2312"/>
          <w:b/>
          <w:color w:val="auto"/>
          <w:sz w:val="24"/>
          <w:szCs w:val="24"/>
          <w:highlight w:val="none"/>
        </w:rPr>
        <w:t>年发电保底电量发电时数</w:t>
      </w:r>
      <w:r>
        <w:rPr>
          <w:rFonts w:hint="eastAsia" w:ascii="仿宋_GB2312" w:hAnsi="Times New Roman" w:eastAsia="仿宋_GB2312"/>
          <w:color w:val="auto"/>
          <w:sz w:val="24"/>
          <w:szCs w:val="24"/>
          <w:highlight w:val="none"/>
        </w:rPr>
        <w:t>（年发电量/实际装机容量）符合贵司要求，如下表；</w:t>
      </w:r>
    </w:p>
    <w:p w14:paraId="70FF0B1D">
      <w:pPr>
        <w:spacing w:beforeLines="0" w:afterLines="0" w:line="360" w:lineRule="auto"/>
        <w:ind w:firstLine="480" w:firstLineChars="200"/>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项目运营期考核发电量数据表</w:t>
      </w:r>
    </w:p>
    <w:tbl>
      <w:tblPr>
        <w:tblStyle w:val="28"/>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24"/>
        <w:gridCol w:w="1737"/>
        <w:gridCol w:w="1824"/>
        <w:gridCol w:w="2237"/>
      </w:tblGrid>
      <w:tr w14:paraId="0A2CB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 w:hRule="atLeast"/>
          <w:jc w:val="center"/>
        </w:trPr>
        <w:tc>
          <w:tcPr>
            <w:tcW w:w="27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85C1F04">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运维年限</w:t>
            </w:r>
          </w:p>
        </w:tc>
        <w:tc>
          <w:tcPr>
            <w:tcW w:w="17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669E9F59">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第1年</w:t>
            </w:r>
          </w:p>
        </w:tc>
        <w:tc>
          <w:tcPr>
            <w:tcW w:w="18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F2842B9">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第2年</w:t>
            </w:r>
          </w:p>
        </w:tc>
        <w:tc>
          <w:tcPr>
            <w:tcW w:w="22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3BA2943A">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第3年及以后</w:t>
            </w:r>
          </w:p>
        </w:tc>
      </w:tr>
      <w:tr w14:paraId="3E1B9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27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1FB494F2">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全年考核发电时数</w:t>
            </w:r>
          </w:p>
        </w:tc>
        <w:tc>
          <w:tcPr>
            <w:tcW w:w="17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CCAAA95">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b/>
                <w:color w:val="auto"/>
                <w:sz w:val="24"/>
                <w:szCs w:val="24"/>
                <w:highlight w:val="none"/>
              </w:rPr>
              <w:t>1055小时</w:t>
            </w:r>
          </w:p>
        </w:tc>
        <w:tc>
          <w:tcPr>
            <w:tcW w:w="182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22500E50">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b/>
                <w:color w:val="auto"/>
                <w:sz w:val="24"/>
                <w:szCs w:val="24"/>
                <w:highlight w:val="none"/>
              </w:rPr>
              <w:t>1029小时</w:t>
            </w:r>
          </w:p>
        </w:tc>
        <w:tc>
          <w:tcPr>
            <w:tcW w:w="223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4718CB38">
            <w:pPr>
              <w:spacing w:beforeLines="0" w:afterLines="0" w:line="360" w:lineRule="auto"/>
              <w:jc w:val="center"/>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不考核</w:t>
            </w:r>
          </w:p>
        </w:tc>
      </w:tr>
    </w:tbl>
    <w:p w14:paraId="2F31E016">
      <w:pPr>
        <w:spacing w:beforeLines="0" w:afterLines="0"/>
        <w:rPr>
          <w:rFonts w:hint="eastAsia" w:ascii="仿宋_GB2312" w:hAnsi="Times New Roman" w:eastAsia="仿宋_GB2312"/>
          <w:color w:val="auto"/>
          <w:sz w:val="24"/>
          <w:szCs w:val="24"/>
          <w:highlight w:val="none"/>
        </w:rPr>
      </w:pPr>
    </w:p>
    <w:p w14:paraId="748846C4">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2、若本项目建成投运光伏电站由于我司在安装时自身原因（如图纸设计不符合规范要求、组件遮挡、发电设备质量不符合要求、电气设备接触不良、保修期内保修响应不及时等）未达到相应年限考核发电时数时，我司向贵司补足本应发电量的差额部分（差额部分=全年考核发电时数差额×实际装机容量×本项目能源管理合同应收电价），同意将该差额部分从本项目质量保修金中扣除；</w:t>
      </w:r>
    </w:p>
    <w:p w14:paraId="2224E2C0">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3、因业主单位或供电部门计划停电或检修产生的电量损失、双方认定的不可抗力影响的发电量损失等不在考核范围内，属于免考核发电量；</w:t>
      </w:r>
    </w:p>
    <w:p w14:paraId="5730410B">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4、本保证书自双方签字盖章之日起生效，与合同一起具有同等法律效力。</w:t>
      </w:r>
    </w:p>
    <w:p w14:paraId="25D2F258">
      <w:pPr>
        <w:spacing w:beforeLines="0" w:afterLines="0" w:line="360" w:lineRule="auto"/>
        <w:ind w:firstLine="480" w:firstLineChars="20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特此保证！</w:t>
      </w:r>
    </w:p>
    <w:p w14:paraId="0464AA47">
      <w:pPr>
        <w:pStyle w:val="36"/>
        <w:spacing w:before="156" w:afterLines="0"/>
        <w:ind w:firstLine="480"/>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（以下无正文）</w:t>
      </w:r>
    </w:p>
    <w:p w14:paraId="59D87A6B">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35BAA35C">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252FBA86">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356866EB">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2442F9A0">
      <w:pPr>
        <w:spacing w:beforeLines="0" w:afterLines="0" w:line="360" w:lineRule="auto"/>
        <w:ind w:firstLine="480" w:firstLineChars="200"/>
        <w:rPr>
          <w:rFonts w:hint="eastAsia" w:ascii="仿宋_GB2312" w:hAnsi="Times New Roman" w:eastAsia="仿宋_GB2312"/>
          <w:color w:val="auto"/>
          <w:sz w:val="24"/>
          <w:szCs w:val="24"/>
          <w:highlight w:val="none"/>
        </w:rPr>
      </w:pPr>
    </w:p>
    <w:p w14:paraId="47E3FFC9">
      <w:pPr>
        <w:spacing w:beforeLines="0" w:afterLines="0" w:line="480" w:lineRule="auto"/>
        <w:rPr>
          <w:rFonts w:hint="eastAsia" w:ascii="仿宋_GB2312" w:hAnsi="Times New Roman" w:eastAsia="仿宋_GB2312" w:cs="Times New Roman"/>
          <w:color w:val="auto"/>
          <w:sz w:val="24"/>
          <w:szCs w:val="24"/>
          <w:highlight w:val="none"/>
        </w:rPr>
      </w:pPr>
      <w:r>
        <w:rPr>
          <w:rFonts w:hint="eastAsia" w:ascii="仿宋_GB2312" w:hAnsi="Times New Roman" w:eastAsia="仿宋_GB2312" w:cs="Times New Roman"/>
          <w:color w:val="auto"/>
          <w:sz w:val="24"/>
          <w:szCs w:val="24"/>
          <w:highlight w:val="none"/>
        </w:rPr>
        <w:t>（签署页）</w:t>
      </w:r>
    </w:p>
    <w:p w14:paraId="7F91034B">
      <w:pPr>
        <w:spacing w:beforeLines="0" w:afterLines="0" w:line="480" w:lineRule="auto"/>
        <w:rPr>
          <w:rFonts w:hint="eastAsia" w:ascii="仿宋_GB2312" w:hAnsi="Times New Roman" w:eastAsia="仿宋_GB2312"/>
          <w:color w:val="auto"/>
          <w:sz w:val="24"/>
          <w:szCs w:val="24"/>
          <w:highlight w:val="none"/>
        </w:rPr>
      </w:pPr>
    </w:p>
    <w:p w14:paraId="76DEC944">
      <w:pPr>
        <w:spacing w:beforeLines="0" w:afterLines="0" w:line="480" w:lineRule="auto"/>
        <w:ind w:firstLine="4800" w:firstLineChars="2000"/>
        <w:rPr>
          <w:rFonts w:hint="eastAsia" w:ascii="仿宋_GB2312" w:hAnsi="Times New Roman" w:eastAsia="仿宋_GB2312"/>
          <w:color w:val="auto"/>
          <w:sz w:val="24"/>
          <w:szCs w:val="24"/>
          <w:highlight w:val="none"/>
        </w:rPr>
      </w:pPr>
    </w:p>
    <w:p w14:paraId="0F6D56E4">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承诺方（主）：（盖章）</w:t>
      </w:r>
      <w:permStart w:id="86" w:edGrp="everyone"/>
      <w:r>
        <w:rPr>
          <w:rFonts w:hint="eastAsia" w:ascii="仿宋_GB2312" w:hAnsi="Times New Roman" w:eastAsia="仿宋_GB2312"/>
          <w:color w:val="auto"/>
          <w:sz w:val="24"/>
          <w:szCs w:val="24"/>
          <w:highlight w:val="none"/>
        </w:rPr>
        <w:fldChar w:fldCharType="begin"/>
      </w:r>
      <w:r>
        <w:rPr>
          <w:rFonts w:hint="eastAsia" w:ascii="仿宋_GB2312" w:hAnsi="Times New Roman" w:eastAsia="仿宋_GB2312"/>
          <w:color w:val="auto"/>
          <w:sz w:val="24"/>
          <w:szCs w:val="24"/>
          <w:highlight w:val="none"/>
        </w:rPr>
        <w:instrText xml:space="preserve"> REF 乙方（主） \h </w:instrText>
      </w:r>
      <w:r>
        <w:rPr>
          <w:rFonts w:hint="eastAsia" w:ascii="仿宋_GB2312" w:hAnsi="Times New Roman" w:eastAsia="仿宋_GB2312"/>
          <w:color w:val="auto"/>
          <w:sz w:val="24"/>
          <w:szCs w:val="24"/>
          <w:highlight w:val="none"/>
        </w:rPr>
        <w:fldChar w:fldCharType="separate"/>
      </w:r>
      <w:r>
        <w:rPr>
          <w:rFonts w:hint="eastAsia" w:ascii="仿宋_GB2312" w:hAnsi="Times New Roman" w:eastAsia="仿宋_GB2312"/>
          <w:color w:val="auto"/>
          <w:sz w:val="24"/>
          <w:szCs w:val="24"/>
          <w:highlight w:val="none"/>
        </w:rPr>
        <w:t>XX有限公司</w:t>
      </w:r>
      <w:r>
        <w:rPr>
          <w:rFonts w:hint="eastAsia" w:ascii="仿宋_GB2312" w:hAnsi="Times New Roman" w:eastAsia="仿宋_GB2312"/>
          <w:color w:val="auto"/>
          <w:sz w:val="24"/>
          <w:szCs w:val="24"/>
          <w:highlight w:val="none"/>
        </w:rPr>
        <w:fldChar w:fldCharType="end"/>
      </w:r>
      <w:permEnd w:id="86"/>
      <w:r>
        <w:rPr>
          <w:rFonts w:hint="eastAsia" w:ascii="仿宋_GB2312" w:hAnsi="Times New Roman" w:eastAsia="仿宋_GB2312"/>
          <w:color w:val="auto"/>
          <w:sz w:val="24"/>
          <w:szCs w:val="24"/>
          <w:highlight w:val="none"/>
        </w:rPr>
        <w:t xml:space="preserve">        </w:t>
      </w:r>
    </w:p>
    <w:p w14:paraId="1322D7E0">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 xml:space="preserve">法定代表人（或授权代表）签字：              </w:t>
      </w:r>
    </w:p>
    <w:p w14:paraId="6B13F69C">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承诺日期：    年   月   日</w:t>
      </w:r>
    </w:p>
    <w:p w14:paraId="56EE1DED">
      <w:pPr>
        <w:spacing w:beforeLines="0" w:afterLines="0" w:line="480" w:lineRule="auto"/>
        <w:rPr>
          <w:rFonts w:hint="eastAsia" w:ascii="仿宋_GB2312" w:hAnsi="Times New Roman" w:eastAsia="仿宋_GB2312"/>
          <w:color w:val="auto"/>
          <w:sz w:val="24"/>
          <w:szCs w:val="24"/>
          <w:highlight w:val="none"/>
        </w:rPr>
      </w:pPr>
    </w:p>
    <w:p w14:paraId="600AE463">
      <w:pPr>
        <w:spacing w:beforeLines="0" w:afterLines="0" w:line="480" w:lineRule="auto"/>
        <w:rPr>
          <w:rFonts w:hint="eastAsia" w:ascii="仿宋_GB2312" w:hAnsi="Times New Roman" w:eastAsia="仿宋_GB2312"/>
          <w:color w:val="auto"/>
          <w:sz w:val="24"/>
          <w:szCs w:val="24"/>
          <w:highlight w:val="none"/>
        </w:rPr>
      </w:pPr>
    </w:p>
    <w:p w14:paraId="3413F278">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承诺方（成）：（盖章）</w:t>
      </w:r>
      <w:permStart w:id="87" w:edGrp="everyone"/>
      <w:r>
        <w:rPr>
          <w:rFonts w:hint="eastAsia" w:ascii="仿宋_GB2312" w:hAnsi="Times New Roman" w:eastAsia="仿宋_GB2312"/>
          <w:color w:val="auto"/>
          <w:sz w:val="24"/>
          <w:szCs w:val="24"/>
          <w:highlight w:val="none"/>
        </w:rPr>
        <w:fldChar w:fldCharType="begin"/>
      </w:r>
      <w:r>
        <w:rPr>
          <w:rFonts w:hint="eastAsia" w:ascii="仿宋_GB2312" w:hAnsi="Times New Roman" w:eastAsia="仿宋_GB2312"/>
          <w:color w:val="auto"/>
          <w:sz w:val="24"/>
          <w:szCs w:val="24"/>
          <w:highlight w:val="none"/>
        </w:rPr>
        <w:instrText xml:space="preserve"> REF 乙方（成） \h </w:instrText>
      </w:r>
      <w:r>
        <w:rPr>
          <w:rFonts w:hint="eastAsia" w:ascii="仿宋_GB2312" w:hAnsi="Times New Roman" w:eastAsia="仿宋_GB2312"/>
          <w:color w:val="auto"/>
          <w:sz w:val="24"/>
          <w:szCs w:val="24"/>
          <w:highlight w:val="none"/>
        </w:rPr>
        <w:fldChar w:fldCharType="separate"/>
      </w:r>
      <w:r>
        <w:rPr>
          <w:rFonts w:hint="eastAsia" w:ascii="仿宋_GB2312" w:hAnsi="Times New Roman" w:eastAsia="仿宋_GB2312"/>
          <w:color w:val="auto"/>
          <w:sz w:val="24"/>
          <w:szCs w:val="24"/>
          <w:highlight w:val="none"/>
        </w:rPr>
        <w:t>XX有限公司</w:t>
      </w:r>
      <w:r>
        <w:rPr>
          <w:rFonts w:hint="eastAsia" w:ascii="仿宋_GB2312" w:hAnsi="Times New Roman" w:eastAsia="仿宋_GB2312"/>
          <w:color w:val="auto"/>
          <w:sz w:val="24"/>
          <w:szCs w:val="24"/>
          <w:highlight w:val="none"/>
        </w:rPr>
        <w:fldChar w:fldCharType="end"/>
      </w:r>
      <w:permEnd w:id="87"/>
      <w:r>
        <w:rPr>
          <w:rFonts w:hint="eastAsia" w:ascii="仿宋_GB2312" w:hAnsi="Times New Roman" w:eastAsia="仿宋_GB2312"/>
          <w:color w:val="auto"/>
          <w:sz w:val="24"/>
          <w:szCs w:val="24"/>
          <w:highlight w:val="none"/>
        </w:rPr>
        <w:t xml:space="preserve">        </w:t>
      </w:r>
    </w:p>
    <w:p w14:paraId="03607BDC">
      <w:pPr>
        <w:spacing w:beforeLines="0" w:afterLines="0" w:line="480" w:lineRule="auto"/>
        <w:rPr>
          <w:rFonts w:hint="eastAsia" w:ascii="仿宋_GB2312" w:hAnsi="Times New Roman" w:eastAsia="仿宋_GB2312"/>
          <w:color w:val="auto"/>
          <w:sz w:val="24"/>
          <w:szCs w:val="24"/>
          <w:highlight w:val="none"/>
        </w:rPr>
      </w:pPr>
      <w:r>
        <w:rPr>
          <w:rFonts w:hint="eastAsia" w:ascii="仿宋_GB2312" w:hAnsi="Times New Roman" w:eastAsia="仿宋_GB2312"/>
          <w:color w:val="auto"/>
          <w:sz w:val="24"/>
          <w:szCs w:val="24"/>
          <w:highlight w:val="none"/>
        </w:rPr>
        <w:t xml:space="preserve">法定代表人（或授权代表）签字：              </w:t>
      </w:r>
    </w:p>
    <w:p w14:paraId="6AE446AF">
      <w:pPr>
        <w:spacing w:beforeLines="0" w:afterLines="0" w:line="480" w:lineRule="auto"/>
        <w:rPr>
          <w:rFonts w:hint="eastAsia" w:ascii="仿宋_GB2312" w:hAnsi="仿宋_GB2312" w:eastAsia="仿宋_GB2312" w:cs="仿宋_GB2312"/>
          <w:b/>
          <w:color w:val="auto"/>
          <w:sz w:val="32"/>
          <w:szCs w:val="32"/>
          <w:highlight w:val="none"/>
        </w:rPr>
      </w:pPr>
      <w:r>
        <w:rPr>
          <w:rFonts w:hint="eastAsia" w:ascii="仿宋_GB2312" w:hAnsi="Times New Roman" w:eastAsia="仿宋_GB2312"/>
          <w:color w:val="auto"/>
          <w:sz w:val="24"/>
          <w:szCs w:val="24"/>
          <w:highlight w:val="none"/>
        </w:rPr>
        <w:t>承诺日期：    年   月   日</w:t>
      </w:r>
    </w:p>
    <w:p w14:paraId="71AF8D84">
      <w:pPr>
        <w:spacing w:beforeLines="0" w:afterLines="0" w:line="480" w:lineRule="auto"/>
        <w:rPr>
          <w:rFonts w:hint="default" w:ascii="Times New Roman" w:hAnsi="Times New Roman" w:eastAsia="宋体"/>
          <w:color w:val="auto"/>
          <w:sz w:val="21"/>
          <w:szCs w:val="24"/>
          <w:highlight w:val="none"/>
        </w:rPr>
      </w:pPr>
    </w:p>
    <w:p w14:paraId="55F205C7">
      <w:pPr>
        <w:spacing w:line="360" w:lineRule="auto"/>
        <w:jc w:val="both"/>
        <w:rPr>
          <w:rFonts w:hint="default" w:ascii="仿宋_GB2312" w:hAnsi="仿宋_GB2312" w:eastAsia="仿宋_GB2312" w:cs="仿宋_GB2312"/>
          <w:b/>
          <w:color w:val="auto"/>
          <w:sz w:val="32"/>
          <w:szCs w:val="32"/>
          <w:highlight w:val="none"/>
          <w:lang w:val="en-US" w:eastAsia="zh-CN"/>
        </w:rPr>
        <w:sectPr>
          <w:pgSz w:w="11906" w:h="16838"/>
          <w:pgMar w:top="1361" w:right="1134" w:bottom="1361" w:left="1134" w:header="851" w:footer="992" w:gutter="0"/>
          <w:pgBorders>
            <w:top w:val="none" w:sz="0" w:space="0"/>
            <w:left w:val="none" w:sz="0" w:space="0"/>
            <w:bottom w:val="none" w:sz="0" w:space="0"/>
            <w:right w:val="none" w:sz="0" w:space="0"/>
          </w:pgBorders>
          <w:cols w:space="720" w:num="1"/>
          <w:titlePg/>
          <w:docGrid w:type="lines" w:linePitch="312" w:charSpace="0"/>
        </w:sectPr>
      </w:pPr>
    </w:p>
    <w:p w14:paraId="7054A9A3">
      <w:pPr>
        <w:spacing w:line="360" w:lineRule="auto"/>
        <w:jc w:val="both"/>
        <w:rPr>
          <w:rFonts w:hint="default" w:ascii="仿宋_GB2312" w:hAnsi="仿宋_GB2312" w:eastAsia="仿宋_GB2312" w:cs="仿宋_GB2312"/>
          <w:b/>
          <w:color w:val="auto"/>
          <w:sz w:val="32"/>
          <w:szCs w:val="32"/>
          <w:highlight w:val="none"/>
          <w:lang w:val="en-US" w:eastAsia="zh-CN"/>
        </w:rPr>
      </w:pPr>
      <w:r>
        <w:rPr>
          <w:rFonts w:hint="default" w:ascii="仿宋_GB2312" w:hAnsi="仿宋_GB2312" w:eastAsia="仿宋_GB2312" w:cs="仿宋_GB2312"/>
          <w:b/>
          <w:color w:val="auto"/>
          <w:sz w:val="32"/>
          <w:szCs w:val="32"/>
          <w:highlight w:val="none"/>
          <w:lang w:val="en-US" w:eastAsia="zh-CN"/>
        </w:rPr>
        <w:t>附件</w:t>
      </w:r>
      <w:r>
        <w:rPr>
          <w:rFonts w:hint="eastAsia" w:ascii="仿宋_GB2312" w:hAnsi="仿宋_GB2312" w:eastAsia="仿宋_GB2312" w:cs="仿宋_GB2312"/>
          <w:b/>
          <w:color w:val="auto"/>
          <w:sz w:val="32"/>
          <w:szCs w:val="32"/>
          <w:highlight w:val="none"/>
          <w:lang w:val="en-US" w:eastAsia="zh-CN"/>
        </w:rPr>
        <w:t>8</w:t>
      </w:r>
      <w:r>
        <w:rPr>
          <w:rFonts w:hint="default" w:ascii="仿宋_GB2312" w:hAnsi="仿宋_GB2312" w:eastAsia="仿宋_GB2312" w:cs="仿宋_GB2312"/>
          <w:b/>
          <w:color w:val="auto"/>
          <w:sz w:val="32"/>
          <w:szCs w:val="32"/>
          <w:highlight w:val="none"/>
          <w:lang w:val="en-US" w:eastAsia="zh-CN"/>
        </w:rPr>
        <w:t xml:space="preserve"> </w:t>
      </w:r>
    </w:p>
    <w:p w14:paraId="678DE06C">
      <w:pPr>
        <w:spacing w:line="360" w:lineRule="auto"/>
        <w:jc w:val="center"/>
        <w:rPr>
          <w:rFonts w:hint="default"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lang w:val="en-US" w:eastAsia="zh-CN"/>
        </w:rPr>
        <w:t>关于民工权益保障承诺书</w:t>
      </w:r>
    </w:p>
    <w:p w14:paraId="4F3B1149">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致 东莞市新锋新能源有限公司： </w:t>
      </w:r>
    </w:p>
    <w:p w14:paraId="39864EF2">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我</w:t>
      </w:r>
      <w:r>
        <w:rPr>
          <w:rFonts w:hint="default" w:ascii="仿宋_GB2312" w:hAnsi="Times New Roman" w:eastAsia="仿宋_GB2312" w:cs="Times New Roman"/>
          <w:color w:val="auto"/>
          <w:sz w:val="24"/>
          <w:szCs w:val="24"/>
          <w:highlight w:val="none"/>
          <w:lang w:val="en-US" w:eastAsia="zh-CN"/>
        </w:rPr>
        <w:t>司已与贵司签订东莞市新锋新能源有限公司XX厂区分布式光伏发电项目合同现就承接的东莞市新锋新能源有限公司XX厂区分布式光伏发电项目</w:t>
      </w:r>
      <w:r>
        <w:rPr>
          <w:rFonts w:hint="eastAsia" w:ascii="仿宋_GB2312" w:eastAsia="仿宋_GB2312" w:cs="Times New Roman"/>
          <w:color w:val="auto"/>
          <w:sz w:val="24"/>
          <w:szCs w:val="24"/>
          <w:highlight w:val="none"/>
          <w:lang w:val="en-US" w:eastAsia="zh-CN"/>
        </w:rPr>
        <w:t>，郑重承诺如下</w:t>
      </w:r>
      <w:r>
        <w:rPr>
          <w:rFonts w:hint="default" w:ascii="仿宋_GB2312" w:hAnsi="Times New Roman" w:eastAsia="仿宋_GB2312" w:cs="Times New Roman"/>
          <w:color w:val="auto"/>
          <w:sz w:val="24"/>
          <w:szCs w:val="24"/>
          <w:highlight w:val="none"/>
          <w:lang w:val="en-US" w:eastAsia="zh-CN"/>
        </w:rPr>
        <w:t>：</w:t>
      </w:r>
    </w:p>
    <w:p w14:paraId="02912522">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1、我司承诺严格按照国家规定及合同要求，足额支付农民工工资，决不拖欠或克扣。若因违反规定导致农民工上访，我司自愿接受人力资源社会保障、建设、公安等部门的处理和处罚。</w:t>
      </w:r>
    </w:p>
    <w:p w14:paraId="46087D1B">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2、我司将认真履行民工用工管理职责，确保劳务班组工程款足额支付，并监督工资直接发放至农民工本人（国家法定节假日前优先支付工资）；妥善安排民工生活，落实安全教育、劳保及安全用品发放等权益保障工作。</w:t>
      </w:r>
    </w:p>
    <w:p w14:paraId="4A73D90F">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3、我司已为承接的工程购买工程一切险，并为所有管理人员及施工人员投保工伤保险和意外保险。</w:t>
      </w:r>
    </w:p>
    <w:p w14:paraId="3EF19BBB">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4、民工权益保障绩效将作为工程款支付依据之一。若我司违反承诺，贵司有权分两步支付进度款：先支付上月（期）民工工资，待我司提供工资发放凭证后再支付余额。</w:t>
      </w:r>
    </w:p>
    <w:p w14:paraId="6805883E">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5、如因我司民工权益保障不到位引发重大突发事件（如围堵项目或贵司办公场所），我司同意接受每次20万元的处罚；若贵司代为支付相关费用，可直接从进度款或结算款中扣除，并承担由此造成的一切负面影响及赔偿责任。</w:t>
      </w:r>
    </w:p>
    <w:p w14:paraId="47F24C58">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特此承诺</w:t>
      </w:r>
    </w:p>
    <w:p w14:paraId="152EEBE4">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p>
    <w:p w14:paraId="47EE06DD">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p>
    <w:p w14:paraId="513BDF5C">
      <w:pPr>
        <w:keepNext w:val="0"/>
        <w:keepLines w:val="0"/>
        <w:pageBreakBefore w:val="0"/>
        <w:widowControl w:val="0"/>
        <w:kinsoku/>
        <w:wordWrap/>
        <w:overflowPunct/>
        <w:topLinePunct w:val="0"/>
        <w:autoSpaceDE/>
        <w:autoSpaceDN/>
        <w:bidi w:val="0"/>
        <w:adjustRightInd/>
        <w:snapToGrid/>
        <w:spacing w:beforeLines="0" w:afterLines="0" w:line="480" w:lineRule="auto"/>
        <w:ind w:firstLine="480" w:firstLineChars="200"/>
        <w:jc w:val="both"/>
        <w:textAlignment w:val="auto"/>
        <w:rPr>
          <w:rFonts w:hint="default" w:ascii="仿宋_GB2312" w:hAnsi="Times New Roman" w:eastAsia="仿宋_GB2312" w:cs="Times New Roman"/>
          <w:color w:val="auto"/>
          <w:sz w:val="24"/>
          <w:szCs w:val="24"/>
          <w:highlight w:val="none"/>
          <w:lang w:val="en-US" w:eastAsia="zh-CN"/>
        </w:rPr>
      </w:pPr>
    </w:p>
    <w:p w14:paraId="43328614">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（签署页）</w:t>
      </w:r>
    </w:p>
    <w:p w14:paraId="1A69BF1D">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p>
    <w:p w14:paraId="247E8F89">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p>
    <w:p w14:paraId="526E2299">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承诺方（主）：（盖章）XX有限公司        </w:t>
      </w:r>
    </w:p>
    <w:p w14:paraId="5700C338">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法定代表人（或授权代表）签字：              </w:t>
      </w:r>
    </w:p>
    <w:p w14:paraId="4A1D06BC">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承诺日期：    年   月   日</w:t>
      </w:r>
    </w:p>
    <w:p w14:paraId="5A781B49">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p>
    <w:p w14:paraId="01DB82C7">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p>
    <w:p w14:paraId="13DE5A27">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承诺方（成）：（盖章）XX有限公司        </w:t>
      </w:r>
    </w:p>
    <w:p w14:paraId="45F38E8D">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pPr>
      <w:r>
        <w:rPr>
          <w:rFonts w:hint="default" w:ascii="仿宋_GB2312" w:hAnsi="Times New Roman" w:eastAsia="仿宋_GB2312" w:cs="Times New Roman"/>
          <w:color w:val="auto"/>
          <w:sz w:val="24"/>
          <w:szCs w:val="24"/>
          <w:highlight w:val="none"/>
          <w:lang w:val="en-US" w:eastAsia="zh-CN"/>
        </w:rPr>
        <w:t xml:space="preserve">法定代表人（或授权代表）签字：              </w:t>
      </w:r>
    </w:p>
    <w:p w14:paraId="7100CB16">
      <w:pPr>
        <w:keepNext w:val="0"/>
        <w:keepLines w:val="0"/>
        <w:pageBreakBefore w:val="0"/>
        <w:widowControl w:val="0"/>
        <w:kinsoku/>
        <w:wordWrap/>
        <w:overflowPunct/>
        <w:topLinePunct w:val="0"/>
        <w:autoSpaceDE/>
        <w:autoSpaceDN/>
        <w:bidi w:val="0"/>
        <w:adjustRightInd/>
        <w:snapToGrid/>
        <w:spacing w:beforeLines="0" w:afterLines="0" w:line="480" w:lineRule="auto"/>
        <w:ind w:firstLine="0" w:firstLineChars="0"/>
        <w:jc w:val="both"/>
        <w:textAlignment w:val="auto"/>
        <w:rPr>
          <w:rFonts w:hint="default" w:ascii="仿宋_GB2312" w:hAnsi="Times New Roman" w:eastAsia="仿宋_GB2312" w:cs="Times New Roman"/>
          <w:color w:val="auto"/>
          <w:sz w:val="24"/>
          <w:szCs w:val="24"/>
          <w:highlight w:val="none"/>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cols w:space="720" w:num="1"/>
          <w:titlePg/>
          <w:docGrid w:type="lines" w:linePitch="312" w:charSpace="0"/>
        </w:sectPr>
      </w:pPr>
      <w:r>
        <w:rPr>
          <w:rFonts w:hint="default" w:ascii="仿宋_GB2312" w:hAnsi="Times New Roman" w:eastAsia="仿宋_GB2312" w:cs="Times New Roman"/>
          <w:color w:val="auto"/>
          <w:sz w:val="24"/>
          <w:szCs w:val="24"/>
          <w:highlight w:val="none"/>
          <w:lang w:val="en-US" w:eastAsia="zh-CN"/>
        </w:rPr>
        <w:t>承诺日期：    年   月   日</w:t>
      </w:r>
    </w:p>
    <w:p w14:paraId="643BC78E">
      <w:pPr>
        <w:spacing w:line="360" w:lineRule="auto"/>
        <w:jc w:val="both"/>
        <w:rPr>
          <w:rFonts w:hint="default" w:ascii="仿宋_GB2312" w:hAnsi="仿宋_GB2312" w:eastAsia="仿宋_GB2312" w:cs="仿宋_GB2312"/>
          <w:b/>
          <w:color w:val="auto"/>
          <w:sz w:val="32"/>
          <w:szCs w:val="32"/>
          <w:highlight w:val="none"/>
          <w:lang w:val="en-US" w:eastAsia="zh-CN"/>
        </w:rPr>
      </w:pPr>
      <w:r>
        <w:rPr>
          <w:rFonts w:hint="default" w:ascii="仿宋_GB2312" w:hAnsi="仿宋_GB2312" w:eastAsia="仿宋_GB2312" w:cs="仿宋_GB2312"/>
          <w:b/>
          <w:color w:val="auto"/>
          <w:sz w:val="32"/>
          <w:szCs w:val="32"/>
          <w:highlight w:val="none"/>
          <w:lang w:val="en-US" w:eastAsia="zh-CN"/>
        </w:rPr>
        <w:t>附件</w:t>
      </w:r>
      <w:r>
        <w:rPr>
          <w:rFonts w:hint="eastAsia" w:ascii="仿宋_GB2312" w:hAnsi="仿宋_GB2312" w:eastAsia="仿宋_GB2312" w:cs="仿宋_GB2312"/>
          <w:b/>
          <w:color w:val="auto"/>
          <w:sz w:val="32"/>
          <w:szCs w:val="32"/>
          <w:highlight w:val="none"/>
          <w:lang w:val="en-US" w:eastAsia="zh-CN"/>
        </w:rPr>
        <w:t>9</w:t>
      </w:r>
      <w:r>
        <w:rPr>
          <w:rFonts w:hint="default" w:ascii="仿宋_GB2312" w:hAnsi="仿宋_GB2312" w:eastAsia="仿宋_GB2312" w:cs="仿宋_GB2312"/>
          <w:b/>
          <w:color w:val="auto"/>
          <w:sz w:val="32"/>
          <w:szCs w:val="32"/>
          <w:highlight w:val="none"/>
          <w:lang w:val="en-US" w:eastAsia="zh-CN"/>
        </w:rPr>
        <w:t xml:space="preserve"> 实施本项目的有关人员资料表</w:t>
      </w:r>
    </w:p>
    <w:p w14:paraId="68C5BD3E">
      <w:pPr>
        <w:spacing w:line="360" w:lineRule="auto"/>
        <w:jc w:val="center"/>
        <w:rPr>
          <w:rFonts w:hint="default" w:ascii="仿宋_GB2312" w:hAnsi="仿宋_GB2312" w:eastAsia="仿宋_GB2312" w:cs="仿宋_GB2312"/>
          <w:b/>
          <w:color w:val="auto"/>
          <w:sz w:val="32"/>
          <w:szCs w:val="32"/>
          <w:highlight w:val="yellow"/>
          <w:lang w:val="en-US" w:eastAsia="zh-CN"/>
        </w:rPr>
      </w:pPr>
    </w:p>
    <w:p w14:paraId="2F71A72F">
      <w:pPr>
        <w:tabs>
          <w:tab w:val="left" w:pos="360"/>
        </w:tabs>
        <w:spacing w:line="360" w:lineRule="auto"/>
        <w:ind w:firstLine="420" w:firstLineChars="200"/>
        <w:rPr>
          <w:rFonts w:hint="default" w:ascii="宋体" w:hAnsi="宋体" w:cs="宋体"/>
          <w:color w:val="auto"/>
          <w:highlight w:val="none"/>
          <w:lang w:val="en-US" w:eastAsia="zh-CN"/>
        </w:rPr>
      </w:pPr>
    </w:p>
    <w:p w14:paraId="1D67CB46">
      <w:pPr>
        <w:rPr>
          <w:rFonts w:hint="eastAsia"/>
          <w:color w:val="auto"/>
          <w:sz w:val="28"/>
          <w:szCs w:val="28"/>
          <w:highlight w:val="none"/>
        </w:rPr>
      </w:pPr>
    </w:p>
    <w:p w14:paraId="6326C17E">
      <w:pPr>
        <w:rPr>
          <w:rFonts w:hint="eastAsia"/>
          <w:color w:val="auto"/>
          <w:sz w:val="28"/>
          <w:szCs w:val="28"/>
          <w:highlight w:val="none"/>
        </w:rPr>
      </w:pPr>
    </w:p>
    <w:p w14:paraId="31BF780C">
      <w:pPr>
        <w:rPr>
          <w:rFonts w:hint="eastAsia"/>
          <w:color w:val="auto"/>
          <w:sz w:val="28"/>
          <w:szCs w:val="28"/>
          <w:highlight w:val="none"/>
        </w:rPr>
      </w:pPr>
    </w:p>
    <w:p w14:paraId="032A7E49">
      <w:pPr>
        <w:rPr>
          <w:rFonts w:hint="eastAsia"/>
          <w:color w:val="auto"/>
          <w:sz w:val="28"/>
          <w:szCs w:val="28"/>
          <w:highlight w:val="none"/>
        </w:rPr>
      </w:pPr>
    </w:p>
    <w:p w14:paraId="38D8A41A">
      <w:pPr>
        <w:rPr>
          <w:rFonts w:hint="eastAsia"/>
          <w:color w:val="auto"/>
          <w:sz w:val="28"/>
          <w:szCs w:val="28"/>
          <w:highlight w:val="none"/>
        </w:rPr>
      </w:pPr>
    </w:p>
    <w:p w14:paraId="3E9549DF">
      <w:pPr>
        <w:rPr>
          <w:rFonts w:hint="eastAsia"/>
          <w:color w:val="auto"/>
          <w:sz w:val="28"/>
          <w:szCs w:val="28"/>
          <w:highlight w:val="none"/>
        </w:rPr>
      </w:pPr>
    </w:p>
    <w:p w14:paraId="17548645">
      <w:pPr>
        <w:rPr>
          <w:rFonts w:hint="eastAsia"/>
          <w:color w:val="auto"/>
          <w:sz w:val="28"/>
          <w:szCs w:val="28"/>
          <w:highlight w:val="none"/>
        </w:rPr>
      </w:pPr>
    </w:p>
    <w:p w14:paraId="44437FC7">
      <w:pPr>
        <w:rPr>
          <w:rFonts w:hint="eastAsia"/>
          <w:color w:val="auto"/>
          <w:sz w:val="28"/>
          <w:szCs w:val="28"/>
          <w:highlight w:val="none"/>
        </w:rPr>
      </w:pPr>
    </w:p>
    <w:p w14:paraId="0B108C8F">
      <w:pPr>
        <w:rPr>
          <w:rFonts w:hint="eastAsia"/>
          <w:color w:val="auto"/>
          <w:sz w:val="28"/>
          <w:szCs w:val="28"/>
          <w:highlight w:val="none"/>
        </w:rPr>
      </w:pPr>
    </w:p>
    <w:p w14:paraId="794A1C74">
      <w:pPr>
        <w:rPr>
          <w:rFonts w:hint="eastAsia"/>
          <w:color w:val="auto"/>
          <w:sz w:val="28"/>
          <w:szCs w:val="28"/>
          <w:highlight w:val="none"/>
        </w:rPr>
      </w:pPr>
    </w:p>
    <w:p w14:paraId="439F5ABF">
      <w:pPr>
        <w:rPr>
          <w:rFonts w:hint="eastAsia"/>
          <w:color w:val="auto"/>
          <w:sz w:val="28"/>
          <w:szCs w:val="28"/>
          <w:highlight w:val="none"/>
        </w:rPr>
      </w:pPr>
    </w:p>
    <w:p w14:paraId="19A0953B">
      <w:pPr>
        <w:rPr>
          <w:rFonts w:hint="eastAsia"/>
          <w:color w:val="auto"/>
          <w:sz w:val="28"/>
          <w:szCs w:val="28"/>
          <w:highlight w:val="none"/>
        </w:rPr>
      </w:pPr>
    </w:p>
    <w:p w14:paraId="75DC4FFC">
      <w:pPr>
        <w:rPr>
          <w:rFonts w:hint="eastAsia"/>
          <w:color w:val="auto"/>
          <w:sz w:val="28"/>
          <w:szCs w:val="28"/>
          <w:highlight w:val="none"/>
        </w:rPr>
      </w:pPr>
    </w:p>
    <w:p w14:paraId="56DE553C">
      <w:pPr>
        <w:rPr>
          <w:rFonts w:hint="eastAsia"/>
          <w:color w:val="auto"/>
          <w:sz w:val="28"/>
          <w:szCs w:val="28"/>
          <w:highlight w:val="none"/>
        </w:rPr>
      </w:pPr>
    </w:p>
    <w:p w14:paraId="52AF19A3">
      <w:pPr>
        <w:rPr>
          <w:rFonts w:hint="eastAsia"/>
          <w:color w:val="auto"/>
          <w:sz w:val="28"/>
          <w:szCs w:val="28"/>
          <w:highlight w:val="none"/>
        </w:rPr>
      </w:pPr>
    </w:p>
    <w:p w14:paraId="4DABE5BF">
      <w:pPr>
        <w:rPr>
          <w:rFonts w:hint="eastAsia"/>
          <w:color w:val="auto"/>
          <w:sz w:val="28"/>
          <w:szCs w:val="28"/>
          <w:highlight w:val="none"/>
        </w:rPr>
      </w:pPr>
    </w:p>
    <w:p w14:paraId="3F9516C3">
      <w:pPr>
        <w:rPr>
          <w:rFonts w:hint="eastAsia"/>
          <w:color w:val="auto"/>
          <w:sz w:val="28"/>
          <w:szCs w:val="28"/>
          <w:highlight w:val="none"/>
        </w:rPr>
      </w:pPr>
    </w:p>
    <w:p w14:paraId="6CF054C0">
      <w:pPr>
        <w:rPr>
          <w:rFonts w:hint="eastAsia"/>
          <w:color w:val="auto"/>
          <w:sz w:val="28"/>
          <w:szCs w:val="28"/>
          <w:highlight w:val="none"/>
        </w:rPr>
      </w:pPr>
    </w:p>
    <w:p w14:paraId="6367F76E">
      <w:pPr>
        <w:rPr>
          <w:rFonts w:hint="eastAsia"/>
          <w:color w:val="auto"/>
          <w:sz w:val="28"/>
          <w:szCs w:val="28"/>
          <w:highlight w:val="none"/>
        </w:rPr>
      </w:pPr>
    </w:p>
    <w:p w14:paraId="16B25864">
      <w:pPr>
        <w:rPr>
          <w:rFonts w:hint="eastAsia"/>
          <w:color w:val="auto"/>
          <w:sz w:val="28"/>
          <w:szCs w:val="28"/>
          <w:highlight w:val="none"/>
        </w:rPr>
      </w:pPr>
    </w:p>
    <w:p w14:paraId="4CCFBDC8">
      <w:pPr>
        <w:rPr>
          <w:rFonts w:hint="eastAsia"/>
          <w:color w:val="auto"/>
          <w:sz w:val="28"/>
          <w:szCs w:val="28"/>
          <w:highlight w:val="none"/>
        </w:rPr>
      </w:pPr>
    </w:p>
    <w:p w14:paraId="79A90D19">
      <w:pPr>
        <w:rPr>
          <w:rFonts w:hint="eastAsia"/>
          <w:color w:val="auto"/>
          <w:sz w:val="28"/>
          <w:szCs w:val="28"/>
          <w:highlight w:val="none"/>
        </w:rPr>
      </w:pPr>
    </w:p>
    <w:p w14:paraId="6B191B5B">
      <w:pPr>
        <w:rPr>
          <w:rFonts w:hint="eastAsia"/>
          <w:color w:val="auto"/>
          <w:sz w:val="28"/>
          <w:szCs w:val="28"/>
          <w:highlight w:val="none"/>
        </w:rPr>
      </w:pPr>
    </w:p>
    <w:p w14:paraId="3FA22A39">
      <w:pPr>
        <w:rPr>
          <w:rFonts w:hint="eastAsia"/>
          <w:color w:val="auto"/>
          <w:sz w:val="28"/>
          <w:szCs w:val="28"/>
          <w:highlight w:val="none"/>
        </w:rPr>
      </w:pPr>
    </w:p>
    <w:p w14:paraId="025B3034">
      <w:pPr>
        <w:pStyle w:val="6"/>
        <w:shd w:val="clear"/>
        <w:spacing w:before="0" w:after="0" w:line="240" w:lineRule="auto"/>
        <w:rPr>
          <w:color w:val="auto"/>
          <w:sz w:val="28"/>
          <w:szCs w:val="28"/>
          <w:highlight w:val="none"/>
        </w:rPr>
      </w:pPr>
      <w:bookmarkStart w:id="111" w:name="_Toc17873"/>
      <w:r>
        <w:rPr>
          <w:rFonts w:hint="eastAsia"/>
          <w:color w:val="auto"/>
          <w:sz w:val="28"/>
          <w:szCs w:val="28"/>
          <w:highlight w:val="none"/>
        </w:rPr>
        <w:t>第六部分</w:t>
      </w:r>
      <w:r>
        <w:rPr>
          <w:rFonts w:hint="eastAsia"/>
          <w:color w:val="auto"/>
          <w:sz w:val="28"/>
          <w:szCs w:val="28"/>
          <w:highlight w:val="none"/>
          <w:lang w:val="en-US" w:eastAsia="zh-CN"/>
        </w:rPr>
        <w:t xml:space="preserve">  </w:t>
      </w:r>
      <w:r>
        <w:rPr>
          <w:rFonts w:hint="eastAsia"/>
          <w:color w:val="auto"/>
          <w:sz w:val="28"/>
          <w:szCs w:val="28"/>
          <w:highlight w:val="none"/>
        </w:rPr>
        <w:t>投标文件格式</w:t>
      </w:r>
      <w:bookmarkEnd w:id="111"/>
    </w:p>
    <w:p w14:paraId="68AEF19A">
      <w:pPr>
        <w:shd w:val="clear"/>
        <w:jc w:val="both"/>
        <w:rPr>
          <w:rFonts w:ascii="黑体" w:eastAsia="黑体"/>
          <w:color w:val="auto"/>
          <w:sz w:val="32"/>
          <w:szCs w:val="32"/>
          <w:highlight w:val="none"/>
        </w:rPr>
      </w:pPr>
    </w:p>
    <w:p w14:paraId="4EFBDD4F">
      <w:pPr>
        <w:shd w:val="clear"/>
        <w:jc w:val="center"/>
        <w:rPr>
          <w:rFonts w:ascii="黑体" w:eastAsia="黑体"/>
          <w:color w:val="auto"/>
          <w:sz w:val="32"/>
          <w:szCs w:val="32"/>
          <w:highlight w:val="none"/>
        </w:rPr>
      </w:pPr>
      <w:r>
        <w:rPr>
          <w:rFonts w:hint="eastAsia" w:ascii="黑体" w:eastAsia="黑体"/>
          <w:color w:val="auto"/>
          <w:sz w:val="32"/>
          <w:szCs w:val="32"/>
          <w:highlight w:val="none"/>
        </w:rPr>
        <w:t>投标文件目录</w:t>
      </w:r>
    </w:p>
    <w:p w14:paraId="4377259C">
      <w:pPr>
        <w:pStyle w:val="14"/>
        <w:tabs>
          <w:tab w:val="right" w:leader="dot" w:pos="8306"/>
          <w:tab w:val="clear" w:pos="8296"/>
        </w:tabs>
        <w:ind w:left="0" w:leftChars="0" w:firstLine="179"/>
        <w:rPr>
          <w:rFonts w:hint="eastAsia" w:ascii="宋体" w:hAnsi="宋体" w:cs="宋体"/>
          <w:b/>
          <w:bCs/>
          <w:color w:val="auto"/>
          <w:sz w:val="24"/>
          <w:szCs w:val="24"/>
        </w:rPr>
      </w:pPr>
      <w:r>
        <w:rPr>
          <w:color w:val="auto"/>
        </w:rPr>
        <w:fldChar w:fldCharType="begin"/>
      </w:r>
      <w:r>
        <w:rPr>
          <w:color w:val="auto"/>
        </w:rPr>
        <w:instrText xml:space="preserve"> HYPERLINK \l "_Toc30895" </w:instrText>
      </w:r>
      <w:r>
        <w:rPr>
          <w:color w:val="auto"/>
        </w:rPr>
        <w:fldChar w:fldCharType="separate"/>
      </w:r>
      <w:r>
        <w:rPr>
          <w:rFonts w:hint="eastAsia" w:ascii="宋体" w:hAnsi="宋体" w:cs="宋体"/>
          <w:b/>
          <w:bCs/>
          <w:color w:val="auto"/>
          <w:sz w:val="24"/>
          <w:szCs w:val="24"/>
        </w:rPr>
        <w:t>价格文件</w:t>
      </w:r>
      <w:r>
        <w:rPr>
          <w:rFonts w:hint="eastAsia" w:ascii="宋体" w:hAnsi="宋体" w:cs="宋体"/>
          <w:b/>
          <w:bCs/>
          <w:color w:val="auto"/>
          <w:sz w:val="24"/>
          <w:szCs w:val="24"/>
        </w:rPr>
        <w:fldChar w:fldCharType="end"/>
      </w:r>
    </w:p>
    <w:p w14:paraId="5115BBC5">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"_Toc15657" </w:instrText>
      </w:r>
      <w:r>
        <w:rPr>
          <w:color w:val="auto"/>
        </w:rPr>
        <w:fldChar w:fldCharType="separate"/>
      </w:r>
      <w:r>
        <w:rPr>
          <w:rFonts w:hint="eastAsia" w:ascii="宋体" w:hAnsi="宋体" w:cs="宋体"/>
          <w:color w:val="auto"/>
        </w:rPr>
        <w:t>开标一览表</w:t>
      </w:r>
      <w:r>
        <w:rPr>
          <w:rFonts w:hint="eastAsia" w:ascii="宋体" w:hAnsi="宋体" w:cs="宋体"/>
          <w:color w:val="auto"/>
        </w:rPr>
        <w:fldChar w:fldCharType="end"/>
      </w:r>
    </w:p>
    <w:p w14:paraId="6F2116D6">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"_Toc17495" </w:instrText>
      </w:r>
      <w:r>
        <w:rPr>
          <w:color w:val="auto"/>
        </w:rPr>
        <w:fldChar w:fldCharType="separate"/>
      </w:r>
      <w:r>
        <w:rPr>
          <w:rFonts w:hint="eastAsia" w:ascii="宋体" w:hAnsi="宋体" w:cs="宋体"/>
          <w:color w:val="auto"/>
        </w:rPr>
        <w:t>主要设备品牌响应表</w:t>
      </w:r>
      <w:r>
        <w:rPr>
          <w:rFonts w:hint="eastAsia" w:ascii="宋体" w:hAnsi="宋体" w:cs="宋体"/>
          <w:color w:val="auto"/>
        </w:rPr>
        <w:fldChar w:fldCharType="end"/>
      </w:r>
    </w:p>
    <w:p w14:paraId="711772CE">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"_Toc4453" </w:instrText>
      </w:r>
      <w:r>
        <w:rPr>
          <w:color w:val="auto"/>
        </w:rPr>
        <w:fldChar w:fldCharType="separate"/>
      </w:r>
      <w:r>
        <w:rPr>
          <w:rFonts w:hint="eastAsia" w:ascii="宋体" w:hAnsi="宋体" w:cs="宋体"/>
          <w:color w:val="auto"/>
        </w:rPr>
        <w:t>报价明细表</w:t>
      </w:r>
      <w:r>
        <w:rPr>
          <w:rFonts w:hint="eastAsia" w:ascii="宋体" w:hAnsi="宋体" w:cs="宋体"/>
          <w:color w:val="auto"/>
        </w:rPr>
        <w:fldChar w:fldCharType="end"/>
      </w:r>
    </w:p>
    <w:p w14:paraId="277E337C">
      <w:pPr>
        <w:pStyle w:val="14"/>
        <w:tabs>
          <w:tab w:val="right" w:leader="dot" w:pos="8306"/>
          <w:tab w:val="clear" w:pos="8296"/>
        </w:tabs>
        <w:ind w:left="0" w:leftChars="0" w:firstLine="179"/>
        <w:rPr>
          <w:rFonts w:hint="eastAsia" w:ascii="宋体" w:hAnsi="宋体" w:cs="宋体"/>
          <w:b/>
          <w:bCs/>
          <w:color w:val="auto"/>
          <w:sz w:val="24"/>
          <w:szCs w:val="24"/>
        </w:rPr>
      </w:pPr>
      <w:r>
        <w:rPr>
          <w:color w:val="auto"/>
        </w:rPr>
        <w:fldChar w:fldCharType="begin"/>
      </w:r>
      <w:r>
        <w:rPr>
          <w:color w:val="auto"/>
        </w:rPr>
        <w:instrText xml:space="preserve"> HYPERLINK \l "_Toc8484" </w:instrText>
      </w:r>
      <w:r>
        <w:rPr>
          <w:color w:val="auto"/>
        </w:rPr>
        <w:fldChar w:fldCharType="separate"/>
      </w:r>
      <w:r>
        <w:rPr>
          <w:rFonts w:hint="eastAsia" w:ascii="宋体" w:hAnsi="宋体" w:cs="宋体"/>
          <w:b/>
          <w:bCs/>
          <w:color w:val="auto"/>
          <w:sz w:val="24"/>
          <w:szCs w:val="24"/>
        </w:rPr>
        <w:t>商务文件</w:t>
      </w:r>
      <w:r>
        <w:rPr>
          <w:rFonts w:hint="eastAsia" w:ascii="宋体" w:hAnsi="宋体" w:cs="宋体"/>
          <w:b/>
          <w:bCs/>
          <w:color w:val="auto"/>
          <w:sz w:val="24"/>
          <w:szCs w:val="24"/>
        </w:rPr>
        <w:fldChar w:fldCharType="end"/>
      </w:r>
    </w:p>
    <w:p w14:paraId="419FBE19">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商务</w:t>
      </w:r>
      <w:r>
        <w:rPr>
          <w:rFonts w:hint="eastAsia" w:ascii="宋体" w:hAnsi="宋体" w:cs="宋体"/>
          <w:color w:val="auto"/>
        </w:rPr>
        <w:fldChar w:fldCharType="begin"/>
      </w:r>
      <w:r>
        <w:rPr>
          <w:rFonts w:hint="eastAsia" w:ascii="宋体" w:hAnsi="宋体" w:cs="宋体"/>
          <w:color w:val="auto"/>
        </w:rPr>
        <w:instrText xml:space="preserve"> HYPERLINK \l _Toc3044 </w:instrText>
      </w:r>
      <w:r>
        <w:rPr>
          <w:rFonts w:hint="eastAsia" w:ascii="宋体" w:hAnsi="宋体" w:cs="宋体"/>
          <w:color w:val="auto"/>
        </w:rPr>
        <w:fldChar w:fldCharType="separate"/>
      </w:r>
      <w:r>
        <w:rPr>
          <w:rFonts w:hint="eastAsia" w:ascii="宋体" w:hAnsi="宋体" w:cs="宋体"/>
          <w:color w:val="auto"/>
        </w:rPr>
        <w:t>评分标准索引表</w:t>
      </w:r>
      <w:r>
        <w:rPr>
          <w:rFonts w:hint="eastAsia" w:ascii="宋体" w:hAnsi="宋体" w:cs="宋体"/>
          <w:color w:val="auto"/>
        </w:rPr>
        <w:fldChar w:fldCharType="end"/>
      </w:r>
    </w:p>
    <w:p w14:paraId="5D57D779">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"_Toc28959" </w:instrText>
      </w:r>
      <w:r>
        <w:rPr>
          <w:color w:val="auto"/>
        </w:rPr>
        <w:fldChar w:fldCharType="separate"/>
      </w:r>
      <w:r>
        <w:rPr>
          <w:rFonts w:hint="eastAsia" w:ascii="宋体" w:hAnsi="宋体" w:cs="宋体"/>
          <w:color w:val="auto"/>
        </w:rPr>
        <w:t>投标书格式</w:t>
      </w:r>
      <w:r>
        <w:rPr>
          <w:rFonts w:hint="eastAsia" w:ascii="宋体" w:hAnsi="宋体" w:cs="宋体"/>
          <w:color w:val="auto"/>
        </w:rPr>
        <w:fldChar w:fldCharType="end"/>
      </w:r>
    </w:p>
    <w:p w14:paraId="37133230">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"_Toc6073" </w:instrText>
      </w:r>
      <w:r>
        <w:rPr>
          <w:color w:val="auto"/>
        </w:rPr>
        <w:fldChar w:fldCharType="separate"/>
      </w:r>
      <w:r>
        <w:rPr>
          <w:rFonts w:hint="eastAsia" w:ascii="宋体" w:hAnsi="宋体" w:cs="宋体"/>
          <w:color w:val="auto"/>
        </w:rPr>
        <w:t>法定代表人证明书</w:t>
      </w:r>
      <w:r>
        <w:rPr>
          <w:rFonts w:hint="eastAsia" w:ascii="宋体" w:hAnsi="宋体" w:cs="宋体"/>
          <w:color w:val="auto"/>
        </w:rPr>
        <w:fldChar w:fldCharType="end"/>
      </w:r>
    </w:p>
    <w:p w14:paraId="22B57E8D">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"_Toc25531" </w:instrText>
      </w:r>
      <w:r>
        <w:rPr>
          <w:color w:val="auto"/>
        </w:rPr>
        <w:fldChar w:fldCharType="separate"/>
      </w:r>
      <w:r>
        <w:rPr>
          <w:rFonts w:hint="eastAsia" w:ascii="宋体" w:hAnsi="宋体" w:cs="宋体"/>
          <w:color w:val="auto"/>
        </w:rPr>
        <w:t>法定代表人授权书</w:t>
      </w:r>
      <w:r>
        <w:rPr>
          <w:rFonts w:hint="eastAsia" w:ascii="宋体" w:hAnsi="宋体" w:cs="宋体"/>
          <w:color w:val="auto"/>
        </w:rPr>
        <w:fldChar w:fldCharType="end"/>
      </w:r>
    </w:p>
    <w:p w14:paraId="681B7E89">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"_Toc30192" </w:instrText>
      </w:r>
      <w:r>
        <w:rPr>
          <w:color w:val="auto"/>
        </w:rPr>
        <w:fldChar w:fldCharType="separate"/>
      </w:r>
      <w:r>
        <w:rPr>
          <w:rFonts w:hint="eastAsia" w:ascii="宋体" w:hAnsi="宋体" w:cs="宋体"/>
          <w:color w:val="auto"/>
        </w:rPr>
        <w:t>资格申明</w:t>
      </w:r>
      <w:r>
        <w:rPr>
          <w:rFonts w:hint="eastAsia" w:ascii="宋体" w:hAnsi="宋体" w:cs="宋体"/>
          <w:color w:val="auto"/>
        </w:rPr>
        <w:fldChar w:fldCharType="end"/>
      </w:r>
    </w:p>
    <w:p w14:paraId="0ED651C3">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"_Toc31632" </w:instrText>
      </w:r>
      <w:r>
        <w:rPr>
          <w:color w:val="auto"/>
        </w:rPr>
        <w:fldChar w:fldCharType="separate"/>
      </w:r>
      <w:r>
        <w:rPr>
          <w:rFonts w:hint="eastAsia" w:ascii="宋体" w:hAnsi="宋体" w:cs="宋体"/>
          <w:color w:val="auto"/>
        </w:rPr>
        <w:t>营业执照</w:t>
      </w:r>
      <w:r>
        <w:rPr>
          <w:rFonts w:hint="eastAsia" w:ascii="宋体" w:hAnsi="宋体" w:cs="宋体"/>
          <w:color w:val="auto"/>
        </w:rPr>
        <w:fldChar w:fldCharType="end"/>
      </w:r>
    </w:p>
    <w:p w14:paraId="77FEED91">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"_Toc6435" </w:instrText>
      </w:r>
      <w:r>
        <w:rPr>
          <w:color w:val="auto"/>
        </w:rPr>
        <w:fldChar w:fldCharType="separate"/>
      </w:r>
      <w:r>
        <w:rPr>
          <w:rFonts w:hint="eastAsia" w:ascii="宋体" w:hAnsi="宋体" w:cs="宋体"/>
          <w:color w:val="auto"/>
        </w:rPr>
        <w:t>相关资质证明文件</w:t>
      </w:r>
      <w:r>
        <w:rPr>
          <w:rFonts w:hint="eastAsia" w:ascii="宋体" w:hAnsi="宋体" w:cs="宋体"/>
          <w:color w:val="auto"/>
        </w:rPr>
        <w:fldChar w:fldCharType="end"/>
      </w:r>
    </w:p>
    <w:p w14:paraId="75D3177B">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"_Toc19329" </w:instrText>
      </w:r>
      <w:r>
        <w:rPr>
          <w:color w:val="auto"/>
        </w:rPr>
        <w:fldChar w:fldCharType="separate"/>
      </w:r>
      <w:r>
        <w:rPr>
          <w:rFonts w:hint="eastAsia" w:ascii="宋体" w:hAnsi="宋体" w:cs="宋体"/>
          <w:color w:val="auto"/>
        </w:rPr>
        <w:t>在经营活动中没有重大违法记录的书面声明</w:t>
      </w:r>
      <w:r>
        <w:rPr>
          <w:rFonts w:hint="eastAsia" w:ascii="宋体" w:hAnsi="宋体" w:cs="宋体"/>
          <w:color w:val="auto"/>
        </w:rPr>
        <w:fldChar w:fldCharType="end"/>
      </w:r>
    </w:p>
    <w:p w14:paraId="36251160">
      <w:pPr>
        <w:ind w:firstLine="420"/>
        <w:rPr>
          <w:rFonts w:hint="eastAsia" w:ascii="宋体" w:hAnsi="宋体" w:cs="宋体"/>
          <w:color w:val="auto"/>
          <w:lang w:val="en-US" w:eastAsia="zh-CN"/>
        </w:rPr>
      </w:pPr>
      <w:r>
        <w:rPr>
          <w:rFonts w:hint="eastAsia" w:ascii="宋体" w:hAnsi="宋体" w:cs="宋体"/>
          <w:color w:val="auto"/>
          <w:lang w:val="en-US" w:eastAsia="zh-CN"/>
        </w:rPr>
        <w:t>未被列入“信用中国”记录失信被执行人或重大税收违法失信主体或政府采购严重违法失信行为记录名单的证明资料</w:t>
      </w:r>
    </w:p>
    <w:p w14:paraId="1127EC46">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"_Toc4049" </w:instrText>
      </w:r>
      <w:r>
        <w:rPr>
          <w:color w:val="auto"/>
        </w:rPr>
        <w:fldChar w:fldCharType="separate"/>
      </w:r>
      <w:r>
        <w:rPr>
          <w:rFonts w:hint="eastAsia" w:ascii="宋体" w:hAnsi="宋体" w:cs="宋体"/>
          <w:color w:val="auto"/>
        </w:rPr>
        <w:t>承诺书</w:t>
      </w:r>
      <w:r>
        <w:rPr>
          <w:rFonts w:hint="eastAsia" w:ascii="宋体" w:hAnsi="宋体" w:cs="宋体"/>
          <w:color w:val="auto"/>
        </w:rPr>
        <w:fldChar w:fldCharType="end"/>
      </w:r>
    </w:p>
    <w:p w14:paraId="361E5A17">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"_Toc31380" </w:instrText>
      </w:r>
      <w:r>
        <w:rPr>
          <w:color w:val="auto"/>
        </w:rPr>
        <w:fldChar w:fldCharType="separate"/>
      </w:r>
      <w:r>
        <w:rPr>
          <w:rFonts w:hint="eastAsia" w:ascii="宋体" w:hAnsi="宋体" w:cs="宋体"/>
          <w:color w:val="auto"/>
        </w:rPr>
        <w:t>商务需求条款偏离表</w:t>
      </w:r>
      <w:r>
        <w:rPr>
          <w:rFonts w:hint="eastAsia" w:ascii="宋体" w:hAnsi="宋体" w:cs="宋体"/>
          <w:color w:val="auto"/>
        </w:rPr>
        <w:fldChar w:fldCharType="end"/>
      </w:r>
    </w:p>
    <w:p w14:paraId="4940F3C3">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"_Toc30050" </w:instrText>
      </w:r>
      <w:r>
        <w:rPr>
          <w:color w:val="auto"/>
        </w:rPr>
        <w:fldChar w:fldCharType="separate"/>
      </w:r>
      <w:r>
        <w:rPr>
          <w:rFonts w:hint="eastAsia" w:ascii="宋体" w:hAnsi="宋体" w:cs="宋体"/>
          <w:color w:val="auto"/>
        </w:rPr>
        <w:t>业绩表</w:t>
      </w:r>
      <w:r>
        <w:rPr>
          <w:rFonts w:hint="eastAsia" w:ascii="宋体" w:hAnsi="宋体" w:cs="宋体"/>
          <w:color w:val="auto"/>
        </w:rPr>
        <w:fldChar w:fldCharType="end"/>
      </w:r>
      <w:r>
        <w:rPr>
          <w:rFonts w:hint="eastAsia" w:ascii="宋体" w:hAnsi="宋体" w:cs="宋体"/>
          <w:color w:val="auto"/>
        </w:rPr>
        <w:t>（包括合同复印件、并网证明、验收证明）</w:t>
      </w:r>
    </w:p>
    <w:p w14:paraId="74C00861">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"_Toc27938" </w:instrText>
      </w:r>
      <w:r>
        <w:rPr>
          <w:color w:val="auto"/>
        </w:rPr>
        <w:fldChar w:fldCharType="separate"/>
      </w:r>
      <w:r>
        <w:rPr>
          <w:rFonts w:hint="eastAsia" w:ascii="宋体" w:hAnsi="宋体" w:cs="宋体"/>
          <w:color w:val="auto"/>
        </w:rPr>
        <w:t>联合体协议书（如有）</w:t>
      </w:r>
      <w:r>
        <w:rPr>
          <w:rFonts w:hint="eastAsia" w:ascii="宋体" w:hAnsi="宋体" w:cs="宋体"/>
          <w:color w:val="auto"/>
        </w:rPr>
        <w:fldChar w:fldCharType="end"/>
      </w:r>
    </w:p>
    <w:p w14:paraId="416C0B08">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体系认证资料</w:t>
      </w:r>
    </w:p>
    <w:p w14:paraId="4D3473E1">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财务资料</w:t>
      </w:r>
    </w:p>
    <w:p w14:paraId="1770B582">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"_Toc32156" </w:instrText>
      </w:r>
      <w:r>
        <w:rPr>
          <w:color w:val="auto"/>
        </w:rPr>
        <w:fldChar w:fldCharType="separate"/>
      </w:r>
      <w:r>
        <w:rPr>
          <w:rFonts w:hint="eastAsia" w:ascii="宋体" w:hAnsi="宋体" w:cs="宋体"/>
          <w:color w:val="auto"/>
        </w:rPr>
        <w:t>实施本项目的有关人员资料表</w:t>
      </w:r>
      <w:r>
        <w:rPr>
          <w:rFonts w:hint="eastAsia" w:ascii="宋体" w:hAnsi="宋体" w:cs="宋体"/>
          <w:color w:val="auto"/>
        </w:rPr>
        <w:fldChar w:fldCharType="end"/>
      </w:r>
      <w:r>
        <w:rPr>
          <w:rFonts w:hint="eastAsia" w:ascii="宋体" w:hAnsi="宋体" w:cs="宋体"/>
          <w:color w:val="auto"/>
        </w:rPr>
        <w:t>（包括相关人员相关证书资料）</w:t>
      </w:r>
    </w:p>
    <w:p w14:paraId="58557992">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有关人员近期的社保缴纳情况</w:t>
      </w:r>
    </w:p>
    <w:p w14:paraId="7364BD84">
      <w:pPr>
        <w:pStyle w:val="14"/>
        <w:tabs>
          <w:tab w:val="right" w:leader="dot" w:pos="8306"/>
          <w:tab w:val="clear" w:pos="8296"/>
        </w:tabs>
        <w:ind w:left="0" w:leftChars="0" w:firstLine="179"/>
        <w:rPr>
          <w:rFonts w:hint="eastAsia" w:ascii="宋体" w:hAnsi="宋体" w:cs="宋体"/>
          <w:b/>
          <w:bCs/>
          <w:color w:val="auto"/>
          <w:sz w:val="24"/>
          <w:szCs w:val="24"/>
        </w:rPr>
      </w:pPr>
      <w:r>
        <w:rPr>
          <w:color w:val="auto"/>
        </w:rPr>
        <w:fldChar w:fldCharType="begin"/>
      </w:r>
      <w:r>
        <w:rPr>
          <w:color w:val="auto"/>
        </w:rPr>
        <w:instrText xml:space="preserve"> HYPERLINK \l "_Toc16663" </w:instrText>
      </w:r>
      <w:r>
        <w:rPr>
          <w:color w:val="auto"/>
        </w:rPr>
        <w:fldChar w:fldCharType="separate"/>
      </w:r>
      <w:r>
        <w:rPr>
          <w:rFonts w:hint="eastAsia" w:ascii="宋体" w:hAnsi="宋体" w:cs="宋体"/>
          <w:b/>
          <w:bCs/>
          <w:color w:val="auto"/>
          <w:sz w:val="24"/>
          <w:szCs w:val="24"/>
        </w:rPr>
        <w:t>技术文件</w:t>
      </w:r>
      <w:r>
        <w:rPr>
          <w:rFonts w:hint="eastAsia" w:ascii="宋体" w:hAnsi="宋体" w:cs="宋体"/>
          <w:b/>
          <w:bCs/>
          <w:color w:val="auto"/>
          <w:sz w:val="24"/>
          <w:szCs w:val="24"/>
        </w:rPr>
        <w:fldChar w:fldCharType="end"/>
      </w:r>
    </w:p>
    <w:p w14:paraId="2C59AEA8">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技术</w:t>
      </w:r>
      <w:r>
        <w:rPr>
          <w:rFonts w:hint="eastAsia" w:ascii="宋体" w:hAnsi="宋体" w:cs="宋体"/>
          <w:color w:val="auto"/>
        </w:rPr>
        <w:fldChar w:fldCharType="begin"/>
      </w:r>
      <w:r>
        <w:rPr>
          <w:rFonts w:hint="eastAsia" w:ascii="宋体" w:hAnsi="宋体" w:cs="宋体"/>
          <w:color w:val="auto"/>
        </w:rPr>
        <w:instrText xml:space="preserve"> HYPERLINK \l _Toc3044 </w:instrText>
      </w:r>
      <w:r>
        <w:rPr>
          <w:rFonts w:hint="eastAsia" w:ascii="宋体" w:hAnsi="宋体" w:cs="宋体"/>
          <w:color w:val="auto"/>
        </w:rPr>
        <w:fldChar w:fldCharType="separate"/>
      </w:r>
      <w:r>
        <w:rPr>
          <w:rFonts w:hint="eastAsia" w:ascii="宋体" w:hAnsi="宋体" w:cs="宋体"/>
          <w:color w:val="auto"/>
        </w:rPr>
        <w:t>评分标准索引表</w:t>
      </w:r>
      <w:r>
        <w:rPr>
          <w:rFonts w:hint="eastAsia" w:ascii="宋体" w:hAnsi="宋体" w:cs="宋体"/>
          <w:color w:val="auto"/>
        </w:rPr>
        <w:fldChar w:fldCharType="end"/>
      </w:r>
    </w:p>
    <w:p w14:paraId="52D56580">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"_Toc30859" </w:instrText>
      </w:r>
      <w:r>
        <w:rPr>
          <w:color w:val="auto"/>
        </w:rPr>
        <w:fldChar w:fldCharType="separate"/>
      </w:r>
      <w:r>
        <w:rPr>
          <w:rFonts w:hint="eastAsia" w:ascii="宋体" w:hAnsi="宋体" w:cs="宋体"/>
          <w:color w:val="auto"/>
        </w:rPr>
        <w:t>技术规格偏离表</w:t>
      </w:r>
      <w:r>
        <w:rPr>
          <w:rFonts w:hint="eastAsia" w:ascii="宋体" w:hAnsi="宋体" w:cs="宋体"/>
          <w:color w:val="auto"/>
        </w:rPr>
        <w:fldChar w:fldCharType="end"/>
      </w:r>
    </w:p>
    <w:p w14:paraId="527BE3AB">
      <w:pPr>
        <w:pStyle w:val="14"/>
        <w:tabs>
          <w:tab w:val="right" w:leader="dot" w:pos="8306"/>
          <w:tab w:val="clear" w:pos="8296"/>
        </w:tabs>
        <w:ind w:left="0" w:leftChars="0" w:firstLine="420" w:firstLineChars="200"/>
        <w:rPr>
          <w:rFonts w:hint="eastAsia" w:ascii="宋体" w:hAnsi="宋体" w:cs="宋体"/>
          <w:color w:val="auto"/>
        </w:rPr>
      </w:pPr>
      <w:r>
        <w:rPr>
          <w:color w:val="auto"/>
        </w:rPr>
        <w:fldChar w:fldCharType="begin"/>
      </w:r>
      <w:r>
        <w:rPr>
          <w:color w:val="auto"/>
        </w:rPr>
        <w:instrText xml:space="preserve"> HYPERLINK \l "_Toc18790" </w:instrText>
      </w:r>
      <w:r>
        <w:rPr>
          <w:color w:val="auto"/>
        </w:rPr>
        <w:fldChar w:fldCharType="separate"/>
      </w:r>
      <w:r>
        <w:rPr>
          <w:rFonts w:hint="eastAsia" w:ascii="宋体" w:hAnsi="宋体" w:cs="宋体"/>
          <w:color w:val="auto"/>
        </w:rPr>
        <w:t>项目实施方案</w:t>
      </w:r>
      <w:r>
        <w:rPr>
          <w:rFonts w:hint="eastAsia" w:ascii="宋体" w:hAnsi="宋体" w:cs="宋体"/>
          <w:color w:val="auto"/>
        </w:rPr>
        <w:fldChar w:fldCharType="end"/>
      </w:r>
      <w:r>
        <w:rPr>
          <w:rFonts w:hint="eastAsia" w:ascii="宋体" w:hAnsi="宋体" w:cs="宋体"/>
          <w:color w:val="auto"/>
        </w:rPr>
        <w:t>（包括项目实施方案、质量保证措施方案、售后服务方案、所投产品性能资料等）</w:t>
      </w:r>
    </w:p>
    <w:p w14:paraId="69855BCA">
      <w:pPr>
        <w:pStyle w:val="14"/>
        <w:tabs>
          <w:tab w:val="right" w:leader="dot" w:pos="8306"/>
          <w:tab w:val="clear" w:pos="8296"/>
        </w:tabs>
        <w:ind w:left="0" w:leftChars="0" w:firstLine="210" w:firstLineChars="100"/>
        <w:rPr>
          <w:rFonts w:hint="eastAsia" w:ascii="宋体" w:hAnsi="宋体" w:cs="宋体"/>
          <w:b/>
          <w:bCs/>
          <w:color w:val="auto"/>
          <w:sz w:val="24"/>
          <w:szCs w:val="24"/>
        </w:rPr>
      </w:pPr>
      <w:r>
        <w:rPr>
          <w:color w:val="auto"/>
        </w:rPr>
        <w:fldChar w:fldCharType="begin"/>
      </w:r>
      <w:r>
        <w:rPr>
          <w:color w:val="auto"/>
        </w:rPr>
        <w:instrText xml:space="preserve"> HYPERLINK \l "_Toc13443" </w:instrText>
      </w:r>
      <w:r>
        <w:rPr>
          <w:color w:val="auto"/>
        </w:rPr>
        <w:fldChar w:fldCharType="separate"/>
      </w:r>
      <w:r>
        <w:rPr>
          <w:rFonts w:hint="eastAsia" w:ascii="宋体" w:hAnsi="宋体" w:cs="宋体"/>
          <w:b/>
          <w:bCs/>
          <w:color w:val="auto"/>
          <w:sz w:val="24"/>
          <w:szCs w:val="24"/>
        </w:rPr>
        <w:t>唱标信封</w:t>
      </w:r>
      <w:r>
        <w:rPr>
          <w:rFonts w:hint="eastAsia" w:ascii="宋体" w:hAnsi="宋体" w:cs="宋体"/>
          <w:b/>
          <w:bCs/>
          <w:color w:val="auto"/>
          <w:sz w:val="24"/>
          <w:szCs w:val="24"/>
        </w:rPr>
        <w:fldChar w:fldCharType="end"/>
      </w:r>
    </w:p>
    <w:p w14:paraId="24551E73">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开标一览表</w:t>
      </w:r>
    </w:p>
    <w:p w14:paraId="0F0EA5B4">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法定代表人证明书</w:t>
      </w:r>
    </w:p>
    <w:p w14:paraId="21E77F2D">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法定代表人授权委托书加盖公章</w:t>
      </w:r>
    </w:p>
    <w:p w14:paraId="5528F86D">
      <w:pPr>
        <w:pStyle w:val="14"/>
        <w:tabs>
          <w:tab w:val="right" w:leader="dot" w:pos="8306"/>
          <w:tab w:val="clear" w:pos="8296"/>
        </w:tabs>
        <w:ind w:left="0" w:leftChars="0" w:firstLine="420" w:firstLineChars="200"/>
        <w:rPr>
          <w:rFonts w:hint="eastAsia" w:ascii="宋体" w:hAnsi="宋体" w:cs="宋体"/>
          <w:color w:val="auto"/>
        </w:rPr>
      </w:pPr>
      <w:r>
        <w:rPr>
          <w:rFonts w:hint="eastAsia" w:ascii="宋体" w:hAnsi="宋体" w:cs="宋体"/>
          <w:color w:val="auto"/>
        </w:rPr>
        <w:t>投标保证金汇入情况说明（含银行汇款凭证）</w:t>
      </w:r>
    </w:p>
    <w:p w14:paraId="733AF5D3">
      <w:pPr>
        <w:pStyle w:val="14"/>
        <w:tabs>
          <w:tab w:val="right" w:leader="dot" w:pos="8306"/>
          <w:tab w:val="clear" w:pos="8296"/>
        </w:tabs>
        <w:ind w:left="0" w:leftChars="0" w:firstLine="420" w:firstLineChars="200"/>
        <w:rPr>
          <w:rFonts w:ascii="宋体" w:hAnsi="宋体"/>
          <w:color w:val="auto"/>
          <w:szCs w:val="21"/>
          <w:highlight w:val="none"/>
        </w:rPr>
      </w:pPr>
      <w:r>
        <w:rPr>
          <w:rFonts w:hint="eastAsia" w:ascii="宋体" w:hAnsi="宋体" w:cs="宋体"/>
          <w:color w:val="auto"/>
        </w:rPr>
        <w:t>投标文件电子文件（U盘）</w:t>
      </w:r>
    </w:p>
    <w:p w14:paraId="49A02DEF">
      <w:pPr>
        <w:shd w:val="clear"/>
        <w:adjustRightInd/>
        <w:snapToGrid/>
        <w:spacing w:line="240" w:lineRule="auto"/>
        <w:rPr>
          <w:rFonts w:ascii="宋体" w:hAnsi="宋体"/>
          <w:color w:val="auto"/>
          <w:szCs w:val="21"/>
          <w:highlight w:val="none"/>
        </w:rPr>
      </w:pPr>
      <w:r>
        <w:rPr>
          <w:rFonts w:hint="eastAsia" w:ascii="宋体" w:hAnsi="宋体"/>
          <w:color w:val="auto"/>
          <w:szCs w:val="21"/>
          <w:highlight w:val="none"/>
        </w:rPr>
        <w:t>注：</w:t>
      </w:r>
    </w:p>
    <w:p w14:paraId="7166FD6E">
      <w:pPr>
        <w:shd w:val="clear"/>
        <w:adjustRightInd/>
        <w:snapToGrid/>
        <w:spacing w:line="240"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14:paraId="08C8E57A">
      <w:pPr>
        <w:shd w:val="clear"/>
        <w:adjustRightInd/>
        <w:snapToGrid/>
        <w:spacing w:line="276" w:lineRule="auto"/>
        <w:rPr>
          <w:rFonts w:ascii="宋体" w:hAnsi="宋体"/>
          <w:color w:val="auto"/>
          <w:szCs w:val="21"/>
          <w:highlight w:val="none"/>
        </w:rPr>
      </w:pPr>
    </w:p>
    <w:p w14:paraId="37E7A84D">
      <w:pPr>
        <w:shd w:val="clear"/>
        <w:jc w:val="center"/>
        <w:rPr>
          <w:rFonts w:ascii="黑体" w:eastAsia="黑体"/>
          <w:color w:val="auto"/>
          <w:sz w:val="52"/>
          <w:szCs w:val="52"/>
          <w:highlight w:val="none"/>
        </w:rPr>
      </w:pPr>
      <w:bookmarkStart w:id="112" w:name="_Toc18450"/>
      <w:bookmarkStart w:id="113" w:name="_Toc30918"/>
      <w:bookmarkStart w:id="114" w:name="_Toc28154"/>
      <w:bookmarkStart w:id="115" w:name="_Toc21746"/>
      <w:bookmarkStart w:id="116" w:name="_Toc20335"/>
    </w:p>
    <w:p w14:paraId="3A83D5F0">
      <w:pPr>
        <w:pStyle w:val="6"/>
        <w:shd w:val="clear"/>
        <w:spacing w:before="0" w:after="0" w:line="360" w:lineRule="auto"/>
        <w:jc w:val="center"/>
        <w:rPr>
          <w:color w:val="auto"/>
          <w:sz w:val="72"/>
          <w:szCs w:val="72"/>
          <w:highlight w:val="none"/>
        </w:rPr>
      </w:pPr>
      <w:bookmarkStart w:id="117" w:name="_Toc16031"/>
      <w:r>
        <w:rPr>
          <w:rFonts w:hint="eastAsia"/>
          <w:color w:val="auto"/>
          <w:sz w:val="72"/>
          <w:szCs w:val="72"/>
          <w:highlight w:val="none"/>
        </w:rPr>
        <w:t>价格文件</w:t>
      </w:r>
      <w:bookmarkEnd w:id="112"/>
      <w:bookmarkEnd w:id="113"/>
      <w:bookmarkEnd w:id="117"/>
      <w:bookmarkStart w:id="118" w:name="_Hlt10519799"/>
      <w:bookmarkEnd w:id="118"/>
      <w:bookmarkStart w:id="119" w:name="_Hlt10456397"/>
      <w:bookmarkEnd w:id="119"/>
    </w:p>
    <w:p w14:paraId="691C4572">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14"/>
      <w:bookmarkEnd w:id="115"/>
      <w:bookmarkEnd w:id="116"/>
    </w:p>
    <w:p w14:paraId="5BAE89C1">
      <w:pPr>
        <w:shd w:val="clear"/>
        <w:rPr>
          <w:color w:val="auto"/>
          <w:highlight w:val="none"/>
        </w:rPr>
      </w:pPr>
    </w:p>
    <w:p w14:paraId="34331B2A">
      <w:pPr>
        <w:pStyle w:val="12"/>
        <w:shd w:val="clear"/>
        <w:rPr>
          <w:color w:val="auto"/>
          <w:highlight w:val="none"/>
        </w:rPr>
      </w:pPr>
    </w:p>
    <w:p w14:paraId="54BC77CF">
      <w:pPr>
        <w:shd w:val="clear"/>
        <w:ind w:firstLine="240"/>
        <w:rPr>
          <w:color w:val="auto"/>
          <w:highlight w:val="none"/>
        </w:rPr>
      </w:pPr>
    </w:p>
    <w:p w14:paraId="5B920A11">
      <w:pPr>
        <w:shd w:val="clear"/>
        <w:rPr>
          <w:rFonts w:hint="eastAsia" w:ascii="宋体" w:hAnsi="宋体" w:cs="宋体"/>
          <w:b/>
          <w:bCs/>
          <w:color w:val="auto"/>
          <w:spacing w:val="106"/>
          <w:kern w:val="0"/>
          <w:sz w:val="32"/>
          <w:szCs w:val="32"/>
          <w:highlight w:val="none"/>
          <w:fitText w:val="1600" w:id="0"/>
        </w:rPr>
      </w:pPr>
      <w:r>
        <w:rPr>
          <w:rFonts w:hint="eastAsia" w:ascii="宋体" w:hAnsi="宋体" w:cs="宋体"/>
          <w:b/>
          <w:bCs/>
          <w:color w:val="auto"/>
          <w:spacing w:val="0"/>
          <w:kern w:val="0"/>
          <w:sz w:val="32"/>
          <w:szCs w:val="32"/>
          <w:highlight w:val="none"/>
          <w:fitText w:val="1600" w:id="1210253353"/>
        </w:rPr>
        <w:t>项目名称：</w:t>
      </w:r>
    </w:p>
    <w:p w14:paraId="6E3846AF">
      <w:pPr>
        <w:shd w:val="clear"/>
        <w:rPr>
          <w:rFonts w:hint="eastAsia" w:ascii="宋体" w:hAnsi="宋体" w:cs="宋体"/>
          <w:b/>
          <w:bCs/>
          <w:color w:val="auto"/>
          <w:spacing w:val="106"/>
          <w:kern w:val="0"/>
          <w:sz w:val="32"/>
          <w:szCs w:val="32"/>
          <w:highlight w:val="none"/>
          <w:fitText w:val="1600" w:id="1"/>
        </w:rPr>
      </w:pPr>
      <w:r>
        <w:rPr>
          <w:rFonts w:hint="eastAsia" w:ascii="宋体" w:hAnsi="宋体" w:cs="宋体"/>
          <w:b/>
          <w:bCs/>
          <w:color w:val="auto"/>
          <w:spacing w:val="0"/>
          <w:kern w:val="0"/>
          <w:sz w:val="32"/>
          <w:szCs w:val="32"/>
          <w:highlight w:val="none"/>
          <w:fitText w:val="1600" w:id="1"/>
        </w:rPr>
        <w:t>项目编号：</w:t>
      </w:r>
    </w:p>
    <w:p w14:paraId="72014E00">
      <w:pPr>
        <w:shd w:val="clear"/>
        <w:rPr>
          <w:rFonts w:hint="eastAsia" w:ascii="宋体" w:hAnsi="宋体" w:cs="宋体"/>
          <w:b/>
          <w:bCs/>
          <w:color w:val="auto"/>
          <w:spacing w:val="106"/>
          <w:kern w:val="0"/>
          <w:sz w:val="32"/>
          <w:szCs w:val="32"/>
          <w:highlight w:val="none"/>
          <w:fitText w:val="1600" w:id="2"/>
        </w:rPr>
      </w:pPr>
      <w:r>
        <w:rPr>
          <w:rFonts w:hint="eastAsia" w:ascii="宋体" w:hAnsi="宋体" w:cs="宋体"/>
          <w:b/>
          <w:bCs/>
          <w:color w:val="auto"/>
          <w:spacing w:val="1"/>
          <w:w w:val="62"/>
          <w:kern w:val="0"/>
          <w:sz w:val="32"/>
          <w:szCs w:val="32"/>
          <w:highlight w:val="none"/>
          <w:fitText w:val="1600" w:id="2"/>
        </w:rPr>
        <w:t>包组号（如有）</w:t>
      </w:r>
      <w:r>
        <w:rPr>
          <w:rFonts w:hint="eastAsia" w:ascii="宋体" w:hAnsi="宋体" w:cs="宋体"/>
          <w:b/>
          <w:bCs/>
          <w:color w:val="auto"/>
          <w:spacing w:val="4"/>
          <w:w w:val="62"/>
          <w:kern w:val="0"/>
          <w:sz w:val="32"/>
          <w:szCs w:val="32"/>
          <w:highlight w:val="none"/>
          <w:fitText w:val="1600" w:id="2"/>
        </w:rPr>
        <w:t>：</w:t>
      </w:r>
    </w:p>
    <w:p w14:paraId="3475E60F">
      <w:pPr>
        <w:shd w:val="clear"/>
        <w:rPr>
          <w:rFonts w:hint="eastAsia" w:ascii="宋体" w:hAnsi="宋体" w:cs="宋体"/>
          <w:b/>
          <w:bCs/>
          <w:color w:val="auto"/>
          <w:spacing w:val="106"/>
          <w:kern w:val="0"/>
          <w:sz w:val="32"/>
          <w:szCs w:val="32"/>
          <w:highlight w:val="none"/>
          <w:fitText w:val="1600" w:id="3"/>
        </w:rPr>
      </w:pPr>
      <w:r>
        <w:rPr>
          <w:rFonts w:hint="eastAsia" w:ascii="宋体" w:hAnsi="宋体" w:cs="宋体"/>
          <w:b/>
          <w:bCs/>
          <w:color w:val="auto"/>
          <w:spacing w:val="0"/>
          <w:w w:val="83"/>
          <w:kern w:val="0"/>
          <w:sz w:val="32"/>
          <w:szCs w:val="32"/>
          <w:highlight w:val="none"/>
          <w:fitText w:val="1600" w:id="3"/>
        </w:rPr>
        <w:t>投标人名称：</w:t>
      </w:r>
    </w:p>
    <w:p w14:paraId="7664859A">
      <w:pPr>
        <w:shd w:val="clear"/>
        <w:rPr>
          <w:rFonts w:hint="eastAsia" w:ascii="宋体" w:hAnsi="宋体" w:cs="宋体"/>
          <w:b/>
          <w:bCs/>
          <w:color w:val="auto"/>
          <w:spacing w:val="106"/>
          <w:kern w:val="0"/>
          <w:sz w:val="32"/>
          <w:szCs w:val="32"/>
          <w:highlight w:val="none"/>
          <w:fitText w:val="1600" w:id="4"/>
        </w:rPr>
      </w:pPr>
      <w:r>
        <w:rPr>
          <w:rFonts w:hint="eastAsia" w:ascii="宋体" w:hAnsi="宋体" w:cs="宋体"/>
          <w:b/>
          <w:bCs/>
          <w:color w:val="auto"/>
          <w:spacing w:val="0"/>
          <w:kern w:val="0"/>
          <w:sz w:val="32"/>
          <w:szCs w:val="32"/>
          <w:highlight w:val="none"/>
          <w:fitText w:val="1600" w:id="4"/>
        </w:rPr>
        <w:t>日    期：</w:t>
      </w:r>
    </w:p>
    <w:p w14:paraId="15D2E621">
      <w:pPr>
        <w:shd w:val="clear"/>
        <w:rPr>
          <w:color w:val="auto"/>
          <w:highlight w:val="none"/>
        </w:rPr>
      </w:pPr>
    </w:p>
    <w:p w14:paraId="3ADFA314">
      <w:pPr>
        <w:pStyle w:val="12"/>
        <w:shd w:val="clear"/>
        <w:rPr>
          <w:color w:val="auto"/>
          <w:highlight w:val="none"/>
        </w:rPr>
      </w:pPr>
    </w:p>
    <w:p w14:paraId="65E51545">
      <w:pPr>
        <w:shd w:val="clear"/>
        <w:ind w:firstLine="240"/>
        <w:rPr>
          <w:color w:val="auto"/>
          <w:highlight w:val="none"/>
        </w:rPr>
      </w:pPr>
    </w:p>
    <w:p w14:paraId="04D5F74D">
      <w:pPr>
        <w:pStyle w:val="23"/>
        <w:shd w:val="clear"/>
        <w:rPr>
          <w:color w:val="auto"/>
          <w:highlight w:val="none"/>
        </w:rPr>
      </w:pPr>
    </w:p>
    <w:p w14:paraId="61A4E250">
      <w:pPr>
        <w:shd w:val="clear"/>
        <w:rPr>
          <w:color w:val="auto"/>
          <w:highlight w:val="none"/>
        </w:rPr>
      </w:pPr>
    </w:p>
    <w:p w14:paraId="04C25B89">
      <w:pPr>
        <w:pStyle w:val="12"/>
        <w:shd w:val="clear"/>
        <w:rPr>
          <w:color w:val="auto"/>
          <w:highlight w:val="none"/>
        </w:rPr>
      </w:pPr>
    </w:p>
    <w:p w14:paraId="30ADD2A4">
      <w:pPr>
        <w:shd w:val="clear"/>
        <w:ind w:firstLine="240"/>
        <w:rPr>
          <w:color w:val="auto"/>
          <w:highlight w:val="none"/>
        </w:rPr>
      </w:pPr>
    </w:p>
    <w:p w14:paraId="56B9F3A1">
      <w:pPr>
        <w:pStyle w:val="23"/>
        <w:shd w:val="clear"/>
        <w:rPr>
          <w:color w:val="auto"/>
          <w:highlight w:val="none"/>
        </w:rPr>
      </w:pPr>
    </w:p>
    <w:p w14:paraId="10A93AED">
      <w:pPr>
        <w:pStyle w:val="23"/>
        <w:shd w:val="clear"/>
        <w:ind w:left="0"/>
        <w:rPr>
          <w:color w:val="auto"/>
          <w:highlight w:val="none"/>
        </w:rPr>
      </w:pPr>
    </w:p>
    <w:p w14:paraId="7BD24553">
      <w:pPr>
        <w:shd w:val="clear"/>
        <w:rPr>
          <w:rFonts w:ascii="宋体" w:hAnsi="宋体"/>
          <w:color w:val="auto"/>
          <w:szCs w:val="21"/>
          <w:highlight w:val="none"/>
        </w:rPr>
      </w:pPr>
      <w:r>
        <w:rPr>
          <w:rFonts w:hint="eastAsia" w:ascii="宋体" w:hAnsi="宋体"/>
          <w:color w:val="auto"/>
          <w:szCs w:val="21"/>
          <w:highlight w:val="none"/>
        </w:rPr>
        <w:br w:type="page"/>
      </w:r>
    </w:p>
    <w:p w14:paraId="6242344A">
      <w:pPr>
        <w:pStyle w:val="8"/>
        <w:widowControl w:val="0"/>
        <w:shd w:val="clear"/>
        <w:overflowPunct w:val="0"/>
        <w:spacing w:line="240" w:lineRule="auto"/>
        <w:rPr>
          <w:rFonts w:ascii="宋体" w:hAnsi="宋体"/>
          <w:color w:val="auto"/>
          <w:sz w:val="21"/>
          <w:szCs w:val="21"/>
          <w:highlight w:val="none"/>
        </w:rPr>
      </w:pPr>
      <w:bookmarkStart w:id="120" w:name="_Toc6643"/>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.开标一览表格式</w:t>
      </w:r>
      <w:bookmarkEnd w:id="120"/>
    </w:p>
    <w:p w14:paraId="40FEBC3A">
      <w:pPr>
        <w:jc w:val="center"/>
        <w:rPr>
          <w:rFonts w:hint="eastAsia" w:ascii="黑体" w:eastAsia="黑体"/>
          <w:color w:val="auto"/>
          <w:sz w:val="32"/>
          <w:szCs w:val="32"/>
          <w:highlight w:val="none"/>
        </w:rPr>
      </w:pPr>
    </w:p>
    <w:p w14:paraId="2A12C805">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1D76D78A">
      <w:pPr>
        <w:rPr>
          <w:color w:val="auto"/>
          <w:highlight w:val="none"/>
        </w:rPr>
      </w:pPr>
    </w:p>
    <w:p w14:paraId="1ABFC303">
      <w:pPr>
        <w:rPr>
          <w:rFonts w:ascii="宋体" w:hAnsi="宋体"/>
          <w:color w:val="auto"/>
          <w:szCs w:val="21"/>
          <w:highlight w:val="none"/>
        </w:rPr>
      </w:pPr>
      <w:r>
        <w:rPr>
          <w:rFonts w:hint="eastAsia" w:ascii="宋体" w:hAnsi="宋体"/>
          <w:color w:val="auto"/>
          <w:szCs w:val="21"/>
          <w:highlight w:val="none"/>
          <w:lang w:val="en-US" w:eastAsia="zh-CN"/>
        </w:rPr>
        <w:t>项目</w:t>
      </w:r>
      <w:r>
        <w:rPr>
          <w:rFonts w:hint="eastAsia" w:ascii="宋体" w:hAnsi="宋体"/>
          <w:color w:val="auto"/>
          <w:szCs w:val="21"/>
          <w:highlight w:val="none"/>
        </w:rPr>
        <w:t>名称：</w:t>
      </w:r>
    </w:p>
    <w:p w14:paraId="19F69629">
      <w:pPr>
        <w:rPr>
          <w:color w:val="auto"/>
          <w:highlight w:val="none"/>
        </w:rPr>
      </w:pPr>
      <w:r>
        <w:rPr>
          <w:rFonts w:hint="eastAsia" w:ascii="宋体" w:hAnsi="宋体"/>
          <w:color w:val="auto"/>
          <w:szCs w:val="21"/>
          <w:highlight w:val="none"/>
        </w:rPr>
        <w:t>采购项目编号：</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3"/>
        <w:gridCol w:w="2327"/>
        <w:gridCol w:w="1679"/>
        <w:gridCol w:w="2500"/>
      </w:tblGrid>
      <w:tr w14:paraId="3BCFA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81" w:type="pct"/>
            <w:vAlign w:val="center"/>
          </w:tcPr>
          <w:p w14:paraId="20A826B9">
            <w:pPr>
              <w:spacing w:line="240" w:lineRule="auto"/>
              <w:jc w:val="center"/>
              <w:rPr>
                <w:rFonts w:hint="eastAsia" w:ascii="宋体" w:hAnsi="宋体" w:cs="宋体"/>
                <w:color w:val="auto"/>
                <w:kern w:val="28"/>
                <w:szCs w:val="21"/>
                <w:highlight w:val="none"/>
              </w:rPr>
            </w:pPr>
            <w:r>
              <w:rPr>
                <w:rFonts w:hint="eastAsia" w:ascii="宋体" w:hAnsi="宋体"/>
                <w:color w:val="auto"/>
                <w:szCs w:val="21"/>
                <w:highlight w:val="none"/>
              </w:rPr>
              <w:t>项目名称</w:t>
            </w:r>
          </w:p>
        </w:tc>
        <w:tc>
          <w:tcPr>
            <w:tcW w:w="1365" w:type="pct"/>
            <w:vAlign w:val="center"/>
          </w:tcPr>
          <w:p w14:paraId="7F67D8F7">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投标下浮率（%）</w:t>
            </w:r>
          </w:p>
        </w:tc>
        <w:tc>
          <w:tcPr>
            <w:tcW w:w="985" w:type="pct"/>
            <w:vAlign w:val="center"/>
          </w:tcPr>
          <w:p w14:paraId="3E052396">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增值税税率</w:t>
            </w:r>
          </w:p>
        </w:tc>
        <w:tc>
          <w:tcPr>
            <w:tcW w:w="1467" w:type="pct"/>
            <w:vAlign w:val="center"/>
          </w:tcPr>
          <w:p w14:paraId="1FD9E97F">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4F519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181" w:type="pct"/>
            <w:vAlign w:val="center"/>
          </w:tcPr>
          <w:p w14:paraId="6D989395">
            <w:pPr>
              <w:spacing w:line="240" w:lineRule="auto"/>
              <w:jc w:val="center"/>
              <w:rPr>
                <w:rFonts w:hint="eastAsia" w:ascii="宋体" w:hAnsi="宋体" w:cs="宋体"/>
                <w:color w:val="auto"/>
                <w:szCs w:val="21"/>
                <w:highlight w:val="none"/>
              </w:rPr>
            </w:pPr>
          </w:p>
        </w:tc>
        <w:tc>
          <w:tcPr>
            <w:tcW w:w="1365" w:type="pct"/>
            <w:vAlign w:val="center"/>
          </w:tcPr>
          <w:p w14:paraId="0D5949E1">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小写：</w:t>
            </w:r>
          </w:p>
          <w:p w14:paraId="068CF20D">
            <w:pPr>
              <w:spacing w:line="240" w:lineRule="auto"/>
              <w:jc w:val="center"/>
              <w:rPr>
                <w:rFonts w:hint="eastAsia" w:ascii="宋体" w:hAnsi="宋体" w:cs="宋体"/>
                <w:color w:val="auto"/>
                <w:szCs w:val="21"/>
                <w:highlight w:val="none"/>
              </w:rPr>
            </w:pPr>
            <w:r>
              <w:rPr>
                <w:rFonts w:hint="eastAsia" w:ascii="宋体" w:hAnsi="宋体" w:cs="宋体"/>
                <w:color w:val="auto"/>
                <w:szCs w:val="21"/>
                <w:highlight w:val="none"/>
              </w:rPr>
              <w:t>大写：</w:t>
            </w:r>
          </w:p>
        </w:tc>
        <w:tc>
          <w:tcPr>
            <w:tcW w:w="985" w:type="pct"/>
          </w:tcPr>
          <w:p w14:paraId="4299FE3B">
            <w:pPr>
              <w:pStyle w:val="66"/>
              <w:jc w:val="center"/>
              <w:rPr>
                <w:rFonts w:hint="eastAsia" w:hAnsi="宋体"/>
                <w:color w:val="auto"/>
                <w:sz w:val="21"/>
                <w:szCs w:val="21"/>
                <w:highlight w:val="none"/>
              </w:rPr>
            </w:pPr>
          </w:p>
        </w:tc>
        <w:tc>
          <w:tcPr>
            <w:tcW w:w="1467" w:type="pct"/>
            <w:vAlign w:val="center"/>
          </w:tcPr>
          <w:p w14:paraId="13D9938B">
            <w:pPr>
              <w:pStyle w:val="66"/>
              <w:jc w:val="center"/>
              <w:rPr>
                <w:rFonts w:hint="eastAsia" w:hAnsi="宋体"/>
                <w:color w:val="auto"/>
                <w:sz w:val="21"/>
                <w:szCs w:val="21"/>
                <w:highlight w:val="none"/>
              </w:rPr>
            </w:pPr>
          </w:p>
        </w:tc>
      </w:tr>
    </w:tbl>
    <w:p w14:paraId="587EFEB7">
      <w:pPr>
        <w:ind w:firstLine="359" w:firstLineChars="171"/>
        <w:rPr>
          <w:rFonts w:ascii="宋体" w:hAnsi="宋体"/>
          <w:color w:val="auto"/>
          <w:szCs w:val="21"/>
          <w:highlight w:val="none"/>
        </w:rPr>
      </w:pPr>
    </w:p>
    <w:p w14:paraId="07AC8C4E">
      <w:pPr>
        <w:pStyle w:val="12"/>
        <w:rPr>
          <w:rFonts w:ascii="宋体" w:hAnsi="宋体"/>
          <w:color w:val="auto"/>
          <w:szCs w:val="21"/>
          <w:highlight w:val="none"/>
        </w:rPr>
      </w:pPr>
    </w:p>
    <w:p w14:paraId="62A7322C">
      <w:pPr>
        <w:pStyle w:val="12"/>
        <w:rPr>
          <w:rFonts w:ascii="宋体" w:hAnsi="宋体"/>
          <w:color w:val="auto"/>
          <w:szCs w:val="21"/>
          <w:highlight w:val="none"/>
        </w:rPr>
      </w:pPr>
    </w:p>
    <w:p w14:paraId="7734C9EE">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5BA720D9">
      <w:pPr>
        <w:ind w:firstLine="359" w:firstLineChars="171"/>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lang w:eastAsia="zh-CN"/>
        </w:rPr>
        <w:t>（</w:t>
      </w:r>
      <w:r>
        <w:rPr>
          <w:rFonts w:hint="eastAsia" w:ascii="宋体" w:hAnsi="宋体"/>
          <w:color w:val="auto"/>
          <w:szCs w:val="21"/>
          <w:highlight w:val="none"/>
        </w:rPr>
        <w:t>盖章</w:t>
      </w:r>
      <w:r>
        <w:rPr>
          <w:rFonts w:hint="eastAsia" w:ascii="宋体" w:hAnsi="宋体"/>
          <w:color w:val="auto"/>
          <w:szCs w:val="21"/>
          <w:highlight w:val="none"/>
          <w:lang w:eastAsia="zh-CN"/>
        </w:rPr>
        <w:t>）</w:t>
      </w:r>
      <w:r>
        <w:rPr>
          <w:rFonts w:hint="eastAsia" w:ascii="宋体" w:hAnsi="宋体"/>
          <w:color w:val="auto"/>
          <w:szCs w:val="21"/>
          <w:highlight w:val="none"/>
        </w:rPr>
        <w:t>：</w:t>
      </w:r>
    </w:p>
    <w:p w14:paraId="68C32C1F">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3A389E08">
      <w:pPr>
        <w:ind w:firstLine="359" w:firstLineChars="171"/>
        <w:rPr>
          <w:rFonts w:ascii="宋体" w:hAnsi="宋体"/>
          <w:color w:val="auto"/>
          <w:szCs w:val="21"/>
          <w:highlight w:val="none"/>
        </w:rPr>
      </w:pPr>
    </w:p>
    <w:p w14:paraId="58915D72">
      <w:pPr>
        <w:pStyle w:val="12"/>
        <w:rPr>
          <w:rFonts w:ascii="宋体" w:hAnsi="宋体"/>
          <w:color w:val="auto"/>
          <w:szCs w:val="21"/>
          <w:highlight w:val="none"/>
        </w:rPr>
      </w:pPr>
    </w:p>
    <w:p w14:paraId="6BDD22D8">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06D07989">
      <w:pPr>
        <w:numPr>
          <w:ilvl w:val="0"/>
          <w:numId w:val="0"/>
        </w:numPr>
        <w:ind w:firstLine="420" w:firstLineChars="200"/>
        <w:rPr>
          <w:rFonts w:hint="eastAsia" w:ascii="宋体" w:hAnsi="宋体"/>
          <w:color w:val="auto"/>
          <w:szCs w:val="21"/>
          <w:highlight w:val="none"/>
        </w:rPr>
      </w:pPr>
      <w:r>
        <w:rPr>
          <w:rFonts w:hint="eastAsia" w:ascii="宋体" w:hAnsi="宋体" w:eastAsiaTheme="minorEastAsia" w:cstheme="minorBidi"/>
          <w:color w:val="auto"/>
          <w:kern w:val="2"/>
          <w:sz w:val="21"/>
          <w:szCs w:val="21"/>
          <w:highlight w:val="none"/>
          <w:lang w:val="en-US" w:eastAsia="zh-CN" w:bidi="ar-SA"/>
        </w:rPr>
        <w:t>1、</w:t>
      </w:r>
      <w:r>
        <w:rPr>
          <w:rFonts w:hint="eastAsia" w:ascii="宋体" w:hAnsi="宋体"/>
          <w:color w:val="auto"/>
          <w:szCs w:val="21"/>
          <w:highlight w:val="none"/>
        </w:rPr>
        <w:t>投标下浮率栏须用大写金额和小写金额两种方式表示的下浮率，报价保留小数点后两位。投标下浮率大小写不一致，以大写为准。</w:t>
      </w:r>
    </w:p>
    <w:p w14:paraId="38E3C746">
      <w:pPr>
        <w:numPr>
          <w:ilvl w:val="0"/>
          <w:numId w:val="0"/>
        </w:numPr>
        <w:ind w:firstLine="420" w:firstLineChars="200"/>
        <w:rPr>
          <w:rFonts w:hint="eastAsia" w:ascii="宋体" w:hAnsi="宋体"/>
          <w:color w:val="auto"/>
          <w:szCs w:val="21"/>
          <w:highlight w:val="none"/>
        </w:rPr>
      </w:pPr>
      <w:r>
        <w:rPr>
          <w:rFonts w:hint="eastAsia" w:ascii="宋体" w:hAnsi="宋体" w:eastAsiaTheme="minorEastAsia" w:cstheme="minorBidi"/>
          <w:color w:val="auto"/>
          <w:kern w:val="2"/>
          <w:sz w:val="21"/>
          <w:szCs w:val="21"/>
          <w:highlight w:val="none"/>
          <w:lang w:val="en-US" w:eastAsia="zh-CN" w:bidi="ar-SA"/>
        </w:rPr>
        <w:t>2、</w:t>
      </w:r>
      <w:r>
        <w:rPr>
          <w:rFonts w:hint="eastAsia" w:ascii="宋体" w:hAnsi="宋体" w:cstheme="minorBidi"/>
          <w:color w:val="auto"/>
          <w:kern w:val="2"/>
          <w:sz w:val="21"/>
          <w:szCs w:val="21"/>
          <w:highlight w:val="none"/>
          <w:lang w:val="en-US" w:eastAsia="zh-CN" w:bidi="ar-SA"/>
        </w:rPr>
        <w:t>限价表中的单价根据投标下浮率进行下浮后保留三位小数（去尾法），总价以单价计算汇总金额结果为准，总价保留两位小数（四舍五入）</w:t>
      </w:r>
      <w:r>
        <w:rPr>
          <w:rFonts w:hint="eastAsia" w:ascii="宋体" w:hAnsi="宋体"/>
          <w:color w:val="auto"/>
          <w:szCs w:val="21"/>
          <w:highlight w:val="none"/>
        </w:rPr>
        <w:t>。</w:t>
      </w:r>
    </w:p>
    <w:p w14:paraId="13BCCF2F">
      <w:pPr>
        <w:ind w:firstLine="420" w:firstLineChars="200"/>
        <w:rPr>
          <w:rFonts w:hint="eastAsia" w:ascii="宋体" w:hAnsi="宋体"/>
          <w:color w:val="auto"/>
          <w:szCs w:val="21"/>
          <w:highlight w:val="none"/>
        </w:rPr>
      </w:pPr>
      <w:r>
        <w:rPr>
          <w:rFonts w:hint="eastAsia" w:ascii="宋体" w:hAnsi="宋体"/>
          <w:color w:val="auto"/>
          <w:szCs w:val="21"/>
          <w:highlight w:val="none"/>
        </w:rPr>
        <w:t>3、报价包含前期勘察、施工图纸设计、发改备案、两违办报建、供电报装、采购施工、并网投运及相应视频监控系统、水清洗系统、安全设施、</w:t>
      </w:r>
      <w:r>
        <w:rPr>
          <w:rFonts w:hint="eastAsia" w:ascii="宋体" w:hAnsi="宋体"/>
          <w:color w:val="auto"/>
          <w:szCs w:val="21"/>
          <w:highlight w:val="none"/>
          <w:lang w:val="en-US" w:eastAsia="zh-CN"/>
        </w:rPr>
        <w:t>运维通道、</w:t>
      </w:r>
      <w:r>
        <w:rPr>
          <w:rFonts w:hint="eastAsia" w:ascii="宋体" w:hAnsi="宋体"/>
          <w:color w:val="auto"/>
          <w:szCs w:val="21"/>
          <w:highlight w:val="none"/>
        </w:rPr>
        <w:t>运维设施安装及其他为实现合同目的所涉及的所有费用，投标总价必须准确唯一且应包含采购文件要求的所有费用。</w:t>
      </w:r>
    </w:p>
    <w:p w14:paraId="4FA1DEE6">
      <w:pPr>
        <w:ind w:firstLine="420" w:firstLineChars="200"/>
        <w:rPr>
          <w:rFonts w:hint="eastAsia" w:ascii="宋体" w:hAnsi="宋体"/>
          <w:color w:val="auto"/>
          <w:szCs w:val="21"/>
          <w:highlight w:val="none"/>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color w:val="auto"/>
          <w:szCs w:val="21"/>
          <w:highlight w:val="none"/>
        </w:rPr>
        <w:t>4</w:t>
      </w:r>
      <w:r>
        <w:rPr>
          <w:rFonts w:hint="eastAsia" w:ascii="宋体" w:hAnsi="宋体"/>
          <w:color w:val="auto"/>
          <w:szCs w:val="21"/>
          <w:highlight w:val="none"/>
          <w:lang w:eastAsia="zh-CN"/>
        </w:rPr>
        <w:t>、</w:t>
      </w:r>
      <w:r>
        <w:rPr>
          <w:rFonts w:hint="eastAsia" w:ascii="宋体" w:hAnsi="宋体"/>
          <w:color w:val="auto"/>
          <w:szCs w:val="21"/>
          <w:highlight w:val="none"/>
        </w:rPr>
        <w:t>未按采购文件要求报价、填写开标一览表是导致投标人废标的常见问题，请投标人仔细填写，认真核对。</w:t>
      </w:r>
    </w:p>
    <w:p w14:paraId="658B1924">
      <w:pPr>
        <w:shd w:val="clear"/>
        <w:spacing w:line="360" w:lineRule="auto"/>
        <w:rPr>
          <w:rFonts w:ascii="宋体" w:hAnsi="宋体"/>
          <w:color w:val="auto"/>
          <w:szCs w:val="21"/>
          <w:highlight w:val="none"/>
        </w:rPr>
      </w:pPr>
    </w:p>
    <w:p w14:paraId="364767FA">
      <w:pPr>
        <w:pStyle w:val="8"/>
        <w:widowControl w:val="0"/>
        <w:shd w:val="clear"/>
        <w:overflowPunct w:val="0"/>
        <w:spacing w:line="240" w:lineRule="auto"/>
        <w:rPr>
          <w:rFonts w:hint="eastAsia" w:ascii="宋体" w:hAnsi="宋体"/>
          <w:color w:val="auto"/>
          <w:sz w:val="21"/>
          <w:szCs w:val="21"/>
          <w:highlight w:val="none"/>
          <w:lang w:val="zh-CN"/>
        </w:rPr>
      </w:pPr>
      <w:bookmarkStart w:id="121" w:name="_Toc1261"/>
      <w:bookmarkStart w:id="122" w:name="_Toc931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2.主要设备品牌响应表格式</w:t>
      </w:r>
      <w:bookmarkEnd w:id="121"/>
    </w:p>
    <w:p w14:paraId="2E9B5674">
      <w:pPr>
        <w:numPr>
          <w:ilvl w:val="255"/>
          <w:numId w:val="0"/>
        </w:numPr>
        <w:tabs>
          <w:tab w:val="left" w:pos="567"/>
        </w:tabs>
        <w:autoSpaceDE w:val="0"/>
        <w:autoSpaceDN w:val="0"/>
        <w:adjustRightInd w:val="0"/>
        <w:spacing w:line="360" w:lineRule="auto"/>
        <w:ind w:right="-23" w:rightChars="-11"/>
        <w:jc w:val="center"/>
        <w:rPr>
          <w:rFonts w:hint="eastAsia" w:ascii="宋体" w:hAnsi="宋体" w:eastAsia="宋体" w:cs="宋体"/>
          <w:b/>
          <w:color w:val="auto"/>
          <w:kern w:val="28"/>
          <w:sz w:val="28"/>
          <w:szCs w:val="28"/>
          <w:highlight w:val="none"/>
          <w:lang w:val="zh-CN"/>
        </w:rPr>
      </w:pPr>
    </w:p>
    <w:p w14:paraId="3FDCA3BD">
      <w:pPr>
        <w:numPr>
          <w:ilvl w:val="255"/>
          <w:numId w:val="0"/>
        </w:numPr>
        <w:tabs>
          <w:tab w:val="left" w:pos="567"/>
        </w:tabs>
        <w:autoSpaceDE w:val="0"/>
        <w:autoSpaceDN w:val="0"/>
        <w:adjustRightInd w:val="0"/>
        <w:spacing w:line="360" w:lineRule="auto"/>
        <w:ind w:right="-23" w:rightChars="-11"/>
        <w:jc w:val="center"/>
        <w:rPr>
          <w:rFonts w:ascii="宋体" w:hAnsi="宋体" w:eastAsia="宋体" w:cs="宋体"/>
          <w:bCs/>
          <w:color w:val="auto"/>
          <w:kern w:val="28"/>
          <w:sz w:val="28"/>
          <w:szCs w:val="28"/>
          <w:highlight w:val="none"/>
          <w:lang w:val="zh-CN"/>
        </w:rPr>
      </w:pPr>
      <w:r>
        <w:rPr>
          <w:rFonts w:hint="eastAsia" w:ascii="宋体" w:hAnsi="宋体" w:eastAsia="宋体" w:cs="宋体"/>
          <w:b/>
          <w:color w:val="auto"/>
          <w:kern w:val="28"/>
          <w:sz w:val="28"/>
          <w:szCs w:val="28"/>
          <w:highlight w:val="none"/>
          <w:lang w:val="zh-CN"/>
        </w:rPr>
        <w:t>主要设备品牌响应表</w:t>
      </w:r>
    </w:p>
    <w:p w14:paraId="429C11A8">
      <w:pPr>
        <w:autoSpaceDE w:val="0"/>
        <w:autoSpaceDN w:val="0"/>
        <w:adjustRightInd w:val="0"/>
        <w:spacing w:line="360" w:lineRule="auto"/>
        <w:ind w:firstLine="422" w:firstLineChars="200"/>
        <w:jc w:val="left"/>
        <w:rPr>
          <w:rFonts w:hint="eastAsia" w:ascii="宋体" w:hAnsi="宋体" w:eastAsia="宋体" w:cs="宋体"/>
          <w:b/>
          <w:color w:val="auto"/>
          <w:szCs w:val="21"/>
          <w:highlight w:val="none"/>
        </w:rPr>
      </w:pP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339"/>
        <w:gridCol w:w="4873"/>
        <w:gridCol w:w="1655"/>
      </w:tblGrid>
      <w:tr w14:paraId="58168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655" w:type="dxa"/>
            <w:vAlign w:val="center"/>
          </w:tcPr>
          <w:p w14:paraId="2BD6086B">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339" w:type="dxa"/>
            <w:vAlign w:val="center"/>
          </w:tcPr>
          <w:p w14:paraId="088156AB">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名称</w:t>
            </w:r>
          </w:p>
        </w:tc>
        <w:tc>
          <w:tcPr>
            <w:tcW w:w="4873" w:type="dxa"/>
            <w:vAlign w:val="center"/>
          </w:tcPr>
          <w:p w14:paraId="5688C36F">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推荐品牌</w:t>
            </w:r>
          </w:p>
        </w:tc>
        <w:tc>
          <w:tcPr>
            <w:tcW w:w="1655" w:type="dxa"/>
            <w:vAlign w:val="center"/>
          </w:tcPr>
          <w:p w14:paraId="3F3B05BF">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投标品牌</w:t>
            </w:r>
          </w:p>
        </w:tc>
      </w:tr>
      <w:tr w14:paraId="560BC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55" w:type="dxa"/>
            <w:vAlign w:val="center"/>
          </w:tcPr>
          <w:p w14:paraId="481AECE8">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339" w:type="dxa"/>
            <w:vAlign w:val="center"/>
          </w:tcPr>
          <w:p w14:paraId="1BC63775">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光伏组件</w:t>
            </w:r>
          </w:p>
        </w:tc>
        <w:tc>
          <w:tcPr>
            <w:tcW w:w="4873" w:type="dxa"/>
            <w:vAlign w:val="center"/>
          </w:tcPr>
          <w:p w14:paraId="0258C51D">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隆基绿能、晶科能源、晶澳科技、天合光能等国内知名一线品牌</w:t>
            </w:r>
          </w:p>
        </w:tc>
        <w:tc>
          <w:tcPr>
            <w:tcW w:w="1655" w:type="dxa"/>
            <w:vAlign w:val="center"/>
          </w:tcPr>
          <w:p w14:paraId="60007828">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p>
        </w:tc>
      </w:tr>
      <w:tr w14:paraId="716B3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55" w:type="dxa"/>
            <w:vAlign w:val="center"/>
          </w:tcPr>
          <w:p w14:paraId="44C5DD6A">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339" w:type="dxa"/>
            <w:vAlign w:val="center"/>
          </w:tcPr>
          <w:p w14:paraId="1C1BB980">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并网</w:t>
            </w:r>
            <w:r>
              <w:rPr>
                <w:rFonts w:hint="default" w:ascii="Times New Roman" w:hAnsi="Times New Roman" w:eastAsia="宋体" w:cs="Times New Roman"/>
                <w:color w:val="auto"/>
                <w:szCs w:val="21"/>
                <w:highlight w:val="none"/>
              </w:rPr>
              <w:t>逆变器</w:t>
            </w:r>
          </w:p>
        </w:tc>
        <w:tc>
          <w:tcPr>
            <w:tcW w:w="4873" w:type="dxa"/>
            <w:vAlign w:val="center"/>
          </w:tcPr>
          <w:p w14:paraId="3D498298">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华为、阳光电源与古瑞瓦特或具备同等质量的品牌</w:t>
            </w:r>
          </w:p>
        </w:tc>
        <w:tc>
          <w:tcPr>
            <w:tcW w:w="1655" w:type="dxa"/>
            <w:vAlign w:val="center"/>
          </w:tcPr>
          <w:p w14:paraId="7801D561">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p>
        </w:tc>
      </w:tr>
      <w:tr w14:paraId="73C92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55" w:type="dxa"/>
            <w:vAlign w:val="center"/>
          </w:tcPr>
          <w:p w14:paraId="6F4BF160">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val="en-US" w:eastAsia="zh-CN"/>
              </w:rPr>
              <w:t>3</w:t>
            </w:r>
          </w:p>
        </w:tc>
        <w:tc>
          <w:tcPr>
            <w:tcW w:w="1339" w:type="dxa"/>
            <w:vAlign w:val="center"/>
          </w:tcPr>
          <w:p w14:paraId="68A03417">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val="en-US" w:eastAsia="zh-CN"/>
              </w:rPr>
              <w:t>并网柜断路器</w:t>
            </w:r>
          </w:p>
        </w:tc>
        <w:tc>
          <w:tcPr>
            <w:tcW w:w="4873" w:type="dxa"/>
            <w:vAlign w:val="center"/>
          </w:tcPr>
          <w:p w14:paraId="04F1A131">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常熟、良信、上海人民或具备同等质量的品牌</w:t>
            </w:r>
          </w:p>
        </w:tc>
        <w:tc>
          <w:tcPr>
            <w:tcW w:w="1655" w:type="dxa"/>
            <w:vAlign w:val="center"/>
          </w:tcPr>
          <w:p w14:paraId="1237B53A">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p>
        </w:tc>
      </w:tr>
      <w:tr w14:paraId="102E4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55" w:type="dxa"/>
            <w:vAlign w:val="center"/>
          </w:tcPr>
          <w:p w14:paraId="70CA6725">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w:t>
            </w:r>
          </w:p>
        </w:tc>
        <w:tc>
          <w:tcPr>
            <w:tcW w:w="1339" w:type="dxa"/>
            <w:vAlign w:val="center"/>
          </w:tcPr>
          <w:p w14:paraId="331EB7EB">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交、直流电缆</w:t>
            </w:r>
          </w:p>
        </w:tc>
        <w:tc>
          <w:tcPr>
            <w:tcW w:w="4873" w:type="dxa"/>
            <w:vAlign w:val="center"/>
          </w:tcPr>
          <w:p w14:paraId="4D051B48">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深圳市东佳信电线电缆、深圳市成天泰电缆、广州南洋电缆、广东新亚光电缆、东莞市民兴电缆、江苏上上电缆、远东电缆或具备同等质量的品牌</w:t>
            </w:r>
          </w:p>
        </w:tc>
        <w:tc>
          <w:tcPr>
            <w:tcW w:w="1655" w:type="dxa"/>
            <w:vAlign w:val="center"/>
          </w:tcPr>
          <w:p w14:paraId="52F469ED">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p>
        </w:tc>
      </w:tr>
      <w:tr w14:paraId="3BEC6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55" w:type="dxa"/>
            <w:vAlign w:val="center"/>
          </w:tcPr>
          <w:p w14:paraId="08B7F924">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w:t>
            </w:r>
          </w:p>
        </w:tc>
        <w:tc>
          <w:tcPr>
            <w:tcW w:w="1339" w:type="dxa"/>
            <w:vAlign w:val="center"/>
          </w:tcPr>
          <w:p w14:paraId="2030DE66">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视频监控系统</w:t>
            </w:r>
          </w:p>
        </w:tc>
        <w:tc>
          <w:tcPr>
            <w:tcW w:w="4873" w:type="dxa"/>
            <w:vAlign w:val="center"/>
          </w:tcPr>
          <w:p w14:paraId="2EF19917">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海康威视、大华科技或具备同等质量的品牌</w:t>
            </w:r>
          </w:p>
        </w:tc>
        <w:tc>
          <w:tcPr>
            <w:tcW w:w="1655" w:type="dxa"/>
            <w:vAlign w:val="center"/>
          </w:tcPr>
          <w:p w14:paraId="1D73218E">
            <w:pPr>
              <w:keepNext/>
              <w:keepLines/>
              <w:pageBreakBefore w:val="0"/>
              <w:numPr>
                <w:ilvl w:val="1"/>
                <w:numId w:val="0"/>
              </w:numPr>
              <w:suppressLineNumbers w:val="0"/>
              <w:kinsoku/>
              <w:wordWrap/>
              <w:overflowPunct/>
              <w:topLinePunct w:val="0"/>
              <w:bidi w:val="0"/>
              <w:adjustRightInd w:val="0"/>
              <w:spacing w:before="0" w:beforeAutospacing="0" w:after="0" w:afterAutospacing="0" w:line="400" w:lineRule="exact"/>
              <w:ind w:left="0" w:leftChars="0" w:right="0" w:rightChars="0" w:firstLine="0" w:firstLineChars="0"/>
              <w:jc w:val="center"/>
              <w:textAlignment w:val="baseline"/>
              <w:rPr>
                <w:rFonts w:hint="default" w:ascii="Times New Roman" w:hAnsi="Times New Roman" w:eastAsia="宋体" w:cs="Times New Roman"/>
                <w:color w:val="auto"/>
                <w:szCs w:val="21"/>
                <w:highlight w:val="none"/>
              </w:rPr>
            </w:pPr>
          </w:p>
        </w:tc>
      </w:tr>
    </w:tbl>
    <w:p w14:paraId="0FF34DB7">
      <w:pPr>
        <w:autoSpaceDE w:val="0"/>
        <w:autoSpaceDN w:val="0"/>
        <w:adjustRightInd w:val="0"/>
        <w:snapToGrid w:val="0"/>
        <w:spacing w:line="360" w:lineRule="auto"/>
        <w:jc w:val="left"/>
        <w:rPr>
          <w:rFonts w:hint="default" w:ascii="宋体" w:hAnsi="宋体" w:eastAsia="宋体" w:cs="Times New Roman"/>
          <w:color w:val="auto"/>
          <w:kern w:val="0"/>
          <w:szCs w:val="21"/>
          <w:highlight w:val="none"/>
          <w:lang w:val="en-US" w:eastAsia="zh-CN"/>
        </w:rPr>
      </w:pPr>
    </w:p>
    <w:p w14:paraId="3878E643">
      <w:pPr>
        <w:autoSpaceDE w:val="0"/>
        <w:autoSpaceDN w:val="0"/>
        <w:adjustRightInd w:val="0"/>
        <w:spacing w:line="360" w:lineRule="auto"/>
        <w:jc w:val="left"/>
        <w:rPr>
          <w:rFonts w:ascii="宋体" w:hAnsi="宋体" w:eastAsia="宋体" w:cs="Times New Roman"/>
          <w:color w:val="auto"/>
          <w:kern w:val="3"/>
          <w:szCs w:val="21"/>
          <w:highlight w:val="none"/>
        </w:rPr>
      </w:pPr>
    </w:p>
    <w:p w14:paraId="4D6B519C">
      <w:pPr>
        <w:autoSpaceDE w:val="0"/>
        <w:autoSpaceDN w:val="0"/>
        <w:adjustRightInd w:val="0"/>
        <w:spacing w:line="360" w:lineRule="auto"/>
        <w:ind w:firstLine="4200" w:firstLineChars="2000"/>
        <w:jc w:val="left"/>
        <w:rPr>
          <w:rFonts w:ascii="宋体" w:hAnsi="宋体" w:eastAsia="宋体" w:cs="Times New Roman"/>
          <w:color w:val="auto"/>
          <w:kern w:val="3"/>
          <w:szCs w:val="21"/>
          <w:highlight w:val="none"/>
        </w:rPr>
      </w:pPr>
    </w:p>
    <w:p w14:paraId="2C6F278D">
      <w:pPr>
        <w:autoSpaceDE w:val="0"/>
        <w:autoSpaceDN w:val="0"/>
        <w:adjustRightInd w:val="0"/>
        <w:spacing w:line="360" w:lineRule="auto"/>
        <w:ind w:firstLine="4200" w:firstLineChars="2000"/>
        <w:jc w:val="left"/>
        <w:rPr>
          <w:rFonts w:ascii="宋体" w:hAnsi="宋体" w:eastAsia="宋体" w:cs="Times New Roman"/>
          <w:color w:val="auto"/>
          <w:kern w:val="0"/>
          <w:szCs w:val="21"/>
          <w:highlight w:val="none"/>
        </w:rPr>
      </w:pPr>
      <w:r>
        <w:rPr>
          <w:rFonts w:ascii="宋体" w:hAnsi="宋体" w:eastAsia="宋体" w:cs="Times New Roman"/>
          <w:color w:val="auto"/>
          <w:kern w:val="3"/>
          <w:szCs w:val="21"/>
          <w:highlight w:val="none"/>
        </w:rPr>
        <w:t xml:space="preserve">投 标 人（公章）：              </w:t>
      </w:r>
    </w:p>
    <w:p w14:paraId="28532CFF">
      <w:pPr>
        <w:spacing w:line="360" w:lineRule="auto"/>
        <w:ind w:firstLine="4200" w:firstLineChars="2000"/>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日  期：        年     月     日</w:t>
      </w:r>
    </w:p>
    <w:p w14:paraId="22AA9948">
      <w:pP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br w:type="page"/>
      </w:r>
    </w:p>
    <w:p w14:paraId="3FB55164">
      <w:pPr>
        <w:pStyle w:val="8"/>
        <w:widowControl w:val="0"/>
        <w:shd w:val="clear"/>
        <w:overflowPunct w:val="0"/>
        <w:spacing w:line="240" w:lineRule="auto"/>
        <w:rPr>
          <w:rFonts w:ascii="宋体" w:hAnsi="宋体"/>
          <w:color w:val="auto"/>
          <w:sz w:val="21"/>
          <w:szCs w:val="21"/>
          <w:highlight w:val="none"/>
        </w:rPr>
      </w:pPr>
      <w:bookmarkStart w:id="123" w:name="_Toc8843"/>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.报价明细表格式</w:t>
      </w:r>
      <w:bookmarkEnd w:id="122"/>
      <w:bookmarkEnd w:id="123"/>
    </w:p>
    <w:p w14:paraId="14777127">
      <w:pPr>
        <w:shd w:val="clear"/>
        <w:jc w:val="center"/>
        <w:rPr>
          <w:rFonts w:ascii="黑体" w:eastAsia="黑体"/>
          <w:color w:val="auto"/>
          <w:sz w:val="32"/>
          <w:szCs w:val="32"/>
          <w:highlight w:val="none"/>
        </w:rPr>
      </w:pPr>
      <w:bookmarkStart w:id="124" w:name="_Toc31062"/>
      <w:bookmarkStart w:id="125" w:name="_Toc31172"/>
      <w:r>
        <w:rPr>
          <w:rFonts w:hint="eastAsia" w:ascii="黑体" w:eastAsia="黑体"/>
          <w:color w:val="auto"/>
          <w:sz w:val="32"/>
          <w:szCs w:val="32"/>
          <w:highlight w:val="none"/>
        </w:rPr>
        <w:t>报价明细表</w:t>
      </w:r>
      <w:bookmarkEnd w:id="124"/>
      <w:bookmarkEnd w:id="125"/>
    </w:p>
    <w:p w14:paraId="02C1D9F2">
      <w:pPr>
        <w:pStyle w:val="76"/>
        <w:shd w:val="clear"/>
        <w:spacing w:before="0" w:after="0"/>
        <w:jc w:val="right"/>
        <w:rPr>
          <w:rFonts w:ascii="宋体" w:hAnsi="宋体" w:cs="宋体"/>
          <w:color w:val="auto"/>
          <w:szCs w:val="21"/>
          <w:highlight w:val="none"/>
        </w:rPr>
      </w:pPr>
      <w:r>
        <w:rPr>
          <w:rFonts w:hint="eastAsia" w:ascii="宋体" w:hAnsi="宋体" w:cs="宋体"/>
          <w:color w:val="auto"/>
          <w:szCs w:val="21"/>
          <w:highlight w:val="none"/>
        </w:rPr>
        <w:t>单位：元</w:t>
      </w:r>
    </w:p>
    <w:tbl>
      <w:tblPr>
        <w:tblStyle w:val="28"/>
        <w:tblW w:w="842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772"/>
        <w:gridCol w:w="992"/>
        <w:gridCol w:w="1230"/>
        <w:gridCol w:w="1005"/>
        <w:gridCol w:w="1110"/>
        <w:gridCol w:w="720"/>
        <w:gridCol w:w="915"/>
      </w:tblGrid>
      <w:tr w14:paraId="2E9D4B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82" w:type="dxa"/>
            <w:tcBorders>
              <w:tl2br w:val="nil"/>
              <w:tr2bl w:val="nil"/>
            </w:tcBorders>
            <w:vAlign w:val="center"/>
          </w:tcPr>
          <w:p w14:paraId="60648E54">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序号</w:t>
            </w:r>
          </w:p>
        </w:tc>
        <w:tc>
          <w:tcPr>
            <w:tcW w:w="1772" w:type="dxa"/>
            <w:tcBorders>
              <w:tl2br w:val="nil"/>
              <w:tr2bl w:val="nil"/>
            </w:tcBorders>
            <w:vAlign w:val="center"/>
          </w:tcPr>
          <w:p w14:paraId="04360BB0">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货物名称</w:t>
            </w:r>
          </w:p>
        </w:tc>
        <w:tc>
          <w:tcPr>
            <w:tcW w:w="992" w:type="dxa"/>
            <w:tcBorders>
              <w:tl2br w:val="nil"/>
              <w:tr2bl w:val="nil"/>
            </w:tcBorders>
            <w:vAlign w:val="center"/>
          </w:tcPr>
          <w:p w14:paraId="441C226B">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品牌</w:t>
            </w:r>
          </w:p>
        </w:tc>
        <w:tc>
          <w:tcPr>
            <w:tcW w:w="1230" w:type="dxa"/>
            <w:tcBorders>
              <w:tl2br w:val="nil"/>
              <w:tr2bl w:val="nil"/>
            </w:tcBorders>
            <w:vAlign w:val="center"/>
          </w:tcPr>
          <w:p w14:paraId="0AB0106B">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规格型号</w:t>
            </w:r>
          </w:p>
        </w:tc>
        <w:tc>
          <w:tcPr>
            <w:tcW w:w="1005" w:type="dxa"/>
            <w:tcBorders>
              <w:tl2br w:val="nil"/>
              <w:tr2bl w:val="nil"/>
            </w:tcBorders>
            <w:vAlign w:val="center"/>
          </w:tcPr>
          <w:p w14:paraId="3E07374D">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数量</w:t>
            </w:r>
          </w:p>
        </w:tc>
        <w:tc>
          <w:tcPr>
            <w:tcW w:w="1110" w:type="dxa"/>
            <w:tcBorders>
              <w:tl2br w:val="nil"/>
              <w:tr2bl w:val="nil"/>
            </w:tcBorders>
            <w:vAlign w:val="center"/>
          </w:tcPr>
          <w:p w14:paraId="0132BD4E">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单价</w:t>
            </w:r>
          </w:p>
        </w:tc>
        <w:tc>
          <w:tcPr>
            <w:tcW w:w="720" w:type="dxa"/>
            <w:tcBorders>
              <w:tl2br w:val="nil"/>
              <w:tr2bl w:val="nil"/>
            </w:tcBorders>
            <w:vAlign w:val="center"/>
          </w:tcPr>
          <w:p w14:paraId="3C13157F">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w:t>
            </w:r>
          </w:p>
        </w:tc>
        <w:tc>
          <w:tcPr>
            <w:tcW w:w="915" w:type="dxa"/>
            <w:tcBorders>
              <w:tl2br w:val="nil"/>
              <w:tr2bl w:val="nil"/>
            </w:tcBorders>
            <w:vAlign w:val="center"/>
          </w:tcPr>
          <w:p w14:paraId="5E5DCA5B">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备注</w:t>
            </w:r>
          </w:p>
        </w:tc>
      </w:tr>
      <w:tr w14:paraId="75CB11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530CD3E">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55B870D">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6216F71B">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06E7110D">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4114926C">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3AC6FE0F">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7606024D">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38C6CB28">
            <w:pPr>
              <w:shd w:val="clear"/>
              <w:spacing w:before="100" w:beforeAutospacing="1" w:after="100" w:afterAutospacing="1"/>
              <w:jc w:val="center"/>
              <w:rPr>
                <w:rFonts w:ascii="宋体" w:hAnsi="宋体"/>
                <w:color w:val="auto"/>
                <w:szCs w:val="21"/>
                <w:highlight w:val="none"/>
              </w:rPr>
            </w:pPr>
          </w:p>
        </w:tc>
      </w:tr>
      <w:tr w14:paraId="6D1EC2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38BF6023">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061D3998">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684B90AC">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29777439">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3D58C046">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22030C49">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39605A4B">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4496CA80">
            <w:pPr>
              <w:shd w:val="clear"/>
              <w:spacing w:before="100" w:beforeAutospacing="1" w:after="100" w:afterAutospacing="1"/>
              <w:jc w:val="center"/>
              <w:rPr>
                <w:rFonts w:ascii="宋体" w:hAnsi="宋体"/>
                <w:color w:val="auto"/>
                <w:szCs w:val="21"/>
                <w:highlight w:val="none"/>
              </w:rPr>
            </w:pPr>
          </w:p>
        </w:tc>
      </w:tr>
      <w:tr w14:paraId="65D16D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0106E2AD">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1C7F7E3E">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557E43F7">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0ECD79D9">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3899FA67">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2D085350">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58E7EB57">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71FC363F">
            <w:pPr>
              <w:shd w:val="clear"/>
              <w:spacing w:before="100" w:beforeAutospacing="1" w:after="100" w:afterAutospacing="1"/>
              <w:jc w:val="center"/>
              <w:rPr>
                <w:rFonts w:ascii="宋体" w:hAnsi="宋体"/>
                <w:color w:val="auto"/>
                <w:szCs w:val="21"/>
                <w:highlight w:val="none"/>
              </w:rPr>
            </w:pPr>
          </w:p>
        </w:tc>
      </w:tr>
      <w:tr w14:paraId="53E1B4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5353B3FB">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6A242F8">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52012899">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304D0AE7">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4E729EC3">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008F7782">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1060A726">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5B98723D">
            <w:pPr>
              <w:shd w:val="clear"/>
              <w:spacing w:before="100" w:beforeAutospacing="1" w:after="100" w:afterAutospacing="1"/>
              <w:jc w:val="center"/>
              <w:rPr>
                <w:rFonts w:ascii="宋体" w:hAnsi="宋体"/>
                <w:color w:val="auto"/>
                <w:szCs w:val="21"/>
                <w:highlight w:val="none"/>
              </w:rPr>
            </w:pPr>
          </w:p>
        </w:tc>
      </w:tr>
      <w:tr w14:paraId="5D5BF2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067B5275">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1E91E9E">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442C0DAE">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4F408BF4">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3F6B72AA">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43AACDBB">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21E31664">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0E056A13">
            <w:pPr>
              <w:shd w:val="clear"/>
              <w:spacing w:before="100" w:beforeAutospacing="1" w:after="100" w:afterAutospacing="1"/>
              <w:jc w:val="center"/>
              <w:rPr>
                <w:rFonts w:ascii="宋体" w:hAnsi="宋体"/>
                <w:color w:val="auto"/>
                <w:szCs w:val="21"/>
                <w:highlight w:val="none"/>
              </w:rPr>
            </w:pPr>
          </w:p>
        </w:tc>
      </w:tr>
      <w:tr w14:paraId="2C145C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6462982D">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743B38D3">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0E28E128">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2C610756">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3D046A0A">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06B35B70">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2876B5C1">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0FA3D86C">
            <w:pPr>
              <w:shd w:val="clear"/>
              <w:spacing w:before="100" w:beforeAutospacing="1" w:after="100" w:afterAutospacing="1"/>
              <w:jc w:val="center"/>
              <w:rPr>
                <w:rFonts w:ascii="宋体" w:hAnsi="宋体"/>
                <w:color w:val="auto"/>
                <w:szCs w:val="21"/>
                <w:highlight w:val="none"/>
              </w:rPr>
            </w:pPr>
          </w:p>
        </w:tc>
      </w:tr>
      <w:tr w14:paraId="0174D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10F66AA9">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0F624498">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70AB57A8">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519DD0E2">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1659BDBC">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79AF751B">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4B888E13">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672998CE">
            <w:pPr>
              <w:shd w:val="clear"/>
              <w:spacing w:before="100" w:beforeAutospacing="1" w:after="100" w:afterAutospacing="1"/>
              <w:jc w:val="center"/>
              <w:rPr>
                <w:rFonts w:ascii="宋体" w:hAnsi="宋体"/>
                <w:color w:val="auto"/>
                <w:szCs w:val="21"/>
                <w:highlight w:val="none"/>
              </w:rPr>
            </w:pPr>
          </w:p>
        </w:tc>
      </w:tr>
      <w:tr w14:paraId="6BCAA0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9FD5FB0">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73A502F8">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04A6A0D1">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24C20474">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130D8F34">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3A7372E1">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3522561B">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543A1771">
            <w:pPr>
              <w:shd w:val="clear"/>
              <w:spacing w:before="100" w:beforeAutospacing="1" w:after="100" w:afterAutospacing="1"/>
              <w:jc w:val="center"/>
              <w:rPr>
                <w:rFonts w:ascii="宋体" w:hAnsi="宋体"/>
                <w:color w:val="auto"/>
                <w:szCs w:val="21"/>
                <w:highlight w:val="none"/>
              </w:rPr>
            </w:pPr>
          </w:p>
        </w:tc>
      </w:tr>
      <w:tr w14:paraId="29A072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7AA2609D">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2FBDD24">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7F9BCB05">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347BFD6C">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494E0D32">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33A0B5DF">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707E482D">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17809657">
            <w:pPr>
              <w:shd w:val="clear"/>
              <w:spacing w:before="100" w:beforeAutospacing="1" w:after="100" w:afterAutospacing="1"/>
              <w:jc w:val="center"/>
              <w:rPr>
                <w:rFonts w:ascii="宋体" w:hAnsi="宋体"/>
                <w:color w:val="auto"/>
                <w:szCs w:val="21"/>
                <w:highlight w:val="none"/>
              </w:rPr>
            </w:pPr>
          </w:p>
        </w:tc>
      </w:tr>
      <w:tr w14:paraId="5C5271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58C27499">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6F9EA101">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33658E1F">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21F080F5">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021F4137">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53A99E1B">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1D6E1B37">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360A745A">
            <w:pPr>
              <w:shd w:val="clear"/>
              <w:spacing w:before="100" w:beforeAutospacing="1" w:after="100" w:afterAutospacing="1"/>
              <w:jc w:val="center"/>
              <w:rPr>
                <w:rFonts w:ascii="宋体" w:hAnsi="宋体"/>
                <w:color w:val="auto"/>
                <w:szCs w:val="21"/>
                <w:highlight w:val="none"/>
              </w:rPr>
            </w:pPr>
          </w:p>
        </w:tc>
      </w:tr>
      <w:tr w14:paraId="5693E4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2F6E2181">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161617D">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07C1AC61">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40572E46">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2B48A31F">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5B223020">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61B7F554">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5872A1B5">
            <w:pPr>
              <w:shd w:val="clear"/>
              <w:spacing w:before="100" w:beforeAutospacing="1" w:after="100" w:afterAutospacing="1"/>
              <w:jc w:val="center"/>
              <w:rPr>
                <w:rFonts w:ascii="宋体" w:hAnsi="宋体"/>
                <w:color w:val="auto"/>
                <w:szCs w:val="21"/>
                <w:highlight w:val="none"/>
              </w:rPr>
            </w:pPr>
          </w:p>
        </w:tc>
      </w:tr>
      <w:tr w14:paraId="543D2E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6275F084">
            <w:pPr>
              <w:widowControl w:val="0"/>
              <w:shd w:val="clear"/>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B85A243">
            <w:pPr>
              <w:shd w:val="clear"/>
              <w:spacing w:before="100" w:beforeAutospacing="1" w:after="100" w:afterAutospacing="1"/>
              <w:rPr>
                <w:rFonts w:ascii="宋体" w:hAnsi="宋体"/>
                <w:color w:val="auto"/>
                <w:szCs w:val="21"/>
                <w:highlight w:val="none"/>
              </w:rPr>
            </w:pPr>
          </w:p>
        </w:tc>
        <w:tc>
          <w:tcPr>
            <w:tcW w:w="992" w:type="dxa"/>
            <w:tcBorders>
              <w:tl2br w:val="nil"/>
              <w:tr2bl w:val="nil"/>
            </w:tcBorders>
            <w:vAlign w:val="center"/>
          </w:tcPr>
          <w:p w14:paraId="781F6D19">
            <w:pPr>
              <w:shd w:val="clear"/>
              <w:spacing w:before="100" w:beforeAutospacing="1" w:after="100" w:afterAutospacing="1"/>
              <w:rPr>
                <w:rFonts w:ascii="宋体" w:hAnsi="宋体"/>
                <w:color w:val="auto"/>
                <w:szCs w:val="21"/>
                <w:highlight w:val="none"/>
              </w:rPr>
            </w:pPr>
          </w:p>
        </w:tc>
        <w:tc>
          <w:tcPr>
            <w:tcW w:w="1230" w:type="dxa"/>
            <w:tcBorders>
              <w:tl2br w:val="nil"/>
              <w:tr2bl w:val="nil"/>
            </w:tcBorders>
            <w:vAlign w:val="center"/>
          </w:tcPr>
          <w:p w14:paraId="2613B8DC">
            <w:pPr>
              <w:shd w:val="clear"/>
              <w:spacing w:before="100" w:beforeAutospacing="1" w:after="100" w:afterAutospacing="1"/>
              <w:jc w:val="center"/>
              <w:rPr>
                <w:rFonts w:ascii="宋体" w:hAnsi="宋体"/>
                <w:color w:val="auto"/>
                <w:szCs w:val="21"/>
                <w:highlight w:val="none"/>
              </w:rPr>
            </w:pPr>
          </w:p>
        </w:tc>
        <w:tc>
          <w:tcPr>
            <w:tcW w:w="1005" w:type="dxa"/>
            <w:tcBorders>
              <w:tl2br w:val="nil"/>
              <w:tr2bl w:val="nil"/>
            </w:tcBorders>
            <w:vAlign w:val="center"/>
          </w:tcPr>
          <w:p w14:paraId="694D8417">
            <w:pPr>
              <w:shd w:val="clear"/>
              <w:spacing w:before="100" w:beforeAutospacing="1" w:after="100" w:afterAutospacing="1"/>
              <w:jc w:val="center"/>
              <w:rPr>
                <w:rFonts w:ascii="宋体" w:hAnsi="宋体"/>
                <w:color w:val="auto"/>
                <w:szCs w:val="21"/>
                <w:highlight w:val="none"/>
              </w:rPr>
            </w:pPr>
          </w:p>
        </w:tc>
        <w:tc>
          <w:tcPr>
            <w:tcW w:w="1110" w:type="dxa"/>
            <w:tcBorders>
              <w:tl2br w:val="nil"/>
              <w:tr2bl w:val="nil"/>
            </w:tcBorders>
            <w:vAlign w:val="center"/>
          </w:tcPr>
          <w:p w14:paraId="4E8D2D5A">
            <w:pPr>
              <w:shd w:val="clear"/>
              <w:spacing w:before="100" w:beforeAutospacing="1" w:after="100" w:afterAutospacing="1"/>
              <w:jc w:val="center"/>
              <w:rPr>
                <w:rFonts w:ascii="宋体" w:hAnsi="宋体"/>
                <w:color w:val="auto"/>
                <w:szCs w:val="21"/>
                <w:highlight w:val="none"/>
              </w:rPr>
            </w:pPr>
          </w:p>
        </w:tc>
        <w:tc>
          <w:tcPr>
            <w:tcW w:w="720" w:type="dxa"/>
            <w:tcBorders>
              <w:tl2br w:val="nil"/>
              <w:tr2bl w:val="nil"/>
            </w:tcBorders>
            <w:vAlign w:val="center"/>
          </w:tcPr>
          <w:p w14:paraId="0CD27ACD">
            <w:pPr>
              <w:shd w:val="clear"/>
              <w:spacing w:before="100" w:beforeAutospacing="1" w:after="100" w:afterAutospacing="1"/>
              <w:jc w:val="center"/>
              <w:rPr>
                <w:rFonts w:ascii="宋体" w:hAnsi="宋体"/>
                <w:color w:val="auto"/>
                <w:szCs w:val="21"/>
                <w:highlight w:val="none"/>
              </w:rPr>
            </w:pPr>
          </w:p>
        </w:tc>
        <w:tc>
          <w:tcPr>
            <w:tcW w:w="915" w:type="dxa"/>
            <w:tcBorders>
              <w:tl2br w:val="nil"/>
              <w:tr2bl w:val="nil"/>
            </w:tcBorders>
            <w:vAlign w:val="center"/>
          </w:tcPr>
          <w:p w14:paraId="588F33C2">
            <w:pPr>
              <w:shd w:val="clear"/>
              <w:spacing w:before="100" w:beforeAutospacing="1" w:after="100" w:afterAutospacing="1"/>
              <w:jc w:val="center"/>
              <w:rPr>
                <w:rFonts w:ascii="宋体" w:hAnsi="宋体"/>
                <w:color w:val="auto"/>
                <w:szCs w:val="21"/>
                <w:highlight w:val="none"/>
              </w:rPr>
            </w:pPr>
          </w:p>
        </w:tc>
      </w:tr>
      <w:tr w14:paraId="4F252A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791" w:type="dxa"/>
            <w:gridSpan w:val="6"/>
            <w:tcBorders>
              <w:tl2br w:val="nil"/>
              <w:tr2bl w:val="nil"/>
            </w:tcBorders>
            <w:vAlign w:val="center"/>
          </w:tcPr>
          <w:p w14:paraId="3B612B1C">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合计总价</w:t>
            </w:r>
          </w:p>
        </w:tc>
        <w:tc>
          <w:tcPr>
            <w:tcW w:w="1635" w:type="dxa"/>
            <w:gridSpan w:val="2"/>
            <w:tcBorders>
              <w:tl2br w:val="nil"/>
              <w:tr2bl w:val="nil"/>
            </w:tcBorders>
            <w:vAlign w:val="center"/>
          </w:tcPr>
          <w:p w14:paraId="56A13A0C">
            <w:pPr>
              <w:shd w:val="clear"/>
              <w:spacing w:before="100" w:beforeAutospacing="1" w:after="100" w:afterAutospacing="1"/>
              <w:jc w:val="center"/>
              <w:rPr>
                <w:rFonts w:ascii="宋体" w:hAnsi="宋体"/>
                <w:color w:val="auto"/>
                <w:szCs w:val="21"/>
                <w:highlight w:val="none"/>
              </w:rPr>
            </w:pPr>
          </w:p>
        </w:tc>
      </w:tr>
    </w:tbl>
    <w:p w14:paraId="2A613E74">
      <w:pPr>
        <w:shd w:val="clear"/>
        <w:rPr>
          <w:rFonts w:ascii="宋体" w:hAnsi="宋体" w:cs="宋体"/>
          <w:b/>
          <w:color w:val="auto"/>
          <w:szCs w:val="21"/>
          <w:highlight w:val="none"/>
        </w:rPr>
      </w:pPr>
    </w:p>
    <w:p w14:paraId="7D4F3A52">
      <w:pPr>
        <w:shd w:val="clear"/>
        <w:rPr>
          <w:rFonts w:ascii="宋体" w:hAnsi="宋体"/>
          <w:color w:val="auto"/>
          <w:szCs w:val="21"/>
          <w:highlight w:val="none"/>
        </w:rPr>
      </w:pPr>
      <w:bookmarkStart w:id="126" w:name="_Toc12412"/>
    </w:p>
    <w:bookmarkEnd w:id="126"/>
    <w:p w14:paraId="652CAE64">
      <w:pPr>
        <w:rPr>
          <w:rFonts w:ascii="宋体" w:hAnsi="宋体"/>
          <w:color w:val="auto"/>
          <w:szCs w:val="21"/>
          <w:highlight w:val="none"/>
        </w:rPr>
      </w:pPr>
      <w:r>
        <w:rPr>
          <w:rFonts w:hint="eastAsia" w:ascii="宋体" w:hAnsi="宋体"/>
          <w:color w:val="auto"/>
          <w:szCs w:val="21"/>
          <w:highlight w:val="none"/>
        </w:rPr>
        <w:t>投标人代表签字：</w:t>
      </w:r>
    </w:p>
    <w:p w14:paraId="1864B1FF">
      <w:pPr>
        <w:rPr>
          <w:rFonts w:ascii="宋体" w:hAnsi="宋体"/>
          <w:color w:val="auto"/>
          <w:szCs w:val="21"/>
          <w:highlight w:val="none"/>
        </w:rPr>
      </w:pPr>
      <w:r>
        <w:rPr>
          <w:rFonts w:hint="eastAsia" w:ascii="宋体" w:hAnsi="宋体"/>
          <w:color w:val="auto"/>
          <w:szCs w:val="21"/>
          <w:highlight w:val="none"/>
        </w:rPr>
        <w:t>投标人盖章：</w:t>
      </w:r>
    </w:p>
    <w:p w14:paraId="57B3723B">
      <w:pPr>
        <w:rPr>
          <w:rFonts w:hint="eastAsia" w:ascii="宋体" w:hAnsi="宋体"/>
          <w:color w:val="auto"/>
          <w:szCs w:val="21"/>
          <w:highlight w:val="none"/>
        </w:rPr>
      </w:pPr>
      <w:r>
        <w:rPr>
          <w:rFonts w:hint="eastAsia" w:ascii="宋体" w:hAnsi="宋体"/>
          <w:color w:val="auto"/>
          <w:szCs w:val="21"/>
          <w:highlight w:val="none"/>
        </w:rPr>
        <w:t>日期：</w:t>
      </w:r>
    </w:p>
    <w:p w14:paraId="0A24EE01">
      <w:pPr>
        <w:rPr>
          <w:color w:val="auto"/>
          <w:sz w:val="52"/>
          <w:szCs w:val="52"/>
          <w:highlight w:val="none"/>
        </w:rPr>
      </w:pPr>
      <w:r>
        <w:rPr>
          <w:color w:val="auto"/>
          <w:sz w:val="52"/>
          <w:szCs w:val="52"/>
          <w:highlight w:val="none"/>
        </w:rPr>
        <w:br w:type="page"/>
      </w:r>
    </w:p>
    <w:p w14:paraId="6A22F276">
      <w:pPr>
        <w:pStyle w:val="6"/>
        <w:shd w:val="clear"/>
        <w:spacing w:before="0" w:after="0" w:line="360" w:lineRule="auto"/>
        <w:jc w:val="center"/>
        <w:rPr>
          <w:color w:val="auto"/>
          <w:sz w:val="72"/>
          <w:szCs w:val="72"/>
          <w:highlight w:val="none"/>
        </w:rPr>
      </w:pPr>
      <w:bookmarkStart w:id="127" w:name="_Toc28092"/>
      <w:r>
        <w:rPr>
          <w:rFonts w:hint="eastAsia"/>
          <w:color w:val="auto"/>
          <w:sz w:val="72"/>
          <w:szCs w:val="72"/>
          <w:highlight w:val="none"/>
        </w:rPr>
        <w:t>商务文件</w:t>
      </w:r>
      <w:bookmarkEnd w:id="127"/>
    </w:p>
    <w:p w14:paraId="22197D1F">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65EAF8AD">
      <w:pPr>
        <w:shd w:val="clear"/>
        <w:rPr>
          <w:color w:val="auto"/>
          <w:highlight w:val="none"/>
        </w:rPr>
      </w:pPr>
    </w:p>
    <w:p w14:paraId="0DAAA502">
      <w:pPr>
        <w:pStyle w:val="12"/>
        <w:shd w:val="clear"/>
        <w:rPr>
          <w:color w:val="auto"/>
          <w:highlight w:val="none"/>
        </w:rPr>
      </w:pPr>
    </w:p>
    <w:p w14:paraId="5988015C">
      <w:pPr>
        <w:shd w:val="clear"/>
        <w:ind w:firstLine="240"/>
        <w:rPr>
          <w:color w:val="auto"/>
          <w:highlight w:val="none"/>
        </w:rPr>
      </w:pPr>
    </w:p>
    <w:p w14:paraId="328E259C">
      <w:pPr>
        <w:shd w:val="clear"/>
        <w:rPr>
          <w:rFonts w:hint="eastAsia" w:ascii="宋体" w:hAnsi="宋体" w:cs="宋体"/>
          <w:b/>
          <w:bCs/>
          <w:color w:val="auto"/>
          <w:spacing w:val="106"/>
          <w:kern w:val="0"/>
          <w:sz w:val="32"/>
          <w:szCs w:val="32"/>
          <w:highlight w:val="none"/>
          <w:fitText w:val="1600" w:id="5"/>
        </w:rPr>
      </w:pPr>
      <w:r>
        <w:rPr>
          <w:rFonts w:hint="eastAsia" w:ascii="宋体" w:hAnsi="宋体" w:cs="宋体"/>
          <w:b/>
          <w:bCs/>
          <w:color w:val="auto"/>
          <w:spacing w:val="0"/>
          <w:kern w:val="0"/>
          <w:sz w:val="32"/>
          <w:szCs w:val="32"/>
          <w:highlight w:val="none"/>
          <w:fitText w:val="1600" w:id="5"/>
        </w:rPr>
        <w:t>项目名称：</w:t>
      </w:r>
    </w:p>
    <w:p w14:paraId="55BBF4A3">
      <w:pPr>
        <w:shd w:val="clear"/>
        <w:rPr>
          <w:rFonts w:hint="eastAsia" w:ascii="宋体" w:hAnsi="宋体" w:cs="宋体"/>
          <w:b/>
          <w:bCs/>
          <w:color w:val="auto"/>
          <w:spacing w:val="106"/>
          <w:kern w:val="0"/>
          <w:sz w:val="32"/>
          <w:szCs w:val="32"/>
          <w:highlight w:val="none"/>
          <w:fitText w:val="1600" w:id="6"/>
        </w:rPr>
      </w:pPr>
      <w:r>
        <w:rPr>
          <w:rFonts w:hint="eastAsia" w:ascii="宋体" w:hAnsi="宋体" w:cs="宋体"/>
          <w:b/>
          <w:bCs/>
          <w:color w:val="auto"/>
          <w:spacing w:val="0"/>
          <w:kern w:val="0"/>
          <w:sz w:val="32"/>
          <w:szCs w:val="32"/>
          <w:highlight w:val="none"/>
          <w:fitText w:val="1600" w:id="6"/>
        </w:rPr>
        <w:t>项目编号：</w:t>
      </w:r>
    </w:p>
    <w:p w14:paraId="7CD86C93">
      <w:pPr>
        <w:shd w:val="clear"/>
        <w:rPr>
          <w:rFonts w:hint="eastAsia" w:ascii="宋体" w:hAnsi="宋体" w:cs="宋体"/>
          <w:b/>
          <w:bCs/>
          <w:color w:val="auto"/>
          <w:spacing w:val="106"/>
          <w:kern w:val="0"/>
          <w:sz w:val="32"/>
          <w:szCs w:val="32"/>
          <w:highlight w:val="none"/>
          <w:fitText w:val="1600" w:id="7"/>
        </w:rPr>
      </w:pPr>
      <w:r>
        <w:rPr>
          <w:rFonts w:hint="eastAsia" w:ascii="宋体" w:hAnsi="宋体" w:cs="宋体"/>
          <w:b/>
          <w:bCs/>
          <w:color w:val="auto"/>
          <w:spacing w:val="1"/>
          <w:w w:val="62"/>
          <w:kern w:val="0"/>
          <w:sz w:val="32"/>
          <w:szCs w:val="32"/>
          <w:highlight w:val="none"/>
          <w:fitText w:val="1600" w:id="7"/>
          <w:lang w:val="en-US"/>
        </w:rPr>
        <w:t>包组号（如有）</w:t>
      </w:r>
      <w:r>
        <w:rPr>
          <w:rFonts w:hint="eastAsia" w:ascii="宋体" w:hAnsi="宋体" w:cs="宋体"/>
          <w:b/>
          <w:bCs/>
          <w:color w:val="auto"/>
          <w:spacing w:val="4"/>
          <w:w w:val="62"/>
          <w:kern w:val="0"/>
          <w:sz w:val="32"/>
          <w:szCs w:val="32"/>
          <w:highlight w:val="none"/>
          <w:fitText w:val="1600" w:id="7"/>
          <w:lang w:val="en-US"/>
        </w:rPr>
        <w:t>：</w:t>
      </w:r>
    </w:p>
    <w:p w14:paraId="1EBBBA9A">
      <w:pPr>
        <w:shd w:val="clear"/>
        <w:rPr>
          <w:rFonts w:hint="eastAsia" w:ascii="宋体" w:hAnsi="宋体" w:cs="宋体"/>
          <w:b/>
          <w:bCs/>
          <w:color w:val="auto"/>
          <w:spacing w:val="106"/>
          <w:kern w:val="0"/>
          <w:sz w:val="32"/>
          <w:szCs w:val="32"/>
          <w:highlight w:val="none"/>
          <w:fitText w:val="1600" w:id="8"/>
        </w:rPr>
      </w:pPr>
      <w:r>
        <w:rPr>
          <w:rFonts w:hint="eastAsia" w:ascii="宋体" w:hAnsi="宋体" w:cs="宋体"/>
          <w:b/>
          <w:bCs/>
          <w:color w:val="auto"/>
          <w:spacing w:val="0"/>
          <w:w w:val="83"/>
          <w:kern w:val="0"/>
          <w:sz w:val="32"/>
          <w:szCs w:val="32"/>
          <w:highlight w:val="none"/>
          <w:fitText w:val="1600" w:id="8"/>
        </w:rPr>
        <w:t>投标人名称：</w:t>
      </w:r>
    </w:p>
    <w:p w14:paraId="2733782C">
      <w:pPr>
        <w:shd w:val="clear"/>
        <w:rPr>
          <w:rFonts w:hint="eastAsia" w:ascii="宋体" w:hAnsi="宋体" w:cs="宋体"/>
          <w:b/>
          <w:bCs/>
          <w:color w:val="auto"/>
          <w:spacing w:val="106"/>
          <w:kern w:val="0"/>
          <w:sz w:val="32"/>
          <w:szCs w:val="32"/>
          <w:highlight w:val="none"/>
          <w:fitText w:val="1600" w:id="9"/>
        </w:rPr>
      </w:pPr>
      <w:r>
        <w:rPr>
          <w:rFonts w:hint="eastAsia" w:ascii="宋体" w:hAnsi="宋体" w:cs="宋体"/>
          <w:b/>
          <w:bCs/>
          <w:color w:val="auto"/>
          <w:spacing w:val="0"/>
          <w:kern w:val="0"/>
          <w:sz w:val="32"/>
          <w:szCs w:val="32"/>
          <w:highlight w:val="none"/>
          <w:fitText w:val="1600" w:id="9"/>
        </w:rPr>
        <w:t>日    期：</w:t>
      </w:r>
    </w:p>
    <w:p w14:paraId="5146AC48">
      <w:pPr>
        <w:pStyle w:val="12"/>
        <w:shd w:val="clear"/>
        <w:rPr>
          <w:b/>
          <w:color w:val="auto"/>
          <w:sz w:val="32"/>
          <w:szCs w:val="32"/>
          <w:highlight w:val="none"/>
        </w:rPr>
      </w:pPr>
    </w:p>
    <w:p w14:paraId="03A8EA6D">
      <w:pPr>
        <w:shd w:val="clear"/>
        <w:ind w:firstLine="321"/>
        <w:rPr>
          <w:b/>
          <w:color w:val="auto"/>
          <w:sz w:val="32"/>
          <w:szCs w:val="32"/>
          <w:highlight w:val="none"/>
        </w:rPr>
      </w:pPr>
    </w:p>
    <w:p w14:paraId="15C0F314">
      <w:pPr>
        <w:pStyle w:val="23"/>
        <w:shd w:val="clear"/>
        <w:rPr>
          <w:rFonts w:ascii="宋体" w:hAnsi="宋体" w:cs="宋体"/>
          <w:b/>
          <w:color w:val="auto"/>
          <w:sz w:val="32"/>
          <w:szCs w:val="32"/>
          <w:highlight w:val="none"/>
        </w:rPr>
      </w:pPr>
    </w:p>
    <w:p w14:paraId="2707EE06">
      <w:pPr>
        <w:shd w:val="clear"/>
        <w:rPr>
          <w:rFonts w:ascii="宋体" w:hAnsi="宋体"/>
          <w:color w:val="auto"/>
          <w:szCs w:val="21"/>
          <w:highlight w:val="none"/>
        </w:rPr>
      </w:pPr>
      <w:r>
        <w:rPr>
          <w:rFonts w:hint="eastAsia" w:ascii="宋体" w:hAnsi="宋体"/>
          <w:color w:val="auto"/>
          <w:szCs w:val="21"/>
          <w:highlight w:val="none"/>
        </w:rPr>
        <w:br w:type="page"/>
      </w:r>
    </w:p>
    <w:p w14:paraId="60BC09C0">
      <w:pPr>
        <w:pStyle w:val="8"/>
        <w:widowControl w:val="0"/>
        <w:shd w:val="clear"/>
        <w:overflowPunct w:val="0"/>
        <w:spacing w:line="240" w:lineRule="auto"/>
        <w:rPr>
          <w:rFonts w:ascii="宋体" w:hAnsi="宋体"/>
          <w:color w:val="auto"/>
          <w:sz w:val="21"/>
          <w:szCs w:val="21"/>
          <w:highlight w:val="none"/>
        </w:rPr>
      </w:pPr>
      <w:bookmarkStart w:id="128" w:name="_Toc8439"/>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.商务评分标准索引表</w:t>
      </w:r>
      <w:bookmarkEnd w:id="128"/>
    </w:p>
    <w:p w14:paraId="50099EA6">
      <w:pPr>
        <w:shd w:val="clear"/>
        <w:adjustRightInd/>
        <w:snapToGrid/>
        <w:spacing w:line="276" w:lineRule="auto"/>
        <w:rPr>
          <w:rFonts w:ascii="宋体" w:hAnsi="宋体"/>
          <w:color w:val="auto"/>
          <w:szCs w:val="21"/>
          <w:highlight w:val="none"/>
        </w:rPr>
      </w:pPr>
    </w:p>
    <w:p w14:paraId="40635FB3">
      <w:pPr>
        <w:shd w:val="clear"/>
        <w:jc w:val="center"/>
        <w:rPr>
          <w:rFonts w:ascii="黑体" w:eastAsia="黑体"/>
          <w:color w:val="auto"/>
          <w:sz w:val="32"/>
          <w:szCs w:val="32"/>
          <w:highlight w:val="none"/>
        </w:rPr>
      </w:pPr>
      <w:r>
        <w:rPr>
          <w:rFonts w:hint="eastAsia" w:ascii="黑体" w:eastAsia="黑体"/>
          <w:color w:val="auto"/>
          <w:sz w:val="32"/>
          <w:szCs w:val="32"/>
          <w:highlight w:val="none"/>
        </w:rPr>
        <w:t>商务评分标准索引表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50EF9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3FCA8278">
            <w:pPr>
              <w:shd w:val="clea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14:paraId="32EEC10A">
            <w:pPr>
              <w:shd w:val="clea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2EAE12A3">
            <w:pPr>
              <w:shd w:val="clea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010238FD">
            <w:pPr>
              <w:shd w:val="clea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7FFEE949">
            <w:pPr>
              <w:shd w:val="clear"/>
              <w:jc w:val="center"/>
              <w:rPr>
                <w:rFonts w:ascii="宋体" w:hAnsi="宋体" w:cs="宋体"/>
                <w:color w:val="auto"/>
                <w:highlight w:val="none"/>
              </w:rPr>
            </w:pPr>
            <w:r>
              <w:rPr>
                <w:rFonts w:hint="eastAsia" w:ascii="宋体" w:hAnsi="宋体" w:cs="宋体"/>
                <w:color w:val="auto"/>
                <w:highlight w:val="none"/>
              </w:rPr>
              <w:t>页码范围</w:t>
            </w:r>
          </w:p>
        </w:tc>
      </w:tr>
      <w:tr w14:paraId="11334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1CC8E1D1">
            <w:pPr>
              <w:shd w:val="clear"/>
              <w:rPr>
                <w:rFonts w:ascii="宋体" w:hAnsi="宋体" w:cs="宋体"/>
                <w:color w:val="auto"/>
                <w:highlight w:val="none"/>
              </w:rPr>
            </w:pPr>
            <w:r>
              <w:rPr>
                <w:rFonts w:hint="eastAsia" w:ascii="宋体" w:hAnsi="宋体" w:cs="宋体"/>
                <w:color w:val="auto"/>
                <w:highlight w:val="none"/>
              </w:rPr>
              <w:t>商务评审</w:t>
            </w:r>
          </w:p>
        </w:tc>
      </w:tr>
      <w:tr w14:paraId="18787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E19D485">
            <w:pPr>
              <w:shd w:val="clear"/>
              <w:jc w:val="center"/>
              <w:rPr>
                <w:rFonts w:ascii="宋体" w:hAnsi="宋体" w:cs="宋体"/>
                <w:color w:val="auto"/>
                <w:highlight w:val="none"/>
              </w:rPr>
            </w:pPr>
          </w:p>
        </w:tc>
        <w:tc>
          <w:tcPr>
            <w:tcW w:w="1704" w:type="dxa"/>
            <w:vAlign w:val="center"/>
          </w:tcPr>
          <w:p w14:paraId="7E615579">
            <w:pPr>
              <w:shd w:val="clear"/>
              <w:jc w:val="center"/>
              <w:rPr>
                <w:rFonts w:ascii="宋体" w:hAnsi="宋体" w:cs="宋体"/>
                <w:color w:val="auto"/>
                <w:highlight w:val="none"/>
              </w:rPr>
            </w:pPr>
          </w:p>
        </w:tc>
        <w:tc>
          <w:tcPr>
            <w:tcW w:w="1704" w:type="dxa"/>
            <w:vAlign w:val="center"/>
          </w:tcPr>
          <w:p w14:paraId="6DCF4A1C">
            <w:pPr>
              <w:shd w:val="clear"/>
              <w:jc w:val="center"/>
              <w:rPr>
                <w:rFonts w:ascii="宋体" w:hAnsi="宋体" w:cs="宋体"/>
                <w:color w:val="auto"/>
                <w:highlight w:val="none"/>
              </w:rPr>
            </w:pPr>
          </w:p>
        </w:tc>
        <w:tc>
          <w:tcPr>
            <w:tcW w:w="1705" w:type="dxa"/>
            <w:vAlign w:val="center"/>
          </w:tcPr>
          <w:p w14:paraId="40560AE2">
            <w:pPr>
              <w:shd w:val="clear"/>
              <w:jc w:val="center"/>
              <w:rPr>
                <w:rFonts w:ascii="宋体" w:hAnsi="宋体" w:cs="宋体"/>
                <w:color w:val="auto"/>
                <w:highlight w:val="none"/>
              </w:rPr>
            </w:pPr>
          </w:p>
        </w:tc>
        <w:tc>
          <w:tcPr>
            <w:tcW w:w="1705" w:type="dxa"/>
            <w:vAlign w:val="center"/>
          </w:tcPr>
          <w:p w14:paraId="5E3B88E2">
            <w:pPr>
              <w:shd w:val="clear"/>
              <w:jc w:val="center"/>
              <w:rPr>
                <w:rFonts w:ascii="宋体" w:hAnsi="宋体" w:cs="宋体"/>
                <w:color w:val="auto"/>
                <w:highlight w:val="none"/>
              </w:rPr>
            </w:pPr>
          </w:p>
        </w:tc>
      </w:tr>
      <w:tr w14:paraId="17361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7951E24">
            <w:pPr>
              <w:shd w:val="clear"/>
              <w:jc w:val="center"/>
              <w:rPr>
                <w:rFonts w:ascii="宋体" w:hAnsi="宋体" w:cs="宋体"/>
                <w:color w:val="auto"/>
                <w:highlight w:val="none"/>
              </w:rPr>
            </w:pPr>
          </w:p>
        </w:tc>
        <w:tc>
          <w:tcPr>
            <w:tcW w:w="1704" w:type="dxa"/>
            <w:vAlign w:val="center"/>
          </w:tcPr>
          <w:p w14:paraId="37DB81A8">
            <w:pPr>
              <w:shd w:val="clear"/>
              <w:jc w:val="center"/>
              <w:rPr>
                <w:rFonts w:ascii="宋体" w:hAnsi="宋体" w:cs="宋体"/>
                <w:color w:val="auto"/>
                <w:highlight w:val="none"/>
              </w:rPr>
            </w:pPr>
          </w:p>
        </w:tc>
        <w:tc>
          <w:tcPr>
            <w:tcW w:w="1704" w:type="dxa"/>
            <w:vAlign w:val="center"/>
          </w:tcPr>
          <w:p w14:paraId="21AC87E1">
            <w:pPr>
              <w:shd w:val="clear"/>
              <w:jc w:val="center"/>
              <w:rPr>
                <w:rFonts w:ascii="宋体" w:hAnsi="宋体" w:cs="宋体"/>
                <w:color w:val="auto"/>
                <w:highlight w:val="none"/>
              </w:rPr>
            </w:pPr>
          </w:p>
        </w:tc>
        <w:tc>
          <w:tcPr>
            <w:tcW w:w="1705" w:type="dxa"/>
            <w:vAlign w:val="center"/>
          </w:tcPr>
          <w:p w14:paraId="5EEB2D8C">
            <w:pPr>
              <w:shd w:val="clear"/>
              <w:jc w:val="center"/>
              <w:rPr>
                <w:rFonts w:ascii="宋体" w:hAnsi="宋体" w:cs="宋体"/>
                <w:color w:val="auto"/>
                <w:highlight w:val="none"/>
              </w:rPr>
            </w:pPr>
          </w:p>
        </w:tc>
        <w:tc>
          <w:tcPr>
            <w:tcW w:w="1705" w:type="dxa"/>
            <w:vAlign w:val="center"/>
          </w:tcPr>
          <w:p w14:paraId="1F25E022">
            <w:pPr>
              <w:shd w:val="clear"/>
              <w:jc w:val="center"/>
              <w:rPr>
                <w:rFonts w:ascii="宋体" w:hAnsi="宋体" w:cs="宋体"/>
                <w:color w:val="auto"/>
                <w:highlight w:val="none"/>
              </w:rPr>
            </w:pPr>
          </w:p>
        </w:tc>
      </w:tr>
      <w:tr w14:paraId="294FC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BC5D695">
            <w:pPr>
              <w:shd w:val="clear"/>
              <w:jc w:val="center"/>
              <w:rPr>
                <w:rFonts w:ascii="宋体" w:hAnsi="宋体" w:cs="宋体"/>
                <w:color w:val="auto"/>
                <w:highlight w:val="none"/>
              </w:rPr>
            </w:pPr>
          </w:p>
        </w:tc>
        <w:tc>
          <w:tcPr>
            <w:tcW w:w="1704" w:type="dxa"/>
            <w:vAlign w:val="center"/>
          </w:tcPr>
          <w:p w14:paraId="15E1229A">
            <w:pPr>
              <w:shd w:val="clear"/>
              <w:jc w:val="center"/>
              <w:rPr>
                <w:rFonts w:ascii="宋体" w:hAnsi="宋体" w:cs="宋体"/>
                <w:color w:val="auto"/>
                <w:highlight w:val="none"/>
              </w:rPr>
            </w:pPr>
          </w:p>
        </w:tc>
        <w:tc>
          <w:tcPr>
            <w:tcW w:w="1704" w:type="dxa"/>
            <w:vAlign w:val="center"/>
          </w:tcPr>
          <w:p w14:paraId="01757DFD">
            <w:pPr>
              <w:shd w:val="clear"/>
              <w:jc w:val="center"/>
              <w:rPr>
                <w:rFonts w:ascii="宋体" w:hAnsi="宋体" w:cs="宋体"/>
                <w:color w:val="auto"/>
                <w:highlight w:val="none"/>
              </w:rPr>
            </w:pPr>
          </w:p>
        </w:tc>
        <w:tc>
          <w:tcPr>
            <w:tcW w:w="1705" w:type="dxa"/>
            <w:vAlign w:val="center"/>
          </w:tcPr>
          <w:p w14:paraId="033A9CA1">
            <w:pPr>
              <w:shd w:val="clear"/>
              <w:jc w:val="center"/>
              <w:rPr>
                <w:rFonts w:ascii="宋体" w:hAnsi="宋体" w:cs="宋体"/>
                <w:color w:val="auto"/>
                <w:highlight w:val="none"/>
              </w:rPr>
            </w:pPr>
          </w:p>
        </w:tc>
        <w:tc>
          <w:tcPr>
            <w:tcW w:w="1705" w:type="dxa"/>
            <w:vAlign w:val="center"/>
          </w:tcPr>
          <w:p w14:paraId="6F9FDC74">
            <w:pPr>
              <w:shd w:val="clear"/>
              <w:jc w:val="center"/>
              <w:rPr>
                <w:rFonts w:ascii="宋体" w:hAnsi="宋体" w:cs="宋体"/>
                <w:color w:val="auto"/>
                <w:highlight w:val="none"/>
              </w:rPr>
            </w:pPr>
          </w:p>
        </w:tc>
      </w:tr>
    </w:tbl>
    <w:p w14:paraId="1AF6F3D1">
      <w:pPr>
        <w:shd w:val="clear"/>
        <w:rPr>
          <w:rFonts w:ascii="宋体" w:hAnsi="宋体"/>
          <w:color w:val="auto"/>
          <w:szCs w:val="21"/>
          <w:highlight w:val="none"/>
        </w:rPr>
      </w:pPr>
    </w:p>
    <w:p w14:paraId="6F4B1F55">
      <w:pPr>
        <w:shd w:val="clear"/>
        <w:rPr>
          <w:rFonts w:ascii="宋体" w:hAnsi="宋体"/>
          <w:color w:val="auto"/>
          <w:szCs w:val="21"/>
          <w:highlight w:val="none"/>
        </w:rPr>
      </w:pPr>
      <w:r>
        <w:rPr>
          <w:rFonts w:hint="eastAsia" w:ascii="宋体" w:hAnsi="宋体"/>
          <w:color w:val="auto"/>
          <w:szCs w:val="21"/>
          <w:highlight w:val="none"/>
        </w:rPr>
        <w:t>注：</w:t>
      </w:r>
    </w:p>
    <w:p w14:paraId="6C1C0411">
      <w:pPr>
        <w:numPr>
          <w:ilvl w:val="0"/>
          <w:numId w:val="12"/>
        </w:numPr>
        <w:shd w:val="clea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14:paraId="226B7403">
      <w:pPr>
        <w:rPr>
          <w:rFonts w:hint="eastAsia" w:ascii="宋体" w:hAnsi="宋体"/>
          <w:color w:val="auto"/>
          <w:sz w:val="21"/>
          <w:szCs w:val="21"/>
          <w:highlight w:val="none"/>
        </w:rPr>
      </w:pPr>
      <w:r>
        <w:rPr>
          <w:rFonts w:hint="eastAsia" w:ascii="宋体" w:hAnsi="宋体"/>
          <w:color w:val="auto"/>
          <w:sz w:val="21"/>
          <w:szCs w:val="21"/>
          <w:highlight w:val="none"/>
        </w:rPr>
        <w:br w:type="page"/>
      </w:r>
    </w:p>
    <w:p w14:paraId="1D53C360">
      <w:pPr>
        <w:pStyle w:val="8"/>
        <w:widowControl w:val="0"/>
        <w:shd w:val="clear"/>
        <w:overflowPunct w:val="0"/>
        <w:spacing w:line="240" w:lineRule="auto"/>
        <w:rPr>
          <w:color w:val="auto"/>
          <w:highlight w:val="none"/>
        </w:rPr>
      </w:pPr>
      <w:bookmarkStart w:id="129" w:name="_Toc155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.投标书格式</w:t>
      </w:r>
      <w:bookmarkEnd w:id="129"/>
    </w:p>
    <w:p w14:paraId="43A41CFF">
      <w:pPr>
        <w:shd w:val="clear"/>
        <w:jc w:val="center"/>
        <w:rPr>
          <w:rFonts w:ascii="宋体" w:hAnsi="宋体"/>
          <w:color w:val="auto"/>
          <w:szCs w:val="21"/>
          <w:highlight w:val="none"/>
        </w:rPr>
      </w:pPr>
      <w:r>
        <w:rPr>
          <w:rFonts w:hint="eastAsia" w:ascii="黑体" w:eastAsia="黑体"/>
          <w:color w:val="auto"/>
          <w:sz w:val="32"/>
          <w:szCs w:val="32"/>
          <w:highlight w:val="none"/>
        </w:rPr>
        <w:t>投标书</w:t>
      </w:r>
    </w:p>
    <w:p w14:paraId="47CD3177">
      <w:pPr>
        <w:shd w:val="clea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广东建瀚工程管理有限公司</w:t>
      </w:r>
      <w:r>
        <w:rPr>
          <w:rFonts w:hint="eastAsia" w:ascii="宋体" w:hAnsi="宋体"/>
          <w:color w:val="auto"/>
          <w:szCs w:val="21"/>
          <w:highlight w:val="none"/>
        </w:rPr>
        <w:t>：</w:t>
      </w:r>
    </w:p>
    <w:p w14:paraId="4C8C9200">
      <w:pPr>
        <w:shd w:val="clear"/>
        <w:rPr>
          <w:rFonts w:ascii="宋体" w:hAnsi="宋体"/>
          <w:color w:val="auto"/>
          <w:szCs w:val="21"/>
          <w:highlight w:val="none"/>
        </w:rPr>
      </w:pPr>
    </w:p>
    <w:p w14:paraId="6805193F">
      <w:pPr>
        <w:shd w:val="clea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4526BD54">
      <w:pPr>
        <w:shd w:val="clea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14:paraId="6C400E0A">
      <w:pPr>
        <w:widowControl w:val="0"/>
        <w:numPr>
          <w:ilvl w:val="0"/>
          <w:numId w:val="13"/>
        </w:numPr>
        <w:shd w:val="clea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7DADF590">
      <w:pPr>
        <w:widowControl w:val="0"/>
        <w:numPr>
          <w:ilvl w:val="0"/>
          <w:numId w:val="13"/>
        </w:numPr>
        <w:shd w:val="clea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31A1F8C7">
      <w:pPr>
        <w:widowControl w:val="0"/>
        <w:numPr>
          <w:ilvl w:val="0"/>
          <w:numId w:val="13"/>
        </w:numPr>
        <w:shd w:val="clea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678AD755">
      <w:pPr>
        <w:widowControl w:val="0"/>
        <w:numPr>
          <w:ilvl w:val="0"/>
          <w:numId w:val="13"/>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341DF789">
      <w:pPr>
        <w:widowControl w:val="0"/>
        <w:numPr>
          <w:ilvl w:val="0"/>
          <w:numId w:val="13"/>
        </w:numPr>
        <w:shd w:val="clea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0B022ED1">
      <w:pPr>
        <w:widowControl w:val="0"/>
        <w:numPr>
          <w:ilvl w:val="0"/>
          <w:numId w:val="13"/>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317F3B99">
      <w:pPr>
        <w:widowControl w:val="0"/>
        <w:numPr>
          <w:ilvl w:val="0"/>
          <w:numId w:val="13"/>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1926195B">
      <w:pPr>
        <w:widowControl w:val="0"/>
        <w:numPr>
          <w:ilvl w:val="0"/>
          <w:numId w:val="13"/>
        </w:numPr>
        <w:shd w:val="clea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1946D92A">
      <w:pPr>
        <w:shd w:val="clear"/>
        <w:rPr>
          <w:rFonts w:ascii="宋体" w:hAnsi="宋体"/>
          <w:color w:val="auto"/>
          <w:szCs w:val="21"/>
          <w:highlight w:val="none"/>
        </w:rPr>
      </w:pPr>
      <w:r>
        <w:rPr>
          <w:rFonts w:hint="eastAsia" w:ascii="宋体" w:hAnsi="宋体"/>
          <w:color w:val="auto"/>
          <w:szCs w:val="21"/>
          <w:highlight w:val="none"/>
        </w:rPr>
        <w:t>地址：　　　　　　　　　　　　　　　电子邮箱：　　　　</w:t>
      </w:r>
    </w:p>
    <w:p w14:paraId="30E062F1">
      <w:pPr>
        <w:shd w:val="clear"/>
        <w:rPr>
          <w:rFonts w:ascii="宋体" w:hAnsi="宋体"/>
          <w:color w:val="auto"/>
          <w:szCs w:val="21"/>
          <w:highlight w:val="none"/>
        </w:rPr>
      </w:pPr>
      <w:r>
        <w:rPr>
          <w:rFonts w:hint="eastAsia" w:ascii="宋体" w:hAnsi="宋体"/>
          <w:color w:val="auto"/>
          <w:szCs w:val="21"/>
          <w:highlight w:val="none"/>
        </w:rPr>
        <w:t>电话/移动电话：</w:t>
      </w:r>
    </w:p>
    <w:p w14:paraId="790E7234">
      <w:pPr>
        <w:shd w:val="clear"/>
        <w:rPr>
          <w:rFonts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55144E91">
      <w:pPr>
        <w:shd w:val="clear"/>
        <w:rPr>
          <w:rFonts w:ascii="宋体" w:hAnsi="宋体"/>
          <w:color w:val="auto"/>
          <w:szCs w:val="21"/>
          <w:highlight w:val="none"/>
        </w:rPr>
      </w:pPr>
      <w:r>
        <w:rPr>
          <w:rFonts w:hint="eastAsia" w:ascii="宋体" w:hAnsi="宋体"/>
          <w:color w:val="auto"/>
          <w:szCs w:val="21"/>
          <w:highlight w:val="none"/>
        </w:rPr>
        <w:t xml:space="preserve">投标人名称（全称）： </w:t>
      </w:r>
    </w:p>
    <w:p w14:paraId="4F76D21B">
      <w:pPr>
        <w:shd w:val="clear"/>
        <w:rPr>
          <w:rFonts w:ascii="宋体" w:hAnsi="宋体"/>
          <w:color w:val="auto"/>
          <w:szCs w:val="21"/>
          <w:highlight w:val="none"/>
        </w:rPr>
      </w:pPr>
      <w:r>
        <w:rPr>
          <w:rFonts w:hint="eastAsia" w:ascii="宋体" w:hAnsi="宋体"/>
          <w:color w:val="auto"/>
          <w:szCs w:val="21"/>
          <w:highlight w:val="none"/>
        </w:rPr>
        <w:t xml:space="preserve">投标人盖章： </w:t>
      </w:r>
    </w:p>
    <w:p w14:paraId="42110755">
      <w:pPr>
        <w:shd w:val="clear"/>
        <w:rPr>
          <w:color w:val="auto"/>
          <w:highlight w:val="none"/>
        </w:rPr>
      </w:pPr>
      <w:r>
        <w:rPr>
          <w:rFonts w:hint="eastAsia" w:ascii="宋体" w:hAnsi="宋体"/>
          <w:color w:val="auto"/>
          <w:szCs w:val="21"/>
          <w:highlight w:val="none"/>
        </w:rPr>
        <w:t>日期：</w:t>
      </w:r>
      <w:r>
        <w:rPr>
          <w:color w:val="auto"/>
          <w:highlight w:val="none"/>
        </w:rPr>
        <w:br w:type="page"/>
      </w:r>
    </w:p>
    <w:p w14:paraId="078AAE6C">
      <w:pPr>
        <w:pStyle w:val="8"/>
        <w:widowControl w:val="0"/>
        <w:shd w:val="clear"/>
        <w:overflowPunct w:val="0"/>
        <w:spacing w:line="240" w:lineRule="auto"/>
        <w:rPr>
          <w:rFonts w:ascii="宋体" w:hAnsi="宋体"/>
          <w:color w:val="auto"/>
          <w:sz w:val="21"/>
          <w:szCs w:val="21"/>
          <w:highlight w:val="none"/>
        </w:rPr>
      </w:pPr>
      <w:bookmarkStart w:id="130" w:name="_Toc2531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.法定代表人证明书格式</w:t>
      </w:r>
      <w:bookmarkEnd w:id="130"/>
    </w:p>
    <w:p w14:paraId="4435E940">
      <w:pPr>
        <w:shd w:val="clear"/>
        <w:rPr>
          <w:color w:val="auto"/>
          <w:highlight w:val="none"/>
        </w:rPr>
      </w:pPr>
    </w:p>
    <w:p w14:paraId="510E0F75">
      <w:pPr>
        <w:shd w:val="clea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0A4FCA36">
      <w:pPr>
        <w:pStyle w:val="45"/>
        <w:shd w:val="clear"/>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广东建瀚工程管理有限公司</w:t>
      </w:r>
    </w:p>
    <w:p w14:paraId="300C6440">
      <w:pPr>
        <w:pStyle w:val="45"/>
        <w:shd w:val="clear"/>
        <w:spacing w:line="420" w:lineRule="atLeast"/>
        <w:ind w:firstLine="433"/>
        <w:rPr>
          <w:rFonts w:ascii="宋体" w:eastAsia="宋体"/>
          <w:color w:val="auto"/>
          <w:sz w:val="21"/>
          <w:szCs w:val="21"/>
          <w:highlight w:val="none"/>
        </w:rPr>
      </w:pPr>
    </w:p>
    <w:p w14:paraId="626C360B">
      <w:pPr>
        <w:pStyle w:val="45"/>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3CD68377">
      <w:pPr>
        <w:pStyle w:val="45"/>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14:paraId="1BB44292">
      <w:pPr>
        <w:pStyle w:val="45"/>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14:paraId="279ADBD4">
      <w:pPr>
        <w:pStyle w:val="45"/>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14:paraId="0C7FB272">
      <w:pPr>
        <w:pStyle w:val="45"/>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1578278F">
      <w:pPr>
        <w:pStyle w:val="45"/>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性别：</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年龄：</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职务：</w:t>
      </w:r>
    </w:p>
    <w:p w14:paraId="6CF84B87">
      <w:pPr>
        <w:pStyle w:val="45"/>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（投标人名称）的法定代表人。</w:t>
      </w:r>
    </w:p>
    <w:p w14:paraId="08FE8972">
      <w:pPr>
        <w:shd w:val="clea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3A4D261C">
      <w:pPr>
        <w:pStyle w:val="45"/>
        <w:shd w:val="clear"/>
        <w:spacing w:line="500" w:lineRule="atLeast"/>
        <w:ind w:firstLine="3517" w:firstLineChars="1675"/>
        <w:rPr>
          <w:rFonts w:ascii="宋体" w:eastAsia="宋体"/>
          <w:color w:val="auto"/>
          <w:sz w:val="21"/>
          <w:szCs w:val="21"/>
          <w:highlight w:val="none"/>
        </w:rPr>
      </w:pPr>
    </w:p>
    <w:p w14:paraId="545685E6">
      <w:pPr>
        <w:pStyle w:val="45"/>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396C543C">
      <w:pPr>
        <w:pStyle w:val="45"/>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0D3917F4">
      <w:pPr>
        <w:pStyle w:val="45"/>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2DF017B7">
      <w:pPr>
        <w:pStyle w:val="45"/>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2629DAF4">
      <w:pPr>
        <w:pStyle w:val="45"/>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171DB56A">
      <w:pPr>
        <w:shd w:val="clear"/>
        <w:ind w:firstLine="420" w:firstLineChars="200"/>
        <w:rPr>
          <w:rFonts w:ascii="宋体" w:hAnsi="宋体"/>
          <w:color w:val="auto"/>
          <w:szCs w:val="21"/>
          <w:highlight w:val="none"/>
        </w:rPr>
      </w:pPr>
    </w:p>
    <w:p w14:paraId="24D8C772">
      <w:pPr>
        <w:shd w:val="clea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28"/>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5EEB72C8">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14801E91">
            <w:pPr>
              <w:pStyle w:val="45"/>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04E03804">
            <w:pPr>
              <w:pStyle w:val="45"/>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7EC732FC">
      <w:pPr>
        <w:shd w:val="clear"/>
        <w:rPr>
          <w:color w:val="auto"/>
          <w:highlight w:val="none"/>
        </w:rPr>
      </w:pPr>
    </w:p>
    <w:p w14:paraId="4CD3C6D9">
      <w:pPr>
        <w:shd w:val="clea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5E9A7289">
      <w:pPr>
        <w:pStyle w:val="8"/>
        <w:widowControl w:val="0"/>
        <w:shd w:val="clear"/>
        <w:overflowPunct w:val="0"/>
        <w:spacing w:line="240" w:lineRule="auto"/>
        <w:rPr>
          <w:color w:val="auto"/>
          <w:highlight w:val="none"/>
        </w:rPr>
      </w:pPr>
      <w:bookmarkStart w:id="131" w:name="_Toc20163"/>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.法定代表人授权书格式</w:t>
      </w:r>
      <w:bookmarkEnd w:id="131"/>
    </w:p>
    <w:p w14:paraId="5BAC3712">
      <w:pPr>
        <w:shd w:val="clear"/>
        <w:rPr>
          <w:color w:val="auto"/>
          <w:highlight w:val="none"/>
        </w:rPr>
      </w:pPr>
    </w:p>
    <w:p w14:paraId="7FE251A1">
      <w:pPr>
        <w:shd w:val="clea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2340C940">
      <w:pPr>
        <w:pStyle w:val="45"/>
        <w:shd w:val="clear"/>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广东建瀚工程管理有限公司</w:t>
      </w:r>
    </w:p>
    <w:p w14:paraId="37D90EFF">
      <w:pPr>
        <w:pStyle w:val="45"/>
        <w:shd w:val="clear"/>
        <w:spacing w:line="420" w:lineRule="atLeast"/>
        <w:ind w:firstLine="433"/>
        <w:rPr>
          <w:rFonts w:ascii="宋体" w:eastAsia="宋体"/>
          <w:color w:val="auto"/>
          <w:sz w:val="21"/>
          <w:szCs w:val="21"/>
          <w:highlight w:val="none"/>
        </w:rPr>
      </w:pPr>
    </w:p>
    <w:p w14:paraId="457AB060">
      <w:pPr>
        <w:shd w:val="clea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1BFC1FAD">
      <w:pPr>
        <w:shd w:val="clea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6AFAFED9">
      <w:pPr>
        <w:pStyle w:val="45"/>
        <w:shd w:val="clear"/>
        <w:spacing w:line="500" w:lineRule="atLeast"/>
        <w:ind w:firstLine="3517" w:firstLineChars="1675"/>
        <w:rPr>
          <w:rFonts w:ascii="宋体" w:eastAsia="宋体"/>
          <w:color w:val="auto"/>
          <w:sz w:val="21"/>
          <w:szCs w:val="21"/>
          <w:highlight w:val="none"/>
        </w:rPr>
      </w:pPr>
    </w:p>
    <w:p w14:paraId="01E38BD2">
      <w:pPr>
        <w:pStyle w:val="45"/>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757224E0">
      <w:pPr>
        <w:pStyle w:val="45"/>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082E6412">
      <w:pPr>
        <w:pStyle w:val="45"/>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66B3A2CF">
      <w:pPr>
        <w:pStyle w:val="45"/>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76C5F0BA">
      <w:pPr>
        <w:pStyle w:val="45"/>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14:paraId="3BF1620D">
      <w:pPr>
        <w:pStyle w:val="45"/>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22733E1E">
      <w:pPr>
        <w:pStyle w:val="45"/>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14:paraId="687107A8">
      <w:pPr>
        <w:pStyle w:val="45"/>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3E5A5E0F">
      <w:pPr>
        <w:shd w:val="clear"/>
        <w:ind w:firstLine="420" w:firstLineChars="200"/>
        <w:rPr>
          <w:color w:val="auto"/>
          <w:highlight w:val="none"/>
        </w:rPr>
      </w:pPr>
      <w:r>
        <w:rPr>
          <w:rFonts w:hint="eastAsia" w:ascii="宋体" w:hAnsi="宋体"/>
          <w:color w:val="auto"/>
          <w:szCs w:val="21"/>
          <w:highlight w:val="none"/>
        </w:rPr>
        <w:t>须附：被授权人身份证复印件。</w:t>
      </w:r>
    </w:p>
    <w:tbl>
      <w:tblPr>
        <w:tblStyle w:val="28"/>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695A0A2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714110E5">
            <w:pPr>
              <w:pStyle w:val="45"/>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1574285C">
            <w:pPr>
              <w:pStyle w:val="45"/>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71EB4434">
      <w:pPr>
        <w:shd w:val="clear"/>
        <w:ind w:firstLine="413" w:firstLineChars="196"/>
        <w:rPr>
          <w:rFonts w:ascii="宋体" w:hAnsi="宋体"/>
          <w:b/>
          <w:bCs w:val="0"/>
          <w:color w:val="auto"/>
          <w:szCs w:val="21"/>
          <w:highlight w:val="none"/>
        </w:rPr>
      </w:pPr>
      <w:bookmarkStart w:id="132" w:name="_Toc22486"/>
      <w:r>
        <w:rPr>
          <w:rFonts w:hint="eastAsia" w:ascii="宋体" w:hAnsi="宋体"/>
          <w:b/>
          <w:bCs w:val="0"/>
          <w:color w:val="auto"/>
          <w:szCs w:val="21"/>
          <w:highlight w:val="none"/>
        </w:rPr>
        <w:t>在递交投标文件时，投标人委托授权代表须为本单位正式员工（若联合体投标，允许是联合体任意一方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3956933D">
      <w:pPr>
        <w:shd w:val="clear"/>
        <w:adjustRightInd/>
        <w:snapToGrid/>
        <w:spacing w:line="276" w:lineRule="auto"/>
        <w:rPr>
          <w:color w:val="auto"/>
          <w:highlight w:val="none"/>
        </w:rPr>
      </w:pPr>
      <w:r>
        <w:rPr>
          <w:rFonts w:hint="eastAsia" w:ascii="宋体" w:hAnsi="宋体"/>
          <w:color w:val="auto"/>
          <w:szCs w:val="21"/>
          <w:highlight w:val="none"/>
        </w:rPr>
        <w:br w:type="page"/>
      </w:r>
    </w:p>
    <w:p w14:paraId="1534EA51">
      <w:pPr>
        <w:pStyle w:val="8"/>
        <w:widowControl w:val="0"/>
        <w:shd w:val="clear"/>
        <w:overflowPunct w:val="0"/>
        <w:spacing w:line="240" w:lineRule="auto"/>
        <w:rPr>
          <w:rFonts w:ascii="宋体" w:hAnsi="宋体"/>
          <w:color w:val="auto"/>
          <w:sz w:val="21"/>
          <w:szCs w:val="21"/>
          <w:highlight w:val="none"/>
        </w:rPr>
      </w:pPr>
      <w:bookmarkStart w:id="133" w:name="_Toc20463"/>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.资格申明</w:t>
      </w:r>
      <w:bookmarkEnd w:id="133"/>
    </w:p>
    <w:p w14:paraId="480285F9">
      <w:pPr>
        <w:shd w:val="clea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5355BCFA">
      <w:pPr>
        <w:pStyle w:val="45"/>
        <w:shd w:val="clear"/>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lang w:eastAsia="zh-CN"/>
        </w:rPr>
        <w:t>广东建瀚工程管理有限公司</w:t>
      </w:r>
      <w:r>
        <w:rPr>
          <w:rFonts w:hint="eastAsia" w:ascii="宋体" w:eastAsia="宋体"/>
          <w:color w:val="auto"/>
          <w:sz w:val="21"/>
          <w:szCs w:val="21"/>
          <w:highlight w:val="none"/>
        </w:rPr>
        <w:t>：</w:t>
      </w:r>
    </w:p>
    <w:p w14:paraId="2A132C1E">
      <w:pPr>
        <w:shd w:val="clear"/>
        <w:ind w:firstLine="420" w:firstLineChars="200"/>
        <w:rPr>
          <w:rFonts w:ascii="宋体" w:hAnsi="宋体"/>
          <w:color w:val="auto"/>
          <w:szCs w:val="21"/>
          <w:highlight w:val="none"/>
        </w:rPr>
      </w:pPr>
    </w:p>
    <w:p w14:paraId="38599CC4">
      <w:pPr>
        <w:shd w:val="clea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4D10C3EA">
      <w:pPr>
        <w:shd w:val="clea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780ACAA2">
      <w:pPr>
        <w:shd w:val="clea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2185858D">
      <w:pPr>
        <w:pStyle w:val="45"/>
        <w:shd w:val="clear"/>
        <w:spacing w:line="500" w:lineRule="atLeast"/>
        <w:ind w:firstLine="3517" w:firstLineChars="1675"/>
        <w:rPr>
          <w:rFonts w:ascii="宋体" w:eastAsia="宋体"/>
          <w:color w:val="auto"/>
          <w:sz w:val="21"/>
          <w:szCs w:val="21"/>
          <w:highlight w:val="none"/>
        </w:rPr>
      </w:pPr>
    </w:p>
    <w:p w14:paraId="076762F6">
      <w:pPr>
        <w:pStyle w:val="45"/>
        <w:shd w:val="clear"/>
        <w:spacing w:line="500" w:lineRule="atLeast"/>
        <w:ind w:firstLine="3517" w:firstLineChars="1675"/>
        <w:rPr>
          <w:rFonts w:ascii="宋体" w:eastAsia="宋体"/>
          <w:color w:val="auto"/>
          <w:sz w:val="21"/>
          <w:szCs w:val="21"/>
          <w:highlight w:val="none"/>
        </w:rPr>
      </w:pPr>
    </w:p>
    <w:p w14:paraId="38E5A070">
      <w:pPr>
        <w:pStyle w:val="45"/>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4E5304CB">
      <w:pPr>
        <w:pStyle w:val="45"/>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513CACF3">
      <w:pPr>
        <w:pStyle w:val="45"/>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14:paraId="48B87F09">
      <w:pPr>
        <w:pStyle w:val="45"/>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4CF4387C">
      <w:pPr>
        <w:pStyle w:val="8"/>
        <w:widowControl w:val="0"/>
        <w:shd w:val="clear"/>
        <w:overflowPunct w:val="0"/>
        <w:spacing w:line="240" w:lineRule="auto"/>
        <w:rPr>
          <w:rFonts w:ascii="宋体" w:hAnsi="宋体"/>
          <w:color w:val="auto"/>
          <w:sz w:val="21"/>
          <w:szCs w:val="21"/>
          <w:highlight w:val="none"/>
        </w:rPr>
      </w:pPr>
      <w:bookmarkStart w:id="134" w:name="_Toc23104"/>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.营业执照</w:t>
      </w:r>
      <w:bookmarkEnd w:id="134"/>
    </w:p>
    <w:p w14:paraId="6E53BD3D">
      <w:pPr>
        <w:shd w:val="clear"/>
        <w:jc w:val="center"/>
        <w:rPr>
          <w:rFonts w:ascii="黑体" w:eastAsia="黑体"/>
          <w:color w:val="auto"/>
          <w:sz w:val="28"/>
          <w:szCs w:val="28"/>
          <w:highlight w:val="none"/>
        </w:rPr>
      </w:pPr>
      <w:bookmarkStart w:id="135" w:name="_Toc1511"/>
      <w:bookmarkStart w:id="136" w:name="_Toc17470"/>
      <w:bookmarkStart w:id="137" w:name="_Toc5919"/>
      <w:bookmarkStart w:id="138" w:name="_Toc4926"/>
      <w:bookmarkStart w:id="139" w:name="_Toc24210"/>
      <w:r>
        <w:rPr>
          <w:rFonts w:hint="eastAsia" w:ascii="黑体" w:eastAsia="黑体"/>
          <w:color w:val="auto"/>
          <w:sz w:val="28"/>
          <w:szCs w:val="28"/>
          <w:highlight w:val="none"/>
        </w:rPr>
        <w:t>营业执照</w:t>
      </w:r>
      <w:bookmarkEnd w:id="135"/>
      <w:bookmarkEnd w:id="136"/>
      <w:bookmarkEnd w:id="137"/>
      <w:bookmarkEnd w:id="138"/>
      <w:bookmarkEnd w:id="139"/>
    </w:p>
    <w:p w14:paraId="4E9AACEC">
      <w:pPr>
        <w:shd w:val="clea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1B74FF62">
      <w:pPr>
        <w:pStyle w:val="8"/>
        <w:widowControl w:val="0"/>
        <w:shd w:val="clear"/>
        <w:overflowPunct w:val="0"/>
        <w:spacing w:line="240" w:lineRule="auto"/>
        <w:rPr>
          <w:rFonts w:ascii="宋体" w:hAnsi="宋体"/>
          <w:color w:val="auto"/>
          <w:sz w:val="21"/>
          <w:szCs w:val="21"/>
          <w:highlight w:val="none"/>
        </w:rPr>
      </w:pPr>
      <w:bookmarkStart w:id="140" w:name="_Toc15681"/>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10</w:t>
      </w:r>
      <w:r>
        <w:rPr>
          <w:rFonts w:hint="eastAsia" w:ascii="宋体" w:hAnsi="宋体"/>
          <w:color w:val="auto"/>
          <w:sz w:val="21"/>
          <w:szCs w:val="21"/>
          <w:highlight w:val="none"/>
        </w:rPr>
        <w:t>.相关资质证明文件</w:t>
      </w:r>
      <w:bookmarkEnd w:id="140"/>
    </w:p>
    <w:p w14:paraId="74534F27">
      <w:pPr>
        <w:shd w:val="clear"/>
        <w:rPr>
          <w:color w:val="auto"/>
          <w:highlight w:val="none"/>
        </w:rPr>
      </w:pPr>
    </w:p>
    <w:p w14:paraId="61956F8B">
      <w:pPr>
        <w:shd w:val="clear"/>
        <w:jc w:val="center"/>
        <w:rPr>
          <w:rFonts w:ascii="黑体" w:eastAsia="黑体"/>
          <w:color w:val="auto"/>
          <w:sz w:val="28"/>
          <w:szCs w:val="28"/>
          <w:highlight w:val="none"/>
        </w:rPr>
      </w:pPr>
      <w:bookmarkStart w:id="141" w:name="_Toc16233"/>
      <w:bookmarkStart w:id="142" w:name="_Toc9592"/>
      <w:bookmarkStart w:id="143" w:name="_Toc30307"/>
      <w:bookmarkStart w:id="144" w:name="_Toc13458"/>
      <w:bookmarkStart w:id="145" w:name="_Toc16698"/>
      <w:r>
        <w:rPr>
          <w:rFonts w:hint="eastAsia" w:ascii="黑体" w:eastAsia="黑体"/>
          <w:color w:val="auto"/>
          <w:sz w:val="28"/>
          <w:szCs w:val="28"/>
          <w:highlight w:val="none"/>
        </w:rPr>
        <w:t>相关资质证明文件</w:t>
      </w:r>
      <w:bookmarkEnd w:id="132"/>
      <w:bookmarkEnd w:id="141"/>
      <w:bookmarkEnd w:id="142"/>
      <w:bookmarkEnd w:id="143"/>
      <w:bookmarkEnd w:id="144"/>
      <w:bookmarkEnd w:id="145"/>
    </w:p>
    <w:p w14:paraId="529599B6">
      <w:pPr>
        <w:numPr>
          <w:ilvl w:val="0"/>
          <w:numId w:val="14"/>
        </w:numPr>
        <w:shd w:val="clea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34148897">
      <w:pPr>
        <w:numPr>
          <w:ilvl w:val="0"/>
          <w:numId w:val="14"/>
        </w:numPr>
        <w:shd w:val="clea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7194DC7C">
      <w:pPr>
        <w:pStyle w:val="8"/>
        <w:widowControl w:val="0"/>
        <w:shd w:val="clear"/>
        <w:overflowPunct w:val="0"/>
        <w:spacing w:line="240" w:lineRule="auto"/>
        <w:rPr>
          <w:rFonts w:ascii="楷体_GB2312" w:eastAsia="楷体_GB2312"/>
          <w:color w:val="auto"/>
          <w:highlight w:val="none"/>
        </w:rPr>
      </w:pPr>
      <w:bookmarkStart w:id="146" w:name="_Toc19474"/>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.在经营活动中没有重大违法记录的书面声明格式</w:t>
      </w:r>
      <w:bookmarkEnd w:id="146"/>
    </w:p>
    <w:p w14:paraId="07440F04">
      <w:pPr>
        <w:shd w:val="clear"/>
        <w:rPr>
          <w:color w:val="auto"/>
          <w:highlight w:val="none"/>
        </w:rPr>
      </w:pPr>
    </w:p>
    <w:p w14:paraId="7EECD092">
      <w:pPr>
        <w:shd w:val="clea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1FC4823D">
      <w:pPr>
        <w:shd w:val="clear"/>
        <w:ind w:firstLine="420" w:firstLineChars="200"/>
        <w:rPr>
          <w:rFonts w:ascii="宋体" w:hAnsi="宋体" w:cs="宋体"/>
          <w:color w:val="auto"/>
          <w:szCs w:val="21"/>
          <w:highlight w:val="none"/>
        </w:rPr>
      </w:pPr>
    </w:p>
    <w:p w14:paraId="7894A2FC">
      <w:pPr>
        <w:shd w:val="clear"/>
        <w:spacing w:line="480" w:lineRule="auto"/>
        <w:rPr>
          <w:rFonts w:ascii="宋体" w:hAnsi="宋体" w:cs="宋体"/>
          <w:color w:val="auto"/>
          <w:szCs w:val="21"/>
          <w:highlight w:val="none"/>
        </w:rPr>
      </w:pPr>
      <w:r>
        <w:rPr>
          <w:rFonts w:hint="eastAsia" w:ascii="宋体" w:hAnsi="宋体" w:cs="宋体"/>
          <w:color w:val="auto"/>
          <w:szCs w:val="21"/>
          <w:highlight w:val="none"/>
          <w:lang w:eastAsia="zh-CN"/>
        </w:rPr>
        <w:t>东莞市新锋新能源有限公司、广东建瀚工程管理有限公司</w:t>
      </w:r>
      <w:r>
        <w:rPr>
          <w:rFonts w:hint="eastAsia" w:ascii="宋体" w:hAnsi="宋体" w:cs="宋体"/>
          <w:color w:val="auto"/>
          <w:szCs w:val="21"/>
          <w:highlight w:val="none"/>
        </w:rPr>
        <w:t>：</w:t>
      </w:r>
    </w:p>
    <w:p w14:paraId="77032C44">
      <w:pPr>
        <w:shd w:val="clea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lang w:val="en-US" w:eastAsia="zh-CN"/>
        </w:rPr>
        <w:t>XX</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23835C35">
      <w:pPr>
        <w:shd w:val="clea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1FAC8852">
      <w:pPr>
        <w:shd w:val="clear"/>
        <w:ind w:firstLine="420" w:firstLineChars="200"/>
        <w:rPr>
          <w:rFonts w:ascii="宋体" w:hAnsi="宋体" w:cs="宋体"/>
          <w:color w:val="auto"/>
          <w:szCs w:val="21"/>
          <w:highlight w:val="none"/>
        </w:rPr>
      </w:pPr>
    </w:p>
    <w:p w14:paraId="0CC319EF">
      <w:pPr>
        <w:shd w:val="clear"/>
        <w:rPr>
          <w:rFonts w:ascii="宋体" w:hAnsi="宋体" w:cs="宋体"/>
          <w:color w:val="auto"/>
          <w:szCs w:val="21"/>
          <w:highlight w:val="none"/>
        </w:rPr>
      </w:pPr>
    </w:p>
    <w:p w14:paraId="09CB6135">
      <w:pPr>
        <w:shd w:val="clea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044D5F3D">
      <w:pPr>
        <w:shd w:val="clear"/>
        <w:rPr>
          <w:rFonts w:ascii="宋体" w:hAnsi="宋体" w:cs="宋体"/>
          <w:color w:val="auto"/>
          <w:szCs w:val="21"/>
          <w:highlight w:val="none"/>
        </w:rPr>
      </w:pPr>
    </w:p>
    <w:p w14:paraId="45D4D4BD">
      <w:pPr>
        <w:shd w:val="clea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44EE622F">
      <w:pPr>
        <w:shd w:val="clear"/>
        <w:rPr>
          <w:color w:val="auto"/>
          <w:highlight w:val="none"/>
        </w:rPr>
      </w:pPr>
    </w:p>
    <w:p w14:paraId="08955182">
      <w:pPr>
        <w:shd w:val="clear"/>
        <w:rPr>
          <w:rFonts w:ascii="宋体" w:hAnsi="宋体"/>
          <w:color w:val="auto"/>
          <w:szCs w:val="21"/>
          <w:highlight w:val="none"/>
        </w:rPr>
      </w:pPr>
    </w:p>
    <w:p w14:paraId="6BDF94CB">
      <w:pPr>
        <w:pStyle w:val="12"/>
        <w:shd w:val="clear"/>
        <w:rPr>
          <w:color w:val="auto"/>
          <w:sz w:val="21"/>
          <w:szCs w:val="21"/>
          <w:highlight w:val="none"/>
        </w:rPr>
      </w:pPr>
    </w:p>
    <w:p w14:paraId="1AAA3FF7">
      <w:pPr>
        <w:shd w:val="clear"/>
        <w:rPr>
          <w:rFonts w:ascii="宋体" w:hAnsi="宋体"/>
          <w:color w:val="auto"/>
          <w:szCs w:val="21"/>
          <w:highlight w:val="none"/>
        </w:rPr>
      </w:pPr>
    </w:p>
    <w:p w14:paraId="34426863">
      <w:pPr>
        <w:pStyle w:val="12"/>
        <w:shd w:val="clear"/>
        <w:rPr>
          <w:color w:val="auto"/>
          <w:sz w:val="21"/>
          <w:szCs w:val="21"/>
          <w:highlight w:val="none"/>
        </w:rPr>
      </w:pPr>
    </w:p>
    <w:p w14:paraId="01CA0E39">
      <w:pPr>
        <w:shd w:val="clear"/>
        <w:rPr>
          <w:rFonts w:ascii="宋体" w:hAnsi="宋体"/>
          <w:color w:val="auto"/>
          <w:szCs w:val="21"/>
          <w:highlight w:val="none"/>
        </w:rPr>
      </w:pPr>
    </w:p>
    <w:p w14:paraId="39DCCFB3">
      <w:pPr>
        <w:pStyle w:val="12"/>
        <w:shd w:val="clear"/>
        <w:rPr>
          <w:color w:val="auto"/>
          <w:sz w:val="21"/>
          <w:szCs w:val="21"/>
          <w:highlight w:val="none"/>
        </w:rPr>
      </w:pPr>
    </w:p>
    <w:p w14:paraId="69E722E2">
      <w:pPr>
        <w:shd w:val="clear"/>
        <w:rPr>
          <w:rFonts w:ascii="宋体" w:hAnsi="宋体"/>
          <w:color w:val="auto"/>
          <w:szCs w:val="21"/>
          <w:highlight w:val="none"/>
        </w:rPr>
      </w:pPr>
    </w:p>
    <w:p w14:paraId="3D81F9E1">
      <w:pPr>
        <w:pStyle w:val="12"/>
        <w:shd w:val="clear"/>
        <w:rPr>
          <w:color w:val="auto"/>
          <w:sz w:val="21"/>
          <w:szCs w:val="21"/>
          <w:highlight w:val="none"/>
        </w:rPr>
      </w:pPr>
    </w:p>
    <w:p w14:paraId="43BED70C">
      <w:pPr>
        <w:shd w:val="clear"/>
        <w:rPr>
          <w:rFonts w:ascii="宋体" w:hAnsi="宋体"/>
          <w:color w:val="auto"/>
          <w:szCs w:val="21"/>
          <w:highlight w:val="none"/>
        </w:rPr>
      </w:pPr>
    </w:p>
    <w:p w14:paraId="42BDA387">
      <w:pPr>
        <w:pStyle w:val="12"/>
        <w:shd w:val="clear"/>
        <w:rPr>
          <w:color w:val="auto"/>
          <w:sz w:val="21"/>
          <w:szCs w:val="21"/>
          <w:highlight w:val="none"/>
        </w:rPr>
      </w:pPr>
    </w:p>
    <w:p w14:paraId="4C1F7DDA">
      <w:pPr>
        <w:shd w:val="clear"/>
        <w:rPr>
          <w:color w:val="auto"/>
          <w:highlight w:val="none"/>
        </w:rPr>
      </w:pPr>
    </w:p>
    <w:p w14:paraId="4DE48EEF">
      <w:pPr>
        <w:pStyle w:val="8"/>
        <w:widowControl w:val="0"/>
        <w:shd w:val="clear"/>
        <w:overflowPunct w:val="0"/>
        <w:spacing w:line="240" w:lineRule="auto"/>
        <w:rPr>
          <w:rFonts w:ascii="楷体_GB2312" w:eastAsia="楷体_GB2312"/>
          <w:color w:val="auto"/>
          <w:highlight w:val="none"/>
        </w:rPr>
      </w:pPr>
      <w:bookmarkStart w:id="147" w:name="_Toc32530"/>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.承诺书格式</w:t>
      </w:r>
      <w:bookmarkEnd w:id="147"/>
    </w:p>
    <w:p w14:paraId="36CF7DDB">
      <w:pPr>
        <w:shd w:val="clea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3829C789">
      <w:pPr>
        <w:pStyle w:val="45"/>
        <w:shd w:val="clear"/>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广东建瀚工程管理有限公司</w:t>
      </w:r>
      <w:r>
        <w:rPr>
          <w:rFonts w:hint="eastAsia" w:ascii="宋体" w:eastAsia="宋体" w:cs="宋体"/>
          <w:color w:val="auto"/>
          <w:sz w:val="21"/>
          <w:szCs w:val="21"/>
          <w:highlight w:val="none"/>
        </w:rPr>
        <w:t>：</w:t>
      </w:r>
    </w:p>
    <w:p w14:paraId="5FE7FC3D">
      <w:pPr>
        <w:shd w:val="clear"/>
        <w:jc w:val="center"/>
        <w:rPr>
          <w:rFonts w:ascii="宋体" w:hAnsi="宋体" w:cs="宋体"/>
          <w:color w:val="auto"/>
          <w:szCs w:val="21"/>
          <w:highlight w:val="none"/>
        </w:rPr>
      </w:pPr>
    </w:p>
    <w:p w14:paraId="098F421C">
      <w:pPr>
        <w:pStyle w:val="45"/>
        <w:shd w:val="clear"/>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260052E3">
      <w:pPr>
        <w:pStyle w:val="45"/>
        <w:shd w:val="clear"/>
        <w:spacing w:line="420" w:lineRule="exact"/>
        <w:ind w:firstLine="433"/>
        <w:rPr>
          <w:rFonts w:ascii="宋体" w:eastAsia="宋体" w:cs="宋体"/>
          <w:color w:val="auto"/>
          <w:sz w:val="21"/>
          <w:szCs w:val="21"/>
          <w:highlight w:val="none"/>
        </w:rPr>
      </w:pPr>
    </w:p>
    <w:p w14:paraId="3CB2D519">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65B32B44">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221FE8AD">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69AC0B30">
      <w:pPr>
        <w:shd w:val="clear"/>
        <w:rPr>
          <w:color w:val="auto"/>
          <w:highlight w:val="none"/>
        </w:rPr>
      </w:pPr>
    </w:p>
    <w:p w14:paraId="201339C8">
      <w:pPr>
        <w:shd w:val="clear"/>
        <w:rPr>
          <w:rFonts w:ascii="宋体" w:hAnsi="宋体"/>
          <w:color w:val="auto"/>
          <w:szCs w:val="21"/>
          <w:highlight w:val="none"/>
        </w:rPr>
      </w:pPr>
    </w:p>
    <w:p w14:paraId="79073F96">
      <w:pPr>
        <w:pStyle w:val="12"/>
        <w:shd w:val="clear"/>
        <w:rPr>
          <w:color w:val="auto"/>
          <w:sz w:val="21"/>
          <w:szCs w:val="21"/>
          <w:highlight w:val="none"/>
        </w:rPr>
      </w:pPr>
    </w:p>
    <w:p w14:paraId="6B186A5F">
      <w:pPr>
        <w:shd w:val="clear"/>
        <w:rPr>
          <w:rFonts w:ascii="宋体" w:hAnsi="宋体"/>
          <w:color w:val="auto"/>
          <w:szCs w:val="21"/>
          <w:highlight w:val="none"/>
        </w:rPr>
      </w:pPr>
    </w:p>
    <w:p w14:paraId="72D41634">
      <w:pPr>
        <w:pStyle w:val="12"/>
        <w:shd w:val="clear"/>
        <w:rPr>
          <w:color w:val="auto"/>
          <w:sz w:val="21"/>
          <w:szCs w:val="21"/>
          <w:highlight w:val="none"/>
        </w:rPr>
      </w:pPr>
    </w:p>
    <w:p w14:paraId="4506FD1E">
      <w:pPr>
        <w:shd w:val="clear"/>
        <w:rPr>
          <w:rFonts w:ascii="宋体" w:hAnsi="宋体"/>
          <w:color w:val="auto"/>
          <w:szCs w:val="21"/>
          <w:highlight w:val="none"/>
        </w:rPr>
      </w:pPr>
    </w:p>
    <w:p w14:paraId="4D0CE247">
      <w:pPr>
        <w:pStyle w:val="12"/>
        <w:shd w:val="clear"/>
        <w:rPr>
          <w:color w:val="auto"/>
          <w:sz w:val="21"/>
          <w:szCs w:val="21"/>
          <w:highlight w:val="none"/>
        </w:rPr>
      </w:pPr>
    </w:p>
    <w:p w14:paraId="0CF8B49F">
      <w:pPr>
        <w:shd w:val="clear"/>
        <w:rPr>
          <w:rFonts w:ascii="宋体" w:hAnsi="宋体"/>
          <w:color w:val="auto"/>
          <w:szCs w:val="21"/>
          <w:highlight w:val="none"/>
        </w:rPr>
      </w:pPr>
    </w:p>
    <w:p w14:paraId="2BC7E15A">
      <w:pPr>
        <w:pStyle w:val="12"/>
        <w:shd w:val="clear"/>
        <w:rPr>
          <w:color w:val="auto"/>
          <w:sz w:val="21"/>
          <w:szCs w:val="21"/>
          <w:highlight w:val="none"/>
        </w:rPr>
      </w:pPr>
    </w:p>
    <w:p w14:paraId="452F957F">
      <w:pPr>
        <w:shd w:val="clear"/>
        <w:rPr>
          <w:rFonts w:ascii="宋体" w:hAnsi="宋体"/>
          <w:color w:val="auto"/>
          <w:szCs w:val="21"/>
          <w:highlight w:val="none"/>
        </w:rPr>
      </w:pPr>
    </w:p>
    <w:p w14:paraId="46F89297">
      <w:pPr>
        <w:pStyle w:val="12"/>
        <w:shd w:val="clear"/>
        <w:rPr>
          <w:color w:val="auto"/>
          <w:sz w:val="21"/>
          <w:szCs w:val="21"/>
          <w:highlight w:val="none"/>
        </w:rPr>
      </w:pPr>
    </w:p>
    <w:p w14:paraId="27C51ACA">
      <w:pPr>
        <w:shd w:val="clear"/>
        <w:rPr>
          <w:rFonts w:ascii="宋体" w:hAnsi="宋体"/>
          <w:color w:val="auto"/>
          <w:szCs w:val="21"/>
          <w:highlight w:val="none"/>
        </w:rPr>
      </w:pPr>
    </w:p>
    <w:p w14:paraId="25AFEA21">
      <w:pPr>
        <w:pStyle w:val="12"/>
        <w:shd w:val="clear"/>
        <w:rPr>
          <w:color w:val="auto"/>
          <w:sz w:val="21"/>
          <w:szCs w:val="21"/>
          <w:highlight w:val="none"/>
        </w:rPr>
      </w:pPr>
    </w:p>
    <w:p w14:paraId="67B3F39C">
      <w:pPr>
        <w:shd w:val="clear"/>
        <w:rPr>
          <w:rFonts w:ascii="宋体" w:hAnsi="宋体"/>
          <w:color w:val="auto"/>
          <w:szCs w:val="21"/>
          <w:highlight w:val="none"/>
        </w:rPr>
      </w:pPr>
    </w:p>
    <w:p w14:paraId="2CA9576A">
      <w:pPr>
        <w:pStyle w:val="12"/>
        <w:shd w:val="clear"/>
        <w:rPr>
          <w:color w:val="auto"/>
          <w:sz w:val="21"/>
          <w:szCs w:val="21"/>
          <w:highlight w:val="none"/>
        </w:rPr>
      </w:pPr>
    </w:p>
    <w:p w14:paraId="3F08A258">
      <w:pPr>
        <w:shd w:val="clear"/>
        <w:rPr>
          <w:rFonts w:ascii="宋体" w:hAnsi="宋体"/>
          <w:color w:val="auto"/>
          <w:szCs w:val="21"/>
          <w:highlight w:val="none"/>
        </w:rPr>
      </w:pPr>
    </w:p>
    <w:p w14:paraId="602174A0">
      <w:pPr>
        <w:pStyle w:val="12"/>
        <w:shd w:val="clear"/>
        <w:rPr>
          <w:color w:val="auto"/>
          <w:sz w:val="21"/>
          <w:szCs w:val="21"/>
          <w:highlight w:val="none"/>
        </w:rPr>
      </w:pPr>
    </w:p>
    <w:p w14:paraId="135F5BC2">
      <w:pPr>
        <w:shd w:val="clear"/>
        <w:rPr>
          <w:color w:val="auto"/>
          <w:highlight w:val="none"/>
        </w:rPr>
      </w:pPr>
    </w:p>
    <w:p w14:paraId="30B18ADB">
      <w:pPr>
        <w:pStyle w:val="8"/>
        <w:widowControl w:val="0"/>
        <w:shd w:val="clear"/>
        <w:overflowPunct w:val="0"/>
        <w:spacing w:line="240" w:lineRule="auto"/>
        <w:rPr>
          <w:rFonts w:ascii="宋体" w:hAnsi="宋体"/>
          <w:color w:val="auto"/>
          <w:sz w:val="21"/>
          <w:szCs w:val="21"/>
          <w:highlight w:val="none"/>
        </w:rPr>
      </w:pPr>
      <w:bookmarkStart w:id="148" w:name="_Toc8279"/>
      <w:bookmarkStart w:id="149" w:name="_Toc29421"/>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.商务需求条款偏离表格式</w:t>
      </w:r>
      <w:bookmarkEnd w:id="148"/>
      <w:bookmarkEnd w:id="149"/>
    </w:p>
    <w:p w14:paraId="3E8109BE">
      <w:pPr>
        <w:shd w:val="clear"/>
        <w:jc w:val="center"/>
        <w:rPr>
          <w:rFonts w:ascii="黑体" w:eastAsia="黑体"/>
          <w:color w:val="auto"/>
          <w:sz w:val="28"/>
          <w:szCs w:val="28"/>
          <w:highlight w:val="none"/>
        </w:rPr>
      </w:pPr>
    </w:p>
    <w:p w14:paraId="4BD98CA1">
      <w:pPr>
        <w:shd w:val="clea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28"/>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2D6EE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2" w:hRule="atLeast"/>
        </w:trPr>
        <w:tc>
          <w:tcPr>
            <w:tcW w:w="1008" w:type="dxa"/>
            <w:vAlign w:val="center"/>
          </w:tcPr>
          <w:p w14:paraId="79CF4469">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31083305">
            <w:pPr>
              <w:shd w:val="clea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5D26D7B5">
            <w:pPr>
              <w:shd w:val="clea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2178F140">
            <w:pPr>
              <w:shd w:val="clea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3083AC93">
            <w:pPr>
              <w:shd w:val="clea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6F663D7B">
            <w:pPr>
              <w:shd w:val="clear"/>
              <w:jc w:val="center"/>
              <w:rPr>
                <w:rFonts w:ascii="宋体" w:hAnsi="宋体"/>
                <w:color w:val="auto"/>
                <w:szCs w:val="21"/>
                <w:highlight w:val="none"/>
              </w:rPr>
            </w:pPr>
            <w:r>
              <w:rPr>
                <w:rFonts w:hint="eastAsia" w:ascii="宋体" w:hAnsi="宋体"/>
                <w:color w:val="auto"/>
                <w:szCs w:val="21"/>
                <w:highlight w:val="none"/>
              </w:rPr>
              <w:t>说明</w:t>
            </w:r>
          </w:p>
        </w:tc>
      </w:tr>
      <w:tr w14:paraId="26D03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674F451">
            <w:pPr>
              <w:shd w:val="clear"/>
              <w:jc w:val="center"/>
              <w:rPr>
                <w:rFonts w:ascii="宋体" w:hAnsi="宋体"/>
                <w:color w:val="auto"/>
                <w:szCs w:val="21"/>
                <w:highlight w:val="none"/>
              </w:rPr>
            </w:pPr>
          </w:p>
        </w:tc>
        <w:tc>
          <w:tcPr>
            <w:tcW w:w="1620" w:type="dxa"/>
            <w:vAlign w:val="center"/>
          </w:tcPr>
          <w:p w14:paraId="04A03B82">
            <w:pPr>
              <w:shd w:val="clear"/>
              <w:jc w:val="center"/>
              <w:rPr>
                <w:rFonts w:ascii="宋体" w:hAnsi="宋体"/>
                <w:color w:val="auto"/>
                <w:szCs w:val="21"/>
                <w:highlight w:val="none"/>
              </w:rPr>
            </w:pPr>
          </w:p>
        </w:tc>
        <w:tc>
          <w:tcPr>
            <w:tcW w:w="1360" w:type="dxa"/>
            <w:vAlign w:val="center"/>
          </w:tcPr>
          <w:p w14:paraId="0BC5F577">
            <w:pPr>
              <w:shd w:val="clear"/>
              <w:jc w:val="center"/>
              <w:rPr>
                <w:rFonts w:ascii="宋体" w:hAnsi="宋体"/>
                <w:color w:val="auto"/>
                <w:szCs w:val="21"/>
                <w:highlight w:val="none"/>
              </w:rPr>
            </w:pPr>
          </w:p>
        </w:tc>
        <w:tc>
          <w:tcPr>
            <w:tcW w:w="1587" w:type="dxa"/>
            <w:vAlign w:val="center"/>
          </w:tcPr>
          <w:p w14:paraId="585BFDDD">
            <w:pPr>
              <w:shd w:val="clear"/>
              <w:jc w:val="center"/>
              <w:rPr>
                <w:rFonts w:ascii="宋体" w:hAnsi="宋体"/>
                <w:color w:val="auto"/>
                <w:szCs w:val="21"/>
                <w:highlight w:val="none"/>
              </w:rPr>
            </w:pPr>
          </w:p>
        </w:tc>
        <w:tc>
          <w:tcPr>
            <w:tcW w:w="1133" w:type="dxa"/>
            <w:vAlign w:val="center"/>
          </w:tcPr>
          <w:p w14:paraId="0CD82264">
            <w:pPr>
              <w:shd w:val="clear"/>
              <w:jc w:val="center"/>
              <w:rPr>
                <w:rFonts w:ascii="宋体" w:hAnsi="宋体"/>
                <w:color w:val="auto"/>
                <w:szCs w:val="21"/>
                <w:highlight w:val="none"/>
              </w:rPr>
            </w:pPr>
          </w:p>
        </w:tc>
        <w:tc>
          <w:tcPr>
            <w:tcW w:w="1730" w:type="dxa"/>
            <w:vAlign w:val="center"/>
          </w:tcPr>
          <w:p w14:paraId="075E1040">
            <w:pPr>
              <w:shd w:val="clear"/>
              <w:jc w:val="center"/>
              <w:rPr>
                <w:rFonts w:ascii="宋体" w:hAnsi="宋体"/>
                <w:color w:val="auto"/>
                <w:szCs w:val="21"/>
                <w:highlight w:val="none"/>
              </w:rPr>
            </w:pPr>
          </w:p>
        </w:tc>
      </w:tr>
      <w:tr w14:paraId="7AE5C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24F776A">
            <w:pPr>
              <w:shd w:val="clear"/>
              <w:jc w:val="center"/>
              <w:rPr>
                <w:rFonts w:ascii="宋体" w:hAnsi="宋体"/>
                <w:color w:val="auto"/>
                <w:szCs w:val="21"/>
                <w:highlight w:val="none"/>
              </w:rPr>
            </w:pPr>
          </w:p>
        </w:tc>
        <w:tc>
          <w:tcPr>
            <w:tcW w:w="1620" w:type="dxa"/>
            <w:vAlign w:val="center"/>
          </w:tcPr>
          <w:p w14:paraId="56849E98">
            <w:pPr>
              <w:shd w:val="clear"/>
              <w:jc w:val="center"/>
              <w:rPr>
                <w:rFonts w:ascii="宋体" w:hAnsi="宋体"/>
                <w:color w:val="auto"/>
                <w:szCs w:val="21"/>
                <w:highlight w:val="none"/>
              </w:rPr>
            </w:pPr>
          </w:p>
        </w:tc>
        <w:tc>
          <w:tcPr>
            <w:tcW w:w="1360" w:type="dxa"/>
            <w:vAlign w:val="center"/>
          </w:tcPr>
          <w:p w14:paraId="15B941DA">
            <w:pPr>
              <w:shd w:val="clear"/>
              <w:jc w:val="center"/>
              <w:rPr>
                <w:rFonts w:ascii="宋体" w:hAnsi="宋体"/>
                <w:color w:val="auto"/>
                <w:szCs w:val="21"/>
                <w:highlight w:val="none"/>
              </w:rPr>
            </w:pPr>
          </w:p>
        </w:tc>
        <w:tc>
          <w:tcPr>
            <w:tcW w:w="1587" w:type="dxa"/>
            <w:vAlign w:val="center"/>
          </w:tcPr>
          <w:p w14:paraId="263B3B31">
            <w:pPr>
              <w:shd w:val="clear"/>
              <w:jc w:val="center"/>
              <w:rPr>
                <w:rFonts w:ascii="宋体" w:hAnsi="宋体"/>
                <w:color w:val="auto"/>
                <w:szCs w:val="21"/>
                <w:highlight w:val="none"/>
              </w:rPr>
            </w:pPr>
          </w:p>
        </w:tc>
        <w:tc>
          <w:tcPr>
            <w:tcW w:w="1133" w:type="dxa"/>
            <w:vAlign w:val="center"/>
          </w:tcPr>
          <w:p w14:paraId="09959DED">
            <w:pPr>
              <w:shd w:val="clear"/>
              <w:jc w:val="center"/>
              <w:rPr>
                <w:rFonts w:ascii="宋体" w:hAnsi="宋体"/>
                <w:color w:val="auto"/>
                <w:szCs w:val="21"/>
                <w:highlight w:val="none"/>
              </w:rPr>
            </w:pPr>
          </w:p>
        </w:tc>
        <w:tc>
          <w:tcPr>
            <w:tcW w:w="1730" w:type="dxa"/>
            <w:vAlign w:val="center"/>
          </w:tcPr>
          <w:p w14:paraId="47BBFD57">
            <w:pPr>
              <w:shd w:val="clear"/>
              <w:jc w:val="center"/>
              <w:rPr>
                <w:rFonts w:ascii="宋体" w:hAnsi="宋体"/>
                <w:color w:val="auto"/>
                <w:szCs w:val="21"/>
                <w:highlight w:val="none"/>
              </w:rPr>
            </w:pPr>
          </w:p>
        </w:tc>
      </w:tr>
      <w:tr w14:paraId="42E76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B0CFB3E">
            <w:pPr>
              <w:shd w:val="clear"/>
              <w:jc w:val="center"/>
              <w:rPr>
                <w:rFonts w:ascii="宋体" w:hAnsi="宋体"/>
                <w:color w:val="auto"/>
                <w:szCs w:val="21"/>
                <w:highlight w:val="none"/>
              </w:rPr>
            </w:pPr>
          </w:p>
        </w:tc>
        <w:tc>
          <w:tcPr>
            <w:tcW w:w="1620" w:type="dxa"/>
            <w:vAlign w:val="center"/>
          </w:tcPr>
          <w:p w14:paraId="3F2FABEE">
            <w:pPr>
              <w:shd w:val="clear"/>
              <w:jc w:val="center"/>
              <w:rPr>
                <w:rFonts w:ascii="宋体" w:hAnsi="宋体"/>
                <w:color w:val="auto"/>
                <w:szCs w:val="21"/>
                <w:highlight w:val="none"/>
              </w:rPr>
            </w:pPr>
          </w:p>
        </w:tc>
        <w:tc>
          <w:tcPr>
            <w:tcW w:w="1360" w:type="dxa"/>
            <w:vAlign w:val="center"/>
          </w:tcPr>
          <w:p w14:paraId="0D7EC073">
            <w:pPr>
              <w:shd w:val="clear"/>
              <w:jc w:val="center"/>
              <w:rPr>
                <w:rFonts w:ascii="宋体" w:hAnsi="宋体"/>
                <w:color w:val="auto"/>
                <w:szCs w:val="21"/>
                <w:highlight w:val="none"/>
              </w:rPr>
            </w:pPr>
          </w:p>
        </w:tc>
        <w:tc>
          <w:tcPr>
            <w:tcW w:w="1587" w:type="dxa"/>
            <w:vAlign w:val="center"/>
          </w:tcPr>
          <w:p w14:paraId="3E14D529">
            <w:pPr>
              <w:shd w:val="clear"/>
              <w:jc w:val="center"/>
              <w:rPr>
                <w:rFonts w:ascii="宋体" w:hAnsi="宋体"/>
                <w:color w:val="auto"/>
                <w:szCs w:val="21"/>
                <w:highlight w:val="none"/>
              </w:rPr>
            </w:pPr>
          </w:p>
        </w:tc>
        <w:tc>
          <w:tcPr>
            <w:tcW w:w="1133" w:type="dxa"/>
            <w:vAlign w:val="center"/>
          </w:tcPr>
          <w:p w14:paraId="707115F7">
            <w:pPr>
              <w:shd w:val="clear"/>
              <w:jc w:val="center"/>
              <w:rPr>
                <w:rFonts w:ascii="宋体" w:hAnsi="宋体"/>
                <w:color w:val="auto"/>
                <w:szCs w:val="21"/>
                <w:highlight w:val="none"/>
              </w:rPr>
            </w:pPr>
          </w:p>
        </w:tc>
        <w:tc>
          <w:tcPr>
            <w:tcW w:w="1730" w:type="dxa"/>
            <w:vAlign w:val="center"/>
          </w:tcPr>
          <w:p w14:paraId="69B693B5">
            <w:pPr>
              <w:shd w:val="clear"/>
              <w:jc w:val="center"/>
              <w:rPr>
                <w:rFonts w:ascii="宋体" w:hAnsi="宋体"/>
                <w:color w:val="auto"/>
                <w:szCs w:val="21"/>
                <w:highlight w:val="none"/>
              </w:rPr>
            </w:pPr>
          </w:p>
        </w:tc>
      </w:tr>
      <w:tr w14:paraId="6C51E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BC5653E">
            <w:pPr>
              <w:shd w:val="clear"/>
              <w:jc w:val="center"/>
              <w:rPr>
                <w:rFonts w:ascii="宋体" w:hAnsi="宋体"/>
                <w:color w:val="auto"/>
                <w:szCs w:val="21"/>
                <w:highlight w:val="none"/>
              </w:rPr>
            </w:pPr>
          </w:p>
        </w:tc>
        <w:tc>
          <w:tcPr>
            <w:tcW w:w="1620" w:type="dxa"/>
            <w:vAlign w:val="center"/>
          </w:tcPr>
          <w:p w14:paraId="77A2D521">
            <w:pPr>
              <w:shd w:val="clear"/>
              <w:jc w:val="center"/>
              <w:rPr>
                <w:rFonts w:ascii="宋体" w:hAnsi="宋体"/>
                <w:color w:val="auto"/>
                <w:szCs w:val="21"/>
                <w:highlight w:val="none"/>
              </w:rPr>
            </w:pPr>
          </w:p>
        </w:tc>
        <w:tc>
          <w:tcPr>
            <w:tcW w:w="1360" w:type="dxa"/>
            <w:vAlign w:val="center"/>
          </w:tcPr>
          <w:p w14:paraId="1CA5BCBF">
            <w:pPr>
              <w:shd w:val="clear"/>
              <w:jc w:val="center"/>
              <w:rPr>
                <w:rFonts w:ascii="宋体" w:hAnsi="宋体"/>
                <w:color w:val="auto"/>
                <w:szCs w:val="21"/>
                <w:highlight w:val="none"/>
              </w:rPr>
            </w:pPr>
          </w:p>
        </w:tc>
        <w:tc>
          <w:tcPr>
            <w:tcW w:w="1587" w:type="dxa"/>
            <w:vAlign w:val="center"/>
          </w:tcPr>
          <w:p w14:paraId="0C152E87">
            <w:pPr>
              <w:shd w:val="clear"/>
              <w:jc w:val="center"/>
              <w:rPr>
                <w:rFonts w:ascii="宋体" w:hAnsi="宋体"/>
                <w:color w:val="auto"/>
                <w:szCs w:val="21"/>
                <w:highlight w:val="none"/>
              </w:rPr>
            </w:pPr>
          </w:p>
        </w:tc>
        <w:tc>
          <w:tcPr>
            <w:tcW w:w="1133" w:type="dxa"/>
            <w:vAlign w:val="center"/>
          </w:tcPr>
          <w:p w14:paraId="4BEFE954">
            <w:pPr>
              <w:shd w:val="clear"/>
              <w:jc w:val="center"/>
              <w:rPr>
                <w:rFonts w:ascii="宋体" w:hAnsi="宋体"/>
                <w:color w:val="auto"/>
                <w:szCs w:val="21"/>
                <w:highlight w:val="none"/>
              </w:rPr>
            </w:pPr>
          </w:p>
        </w:tc>
        <w:tc>
          <w:tcPr>
            <w:tcW w:w="1730" w:type="dxa"/>
            <w:vAlign w:val="center"/>
          </w:tcPr>
          <w:p w14:paraId="25FB2579">
            <w:pPr>
              <w:shd w:val="clear"/>
              <w:jc w:val="center"/>
              <w:rPr>
                <w:rFonts w:ascii="宋体" w:hAnsi="宋体"/>
                <w:color w:val="auto"/>
                <w:szCs w:val="21"/>
                <w:highlight w:val="none"/>
              </w:rPr>
            </w:pPr>
          </w:p>
        </w:tc>
      </w:tr>
      <w:tr w14:paraId="07824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1E6F4FF">
            <w:pPr>
              <w:shd w:val="clear"/>
              <w:jc w:val="center"/>
              <w:rPr>
                <w:rFonts w:ascii="宋体" w:hAnsi="宋体"/>
                <w:color w:val="auto"/>
                <w:szCs w:val="21"/>
                <w:highlight w:val="none"/>
              </w:rPr>
            </w:pPr>
          </w:p>
        </w:tc>
        <w:tc>
          <w:tcPr>
            <w:tcW w:w="1620" w:type="dxa"/>
            <w:vAlign w:val="center"/>
          </w:tcPr>
          <w:p w14:paraId="4A274BEE">
            <w:pPr>
              <w:shd w:val="clear"/>
              <w:jc w:val="center"/>
              <w:rPr>
                <w:rFonts w:ascii="宋体" w:hAnsi="宋体"/>
                <w:color w:val="auto"/>
                <w:szCs w:val="21"/>
                <w:highlight w:val="none"/>
              </w:rPr>
            </w:pPr>
          </w:p>
        </w:tc>
        <w:tc>
          <w:tcPr>
            <w:tcW w:w="1360" w:type="dxa"/>
            <w:vAlign w:val="center"/>
          </w:tcPr>
          <w:p w14:paraId="2416FC88">
            <w:pPr>
              <w:shd w:val="clear"/>
              <w:jc w:val="center"/>
              <w:rPr>
                <w:rFonts w:ascii="宋体" w:hAnsi="宋体"/>
                <w:color w:val="auto"/>
                <w:szCs w:val="21"/>
                <w:highlight w:val="none"/>
              </w:rPr>
            </w:pPr>
          </w:p>
        </w:tc>
        <w:tc>
          <w:tcPr>
            <w:tcW w:w="1587" w:type="dxa"/>
            <w:vAlign w:val="center"/>
          </w:tcPr>
          <w:p w14:paraId="0263AF60">
            <w:pPr>
              <w:shd w:val="clear"/>
              <w:jc w:val="center"/>
              <w:rPr>
                <w:rFonts w:ascii="宋体" w:hAnsi="宋体"/>
                <w:color w:val="auto"/>
                <w:szCs w:val="21"/>
                <w:highlight w:val="none"/>
              </w:rPr>
            </w:pPr>
          </w:p>
        </w:tc>
        <w:tc>
          <w:tcPr>
            <w:tcW w:w="1133" w:type="dxa"/>
            <w:vAlign w:val="center"/>
          </w:tcPr>
          <w:p w14:paraId="63656D0F">
            <w:pPr>
              <w:shd w:val="clear"/>
              <w:jc w:val="center"/>
              <w:rPr>
                <w:rFonts w:ascii="宋体" w:hAnsi="宋体"/>
                <w:color w:val="auto"/>
                <w:szCs w:val="21"/>
                <w:highlight w:val="none"/>
              </w:rPr>
            </w:pPr>
          </w:p>
        </w:tc>
        <w:tc>
          <w:tcPr>
            <w:tcW w:w="1730" w:type="dxa"/>
            <w:vAlign w:val="center"/>
          </w:tcPr>
          <w:p w14:paraId="7A4A8D1F">
            <w:pPr>
              <w:shd w:val="clear"/>
              <w:jc w:val="center"/>
              <w:rPr>
                <w:rFonts w:ascii="宋体" w:hAnsi="宋体"/>
                <w:color w:val="auto"/>
                <w:szCs w:val="21"/>
                <w:highlight w:val="none"/>
              </w:rPr>
            </w:pPr>
          </w:p>
        </w:tc>
      </w:tr>
      <w:tr w14:paraId="39AFB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ED8F400">
            <w:pPr>
              <w:shd w:val="clear"/>
              <w:jc w:val="center"/>
              <w:rPr>
                <w:rFonts w:ascii="宋体" w:hAnsi="宋体"/>
                <w:color w:val="auto"/>
                <w:szCs w:val="21"/>
                <w:highlight w:val="none"/>
              </w:rPr>
            </w:pPr>
          </w:p>
        </w:tc>
        <w:tc>
          <w:tcPr>
            <w:tcW w:w="1620" w:type="dxa"/>
            <w:vAlign w:val="center"/>
          </w:tcPr>
          <w:p w14:paraId="77F659BA">
            <w:pPr>
              <w:shd w:val="clear"/>
              <w:jc w:val="center"/>
              <w:rPr>
                <w:rFonts w:ascii="宋体" w:hAnsi="宋体"/>
                <w:color w:val="auto"/>
                <w:szCs w:val="21"/>
                <w:highlight w:val="none"/>
              </w:rPr>
            </w:pPr>
          </w:p>
        </w:tc>
        <w:tc>
          <w:tcPr>
            <w:tcW w:w="1360" w:type="dxa"/>
            <w:vAlign w:val="center"/>
          </w:tcPr>
          <w:p w14:paraId="317DF4F4">
            <w:pPr>
              <w:shd w:val="clear"/>
              <w:jc w:val="center"/>
              <w:rPr>
                <w:rFonts w:ascii="宋体" w:hAnsi="宋体"/>
                <w:color w:val="auto"/>
                <w:szCs w:val="21"/>
                <w:highlight w:val="none"/>
              </w:rPr>
            </w:pPr>
          </w:p>
        </w:tc>
        <w:tc>
          <w:tcPr>
            <w:tcW w:w="1587" w:type="dxa"/>
            <w:vAlign w:val="center"/>
          </w:tcPr>
          <w:p w14:paraId="52F3CDD6">
            <w:pPr>
              <w:shd w:val="clear"/>
              <w:jc w:val="center"/>
              <w:rPr>
                <w:rFonts w:ascii="宋体" w:hAnsi="宋体"/>
                <w:color w:val="auto"/>
                <w:szCs w:val="21"/>
                <w:highlight w:val="none"/>
              </w:rPr>
            </w:pPr>
          </w:p>
        </w:tc>
        <w:tc>
          <w:tcPr>
            <w:tcW w:w="1133" w:type="dxa"/>
            <w:vAlign w:val="center"/>
          </w:tcPr>
          <w:p w14:paraId="4AB1D258">
            <w:pPr>
              <w:shd w:val="clear"/>
              <w:jc w:val="center"/>
              <w:rPr>
                <w:rFonts w:ascii="宋体" w:hAnsi="宋体"/>
                <w:color w:val="auto"/>
                <w:szCs w:val="21"/>
                <w:highlight w:val="none"/>
              </w:rPr>
            </w:pPr>
          </w:p>
        </w:tc>
        <w:tc>
          <w:tcPr>
            <w:tcW w:w="1730" w:type="dxa"/>
            <w:vAlign w:val="center"/>
          </w:tcPr>
          <w:p w14:paraId="14DFF9E9">
            <w:pPr>
              <w:shd w:val="clear"/>
              <w:jc w:val="center"/>
              <w:rPr>
                <w:rFonts w:ascii="宋体" w:hAnsi="宋体"/>
                <w:color w:val="auto"/>
                <w:szCs w:val="21"/>
                <w:highlight w:val="none"/>
              </w:rPr>
            </w:pPr>
          </w:p>
        </w:tc>
      </w:tr>
      <w:tr w14:paraId="6FBD7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68B6220">
            <w:pPr>
              <w:shd w:val="clear"/>
              <w:jc w:val="center"/>
              <w:rPr>
                <w:rFonts w:ascii="宋体" w:hAnsi="宋体"/>
                <w:color w:val="auto"/>
                <w:szCs w:val="21"/>
                <w:highlight w:val="none"/>
              </w:rPr>
            </w:pPr>
          </w:p>
        </w:tc>
        <w:tc>
          <w:tcPr>
            <w:tcW w:w="1620" w:type="dxa"/>
            <w:vAlign w:val="center"/>
          </w:tcPr>
          <w:p w14:paraId="204F97CD">
            <w:pPr>
              <w:shd w:val="clear"/>
              <w:jc w:val="center"/>
              <w:rPr>
                <w:rFonts w:ascii="宋体" w:hAnsi="宋体"/>
                <w:color w:val="auto"/>
                <w:szCs w:val="21"/>
                <w:highlight w:val="none"/>
              </w:rPr>
            </w:pPr>
          </w:p>
        </w:tc>
        <w:tc>
          <w:tcPr>
            <w:tcW w:w="1360" w:type="dxa"/>
            <w:vAlign w:val="center"/>
          </w:tcPr>
          <w:p w14:paraId="66CC38FD">
            <w:pPr>
              <w:shd w:val="clear"/>
              <w:jc w:val="center"/>
              <w:rPr>
                <w:rFonts w:ascii="宋体" w:hAnsi="宋体"/>
                <w:color w:val="auto"/>
                <w:szCs w:val="21"/>
                <w:highlight w:val="none"/>
              </w:rPr>
            </w:pPr>
          </w:p>
        </w:tc>
        <w:tc>
          <w:tcPr>
            <w:tcW w:w="1587" w:type="dxa"/>
            <w:vAlign w:val="center"/>
          </w:tcPr>
          <w:p w14:paraId="506FB8D1">
            <w:pPr>
              <w:shd w:val="clear"/>
              <w:jc w:val="center"/>
              <w:rPr>
                <w:rFonts w:ascii="宋体" w:hAnsi="宋体"/>
                <w:color w:val="auto"/>
                <w:szCs w:val="21"/>
                <w:highlight w:val="none"/>
              </w:rPr>
            </w:pPr>
          </w:p>
        </w:tc>
        <w:tc>
          <w:tcPr>
            <w:tcW w:w="1133" w:type="dxa"/>
            <w:vAlign w:val="center"/>
          </w:tcPr>
          <w:p w14:paraId="516F6BA0">
            <w:pPr>
              <w:shd w:val="clear"/>
              <w:jc w:val="center"/>
              <w:rPr>
                <w:rFonts w:ascii="宋体" w:hAnsi="宋体"/>
                <w:color w:val="auto"/>
                <w:szCs w:val="21"/>
                <w:highlight w:val="none"/>
              </w:rPr>
            </w:pPr>
          </w:p>
        </w:tc>
        <w:tc>
          <w:tcPr>
            <w:tcW w:w="1730" w:type="dxa"/>
            <w:vAlign w:val="center"/>
          </w:tcPr>
          <w:p w14:paraId="1127B64C">
            <w:pPr>
              <w:shd w:val="clear"/>
              <w:jc w:val="center"/>
              <w:rPr>
                <w:rFonts w:ascii="宋体" w:hAnsi="宋体"/>
                <w:color w:val="auto"/>
                <w:szCs w:val="21"/>
                <w:highlight w:val="none"/>
              </w:rPr>
            </w:pPr>
          </w:p>
        </w:tc>
      </w:tr>
      <w:tr w14:paraId="24251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85E4AF4">
            <w:pPr>
              <w:shd w:val="clear"/>
              <w:jc w:val="center"/>
              <w:rPr>
                <w:rFonts w:ascii="宋体" w:hAnsi="宋体"/>
                <w:color w:val="auto"/>
                <w:szCs w:val="21"/>
                <w:highlight w:val="none"/>
              </w:rPr>
            </w:pPr>
          </w:p>
        </w:tc>
        <w:tc>
          <w:tcPr>
            <w:tcW w:w="1620" w:type="dxa"/>
            <w:vAlign w:val="center"/>
          </w:tcPr>
          <w:p w14:paraId="2073B366">
            <w:pPr>
              <w:shd w:val="clear"/>
              <w:jc w:val="center"/>
              <w:rPr>
                <w:rFonts w:ascii="宋体" w:hAnsi="宋体"/>
                <w:color w:val="auto"/>
                <w:szCs w:val="21"/>
                <w:highlight w:val="none"/>
              </w:rPr>
            </w:pPr>
          </w:p>
        </w:tc>
        <w:tc>
          <w:tcPr>
            <w:tcW w:w="1360" w:type="dxa"/>
            <w:vAlign w:val="center"/>
          </w:tcPr>
          <w:p w14:paraId="41834FBA">
            <w:pPr>
              <w:shd w:val="clear"/>
              <w:jc w:val="center"/>
              <w:rPr>
                <w:rFonts w:ascii="宋体" w:hAnsi="宋体"/>
                <w:color w:val="auto"/>
                <w:szCs w:val="21"/>
                <w:highlight w:val="none"/>
              </w:rPr>
            </w:pPr>
          </w:p>
        </w:tc>
        <w:tc>
          <w:tcPr>
            <w:tcW w:w="1587" w:type="dxa"/>
            <w:vAlign w:val="center"/>
          </w:tcPr>
          <w:p w14:paraId="44193EE2">
            <w:pPr>
              <w:shd w:val="clear"/>
              <w:jc w:val="center"/>
              <w:rPr>
                <w:rFonts w:ascii="宋体" w:hAnsi="宋体"/>
                <w:color w:val="auto"/>
                <w:szCs w:val="21"/>
                <w:highlight w:val="none"/>
              </w:rPr>
            </w:pPr>
          </w:p>
        </w:tc>
        <w:tc>
          <w:tcPr>
            <w:tcW w:w="1133" w:type="dxa"/>
            <w:vAlign w:val="center"/>
          </w:tcPr>
          <w:p w14:paraId="795102E0">
            <w:pPr>
              <w:shd w:val="clear"/>
              <w:jc w:val="center"/>
              <w:rPr>
                <w:rFonts w:ascii="宋体" w:hAnsi="宋体"/>
                <w:color w:val="auto"/>
                <w:szCs w:val="21"/>
                <w:highlight w:val="none"/>
              </w:rPr>
            </w:pPr>
          </w:p>
        </w:tc>
        <w:tc>
          <w:tcPr>
            <w:tcW w:w="1730" w:type="dxa"/>
            <w:vAlign w:val="center"/>
          </w:tcPr>
          <w:p w14:paraId="6D2BFBB7">
            <w:pPr>
              <w:shd w:val="clear"/>
              <w:jc w:val="center"/>
              <w:rPr>
                <w:rFonts w:ascii="宋体" w:hAnsi="宋体"/>
                <w:color w:val="auto"/>
                <w:szCs w:val="21"/>
                <w:highlight w:val="none"/>
              </w:rPr>
            </w:pPr>
          </w:p>
        </w:tc>
      </w:tr>
      <w:tr w14:paraId="41BE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2333278">
            <w:pPr>
              <w:shd w:val="clear"/>
              <w:jc w:val="center"/>
              <w:rPr>
                <w:rFonts w:ascii="宋体" w:hAnsi="宋体"/>
                <w:color w:val="auto"/>
                <w:szCs w:val="21"/>
                <w:highlight w:val="none"/>
              </w:rPr>
            </w:pPr>
          </w:p>
        </w:tc>
        <w:tc>
          <w:tcPr>
            <w:tcW w:w="1620" w:type="dxa"/>
            <w:vAlign w:val="center"/>
          </w:tcPr>
          <w:p w14:paraId="1A6181A8">
            <w:pPr>
              <w:shd w:val="clear"/>
              <w:jc w:val="center"/>
              <w:rPr>
                <w:rFonts w:ascii="宋体" w:hAnsi="宋体"/>
                <w:color w:val="auto"/>
                <w:szCs w:val="21"/>
                <w:highlight w:val="none"/>
              </w:rPr>
            </w:pPr>
          </w:p>
        </w:tc>
        <w:tc>
          <w:tcPr>
            <w:tcW w:w="1360" w:type="dxa"/>
            <w:vAlign w:val="center"/>
          </w:tcPr>
          <w:p w14:paraId="12BB321B">
            <w:pPr>
              <w:shd w:val="clear"/>
              <w:jc w:val="center"/>
              <w:rPr>
                <w:rFonts w:ascii="宋体" w:hAnsi="宋体"/>
                <w:color w:val="auto"/>
                <w:szCs w:val="21"/>
                <w:highlight w:val="none"/>
              </w:rPr>
            </w:pPr>
          </w:p>
        </w:tc>
        <w:tc>
          <w:tcPr>
            <w:tcW w:w="1587" w:type="dxa"/>
            <w:vAlign w:val="center"/>
          </w:tcPr>
          <w:p w14:paraId="0F53951F">
            <w:pPr>
              <w:shd w:val="clear"/>
              <w:jc w:val="center"/>
              <w:rPr>
                <w:rFonts w:ascii="宋体" w:hAnsi="宋体"/>
                <w:color w:val="auto"/>
                <w:szCs w:val="21"/>
                <w:highlight w:val="none"/>
              </w:rPr>
            </w:pPr>
          </w:p>
        </w:tc>
        <w:tc>
          <w:tcPr>
            <w:tcW w:w="1133" w:type="dxa"/>
            <w:vAlign w:val="center"/>
          </w:tcPr>
          <w:p w14:paraId="2A470D64">
            <w:pPr>
              <w:shd w:val="clear"/>
              <w:jc w:val="center"/>
              <w:rPr>
                <w:rFonts w:ascii="宋体" w:hAnsi="宋体"/>
                <w:color w:val="auto"/>
                <w:szCs w:val="21"/>
                <w:highlight w:val="none"/>
              </w:rPr>
            </w:pPr>
          </w:p>
        </w:tc>
        <w:tc>
          <w:tcPr>
            <w:tcW w:w="1730" w:type="dxa"/>
            <w:vAlign w:val="center"/>
          </w:tcPr>
          <w:p w14:paraId="14905CE3">
            <w:pPr>
              <w:shd w:val="clear"/>
              <w:jc w:val="center"/>
              <w:rPr>
                <w:rFonts w:ascii="宋体" w:hAnsi="宋体"/>
                <w:color w:val="auto"/>
                <w:szCs w:val="21"/>
                <w:highlight w:val="none"/>
              </w:rPr>
            </w:pPr>
          </w:p>
        </w:tc>
      </w:tr>
      <w:tr w14:paraId="3BC3F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9D8D1D8">
            <w:pPr>
              <w:shd w:val="clear"/>
              <w:jc w:val="center"/>
              <w:rPr>
                <w:rFonts w:ascii="宋体" w:hAnsi="宋体"/>
                <w:color w:val="auto"/>
                <w:szCs w:val="21"/>
                <w:highlight w:val="none"/>
              </w:rPr>
            </w:pPr>
          </w:p>
        </w:tc>
        <w:tc>
          <w:tcPr>
            <w:tcW w:w="1620" w:type="dxa"/>
            <w:vAlign w:val="center"/>
          </w:tcPr>
          <w:p w14:paraId="10A8C44B">
            <w:pPr>
              <w:shd w:val="clear"/>
              <w:jc w:val="center"/>
              <w:rPr>
                <w:rFonts w:ascii="宋体" w:hAnsi="宋体"/>
                <w:color w:val="auto"/>
                <w:szCs w:val="21"/>
                <w:highlight w:val="none"/>
              </w:rPr>
            </w:pPr>
          </w:p>
        </w:tc>
        <w:tc>
          <w:tcPr>
            <w:tcW w:w="1360" w:type="dxa"/>
            <w:vAlign w:val="center"/>
          </w:tcPr>
          <w:p w14:paraId="5A74B8E6">
            <w:pPr>
              <w:shd w:val="clear"/>
              <w:jc w:val="center"/>
              <w:rPr>
                <w:rFonts w:ascii="宋体" w:hAnsi="宋体"/>
                <w:color w:val="auto"/>
                <w:szCs w:val="21"/>
                <w:highlight w:val="none"/>
              </w:rPr>
            </w:pPr>
          </w:p>
        </w:tc>
        <w:tc>
          <w:tcPr>
            <w:tcW w:w="1587" w:type="dxa"/>
            <w:vAlign w:val="center"/>
          </w:tcPr>
          <w:p w14:paraId="26F981A2">
            <w:pPr>
              <w:shd w:val="clear"/>
              <w:jc w:val="center"/>
              <w:rPr>
                <w:rFonts w:ascii="宋体" w:hAnsi="宋体"/>
                <w:color w:val="auto"/>
                <w:szCs w:val="21"/>
                <w:highlight w:val="none"/>
              </w:rPr>
            </w:pPr>
          </w:p>
        </w:tc>
        <w:tc>
          <w:tcPr>
            <w:tcW w:w="1133" w:type="dxa"/>
            <w:vAlign w:val="center"/>
          </w:tcPr>
          <w:p w14:paraId="4F5D2AA1">
            <w:pPr>
              <w:shd w:val="clear"/>
              <w:jc w:val="center"/>
              <w:rPr>
                <w:rFonts w:ascii="宋体" w:hAnsi="宋体"/>
                <w:color w:val="auto"/>
                <w:szCs w:val="21"/>
                <w:highlight w:val="none"/>
              </w:rPr>
            </w:pPr>
          </w:p>
        </w:tc>
        <w:tc>
          <w:tcPr>
            <w:tcW w:w="1730" w:type="dxa"/>
            <w:vAlign w:val="center"/>
          </w:tcPr>
          <w:p w14:paraId="0C096E65">
            <w:pPr>
              <w:shd w:val="clear"/>
              <w:jc w:val="center"/>
              <w:rPr>
                <w:rFonts w:ascii="宋体" w:hAnsi="宋体"/>
                <w:color w:val="auto"/>
                <w:szCs w:val="21"/>
                <w:highlight w:val="none"/>
              </w:rPr>
            </w:pPr>
          </w:p>
        </w:tc>
      </w:tr>
    </w:tbl>
    <w:p w14:paraId="3EB6B7D0">
      <w:pPr>
        <w:shd w:val="clear"/>
        <w:rPr>
          <w:rFonts w:ascii="宋体" w:hAnsi="宋体"/>
          <w:color w:val="auto"/>
          <w:szCs w:val="21"/>
          <w:highlight w:val="none"/>
        </w:rPr>
      </w:pPr>
    </w:p>
    <w:p w14:paraId="2AACE08C">
      <w:pPr>
        <w:shd w:val="clear"/>
        <w:rPr>
          <w:rFonts w:ascii="宋体" w:hAnsi="宋体"/>
          <w:color w:val="auto"/>
          <w:szCs w:val="21"/>
          <w:highlight w:val="none"/>
        </w:rPr>
      </w:pPr>
      <w:r>
        <w:rPr>
          <w:rFonts w:hint="eastAsia" w:ascii="宋体" w:hAnsi="宋体"/>
          <w:color w:val="auto"/>
          <w:szCs w:val="21"/>
          <w:highlight w:val="none"/>
        </w:rPr>
        <w:t>投标人代表签字：</w:t>
      </w:r>
    </w:p>
    <w:p w14:paraId="59D89588">
      <w:pPr>
        <w:shd w:val="clear"/>
        <w:rPr>
          <w:rFonts w:ascii="宋体" w:hAnsi="宋体"/>
          <w:color w:val="auto"/>
          <w:szCs w:val="21"/>
          <w:highlight w:val="none"/>
        </w:rPr>
      </w:pPr>
      <w:r>
        <w:rPr>
          <w:rFonts w:hint="eastAsia" w:ascii="宋体" w:hAnsi="宋体"/>
          <w:color w:val="auto"/>
          <w:szCs w:val="21"/>
          <w:highlight w:val="none"/>
        </w:rPr>
        <w:t>投标人盖章：</w:t>
      </w:r>
    </w:p>
    <w:p w14:paraId="74DB00A9">
      <w:pPr>
        <w:shd w:val="clear"/>
        <w:rPr>
          <w:rFonts w:ascii="宋体" w:hAnsi="宋体"/>
          <w:color w:val="auto"/>
          <w:szCs w:val="21"/>
          <w:highlight w:val="none"/>
        </w:rPr>
      </w:pPr>
    </w:p>
    <w:p w14:paraId="5FDA17AB">
      <w:pPr>
        <w:shd w:val="clear"/>
        <w:ind w:left="718" w:hanging="718" w:hangingChars="342"/>
        <w:rPr>
          <w:rFonts w:ascii="宋体" w:hAnsi="宋体"/>
          <w:color w:val="auto"/>
          <w:szCs w:val="21"/>
          <w:highlight w:val="none"/>
        </w:rPr>
      </w:pPr>
      <w:r>
        <w:rPr>
          <w:rFonts w:hint="eastAsia" w:ascii="宋体" w:hAnsi="宋体"/>
          <w:color w:val="auto"/>
          <w:szCs w:val="21"/>
          <w:highlight w:val="none"/>
        </w:rPr>
        <w:t>注：</w:t>
      </w:r>
    </w:p>
    <w:p w14:paraId="789BD9A9">
      <w:pPr>
        <w:shd w:val="clea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60159C52">
      <w:pPr>
        <w:shd w:val="clea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265A79C9">
      <w:pPr>
        <w:shd w:val="clea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5037127F">
      <w:pPr>
        <w:shd w:val="clea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1262198A">
      <w:pPr>
        <w:shd w:val="clea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016D3AD0">
      <w:pPr>
        <w:shd w:val="clear"/>
        <w:rPr>
          <w:rFonts w:ascii="宋体" w:hAnsi="宋体"/>
          <w:color w:val="auto"/>
          <w:szCs w:val="21"/>
          <w:highlight w:val="none"/>
        </w:rPr>
      </w:pPr>
      <w:r>
        <w:rPr>
          <w:rFonts w:hint="eastAsia" w:ascii="宋体" w:hAnsi="宋体"/>
          <w:color w:val="auto"/>
          <w:szCs w:val="21"/>
          <w:highlight w:val="none"/>
        </w:rPr>
        <w:br w:type="page"/>
      </w:r>
    </w:p>
    <w:p w14:paraId="318BDF47">
      <w:pPr>
        <w:pStyle w:val="8"/>
        <w:widowControl w:val="0"/>
        <w:shd w:val="clear"/>
        <w:overflowPunct w:val="0"/>
        <w:spacing w:line="240" w:lineRule="auto"/>
        <w:rPr>
          <w:rFonts w:ascii="宋体" w:hAnsi="宋体"/>
          <w:color w:val="auto"/>
          <w:sz w:val="30"/>
          <w:szCs w:val="30"/>
          <w:highlight w:val="none"/>
        </w:rPr>
      </w:pPr>
      <w:bookmarkStart w:id="150" w:name="_Toc1208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.业绩表</w:t>
      </w:r>
      <w:bookmarkEnd w:id="150"/>
    </w:p>
    <w:p w14:paraId="308C6E0E">
      <w:pPr>
        <w:shd w:val="clea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29"/>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52C5A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E83ABB2">
            <w:pPr>
              <w:shd w:val="clea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1D10D0EE">
            <w:pPr>
              <w:shd w:val="clea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065DA87F">
            <w:pPr>
              <w:shd w:val="clea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548117EB">
            <w:pPr>
              <w:shd w:val="clear"/>
              <w:adjustRightInd/>
              <w:snapToGrid/>
              <w:jc w:val="center"/>
              <w:rPr>
                <w:rFonts w:hint="eastAsia" w:ascii="宋体" w:hAnsi="宋体"/>
                <w:color w:val="auto"/>
                <w:szCs w:val="21"/>
                <w:highlight w:val="none"/>
              </w:rPr>
            </w:pPr>
            <w:r>
              <w:rPr>
                <w:rFonts w:hint="eastAsia" w:ascii="宋体" w:hAnsi="宋体"/>
                <w:color w:val="auto"/>
                <w:szCs w:val="21"/>
                <w:highlight w:val="none"/>
              </w:rPr>
              <w:t>项目合同</w:t>
            </w:r>
          </w:p>
          <w:p w14:paraId="76776205">
            <w:pPr>
              <w:shd w:val="clear"/>
              <w:adjustRightInd/>
              <w:snapToGrid/>
              <w:jc w:val="center"/>
              <w:rPr>
                <w:rFonts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14:paraId="24F01677">
            <w:pPr>
              <w:shd w:val="clea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14:paraId="6BEAC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220F6CF1">
            <w:pPr>
              <w:shd w:val="clear"/>
              <w:adjustRightInd/>
              <w:snapToGrid/>
              <w:jc w:val="center"/>
              <w:rPr>
                <w:rFonts w:ascii="宋体" w:hAnsi="宋体"/>
                <w:color w:val="auto"/>
                <w:szCs w:val="21"/>
                <w:highlight w:val="none"/>
              </w:rPr>
            </w:pPr>
          </w:p>
        </w:tc>
        <w:tc>
          <w:tcPr>
            <w:tcW w:w="1705" w:type="dxa"/>
            <w:vAlign w:val="center"/>
          </w:tcPr>
          <w:p w14:paraId="090DDED7">
            <w:pPr>
              <w:shd w:val="clear"/>
              <w:adjustRightInd/>
              <w:snapToGrid/>
              <w:jc w:val="center"/>
              <w:rPr>
                <w:rFonts w:ascii="宋体" w:hAnsi="宋体"/>
                <w:color w:val="auto"/>
                <w:szCs w:val="21"/>
                <w:highlight w:val="none"/>
              </w:rPr>
            </w:pPr>
          </w:p>
        </w:tc>
        <w:tc>
          <w:tcPr>
            <w:tcW w:w="1706" w:type="dxa"/>
            <w:vAlign w:val="center"/>
          </w:tcPr>
          <w:p w14:paraId="7D7B5DBA">
            <w:pPr>
              <w:shd w:val="clear"/>
              <w:adjustRightInd/>
              <w:snapToGrid/>
              <w:jc w:val="center"/>
              <w:rPr>
                <w:rFonts w:ascii="宋体" w:hAnsi="宋体"/>
                <w:color w:val="auto"/>
                <w:szCs w:val="21"/>
                <w:highlight w:val="none"/>
              </w:rPr>
            </w:pPr>
          </w:p>
        </w:tc>
        <w:tc>
          <w:tcPr>
            <w:tcW w:w="1705" w:type="dxa"/>
            <w:vAlign w:val="center"/>
          </w:tcPr>
          <w:p w14:paraId="7B8914DF">
            <w:pPr>
              <w:shd w:val="clear"/>
              <w:adjustRightInd/>
              <w:snapToGrid/>
              <w:jc w:val="center"/>
              <w:rPr>
                <w:rFonts w:ascii="宋体" w:hAnsi="宋体"/>
                <w:color w:val="auto"/>
                <w:szCs w:val="21"/>
                <w:highlight w:val="none"/>
              </w:rPr>
            </w:pPr>
          </w:p>
        </w:tc>
        <w:tc>
          <w:tcPr>
            <w:tcW w:w="1697" w:type="dxa"/>
            <w:vAlign w:val="center"/>
          </w:tcPr>
          <w:p w14:paraId="4CAD6E65">
            <w:pPr>
              <w:shd w:val="clear"/>
              <w:adjustRightInd/>
              <w:snapToGrid/>
              <w:jc w:val="center"/>
              <w:rPr>
                <w:rFonts w:ascii="宋体" w:hAnsi="宋体"/>
                <w:color w:val="auto"/>
                <w:szCs w:val="21"/>
                <w:highlight w:val="none"/>
              </w:rPr>
            </w:pPr>
          </w:p>
        </w:tc>
      </w:tr>
      <w:tr w14:paraId="19CDD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14AD398">
            <w:pPr>
              <w:shd w:val="clear"/>
              <w:adjustRightInd/>
              <w:snapToGrid/>
              <w:rPr>
                <w:rFonts w:ascii="宋体" w:hAnsi="宋体"/>
                <w:color w:val="auto"/>
                <w:szCs w:val="21"/>
                <w:highlight w:val="none"/>
              </w:rPr>
            </w:pPr>
          </w:p>
        </w:tc>
        <w:tc>
          <w:tcPr>
            <w:tcW w:w="1705" w:type="dxa"/>
          </w:tcPr>
          <w:p w14:paraId="0C268598">
            <w:pPr>
              <w:shd w:val="clear"/>
              <w:adjustRightInd/>
              <w:snapToGrid/>
              <w:rPr>
                <w:rFonts w:ascii="宋体" w:hAnsi="宋体"/>
                <w:color w:val="auto"/>
                <w:szCs w:val="21"/>
                <w:highlight w:val="none"/>
              </w:rPr>
            </w:pPr>
          </w:p>
        </w:tc>
        <w:tc>
          <w:tcPr>
            <w:tcW w:w="1706" w:type="dxa"/>
          </w:tcPr>
          <w:p w14:paraId="1C9F0507">
            <w:pPr>
              <w:shd w:val="clear"/>
              <w:adjustRightInd/>
              <w:snapToGrid/>
              <w:rPr>
                <w:rFonts w:ascii="宋体" w:hAnsi="宋体"/>
                <w:color w:val="auto"/>
                <w:szCs w:val="21"/>
                <w:highlight w:val="none"/>
              </w:rPr>
            </w:pPr>
          </w:p>
        </w:tc>
        <w:tc>
          <w:tcPr>
            <w:tcW w:w="1705" w:type="dxa"/>
          </w:tcPr>
          <w:p w14:paraId="607D2B05">
            <w:pPr>
              <w:shd w:val="clear"/>
              <w:adjustRightInd/>
              <w:snapToGrid/>
              <w:rPr>
                <w:rFonts w:ascii="宋体" w:hAnsi="宋体"/>
                <w:color w:val="auto"/>
                <w:szCs w:val="21"/>
                <w:highlight w:val="none"/>
              </w:rPr>
            </w:pPr>
          </w:p>
        </w:tc>
        <w:tc>
          <w:tcPr>
            <w:tcW w:w="1697" w:type="dxa"/>
          </w:tcPr>
          <w:p w14:paraId="22D09410">
            <w:pPr>
              <w:shd w:val="clear"/>
              <w:adjustRightInd/>
              <w:snapToGrid/>
              <w:rPr>
                <w:rFonts w:ascii="宋体" w:hAnsi="宋体"/>
                <w:color w:val="auto"/>
                <w:szCs w:val="21"/>
                <w:highlight w:val="none"/>
              </w:rPr>
            </w:pPr>
          </w:p>
        </w:tc>
      </w:tr>
      <w:tr w14:paraId="14F89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696742C">
            <w:pPr>
              <w:shd w:val="clear"/>
              <w:adjustRightInd/>
              <w:snapToGrid/>
              <w:rPr>
                <w:rFonts w:ascii="宋体" w:hAnsi="宋体"/>
                <w:color w:val="auto"/>
                <w:szCs w:val="21"/>
                <w:highlight w:val="none"/>
              </w:rPr>
            </w:pPr>
          </w:p>
        </w:tc>
        <w:tc>
          <w:tcPr>
            <w:tcW w:w="1705" w:type="dxa"/>
          </w:tcPr>
          <w:p w14:paraId="66E88FFF">
            <w:pPr>
              <w:shd w:val="clear"/>
              <w:adjustRightInd/>
              <w:snapToGrid/>
              <w:rPr>
                <w:rFonts w:ascii="宋体" w:hAnsi="宋体"/>
                <w:color w:val="auto"/>
                <w:szCs w:val="21"/>
                <w:highlight w:val="none"/>
              </w:rPr>
            </w:pPr>
          </w:p>
        </w:tc>
        <w:tc>
          <w:tcPr>
            <w:tcW w:w="1706" w:type="dxa"/>
          </w:tcPr>
          <w:p w14:paraId="51AB07F2">
            <w:pPr>
              <w:shd w:val="clear"/>
              <w:adjustRightInd/>
              <w:snapToGrid/>
              <w:rPr>
                <w:rFonts w:ascii="宋体" w:hAnsi="宋体"/>
                <w:color w:val="auto"/>
                <w:szCs w:val="21"/>
                <w:highlight w:val="none"/>
              </w:rPr>
            </w:pPr>
          </w:p>
        </w:tc>
        <w:tc>
          <w:tcPr>
            <w:tcW w:w="1705" w:type="dxa"/>
          </w:tcPr>
          <w:p w14:paraId="0ED0E716">
            <w:pPr>
              <w:shd w:val="clear"/>
              <w:adjustRightInd/>
              <w:snapToGrid/>
              <w:rPr>
                <w:rFonts w:ascii="宋体" w:hAnsi="宋体"/>
                <w:color w:val="auto"/>
                <w:szCs w:val="21"/>
                <w:highlight w:val="none"/>
              </w:rPr>
            </w:pPr>
          </w:p>
        </w:tc>
        <w:tc>
          <w:tcPr>
            <w:tcW w:w="1697" w:type="dxa"/>
          </w:tcPr>
          <w:p w14:paraId="1668E66E">
            <w:pPr>
              <w:shd w:val="clear"/>
              <w:adjustRightInd/>
              <w:snapToGrid/>
              <w:rPr>
                <w:rFonts w:ascii="宋体" w:hAnsi="宋体"/>
                <w:color w:val="auto"/>
                <w:szCs w:val="21"/>
                <w:highlight w:val="none"/>
              </w:rPr>
            </w:pPr>
          </w:p>
        </w:tc>
      </w:tr>
      <w:tr w14:paraId="73B6F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4E4001B">
            <w:pPr>
              <w:shd w:val="clear"/>
              <w:adjustRightInd/>
              <w:snapToGrid/>
              <w:rPr>
                <w:rFonts w:ascii="宋体" w:hAnsi="宋体"/>
                <w:color w:val="auto"/>
                <w:szCs w:val="21"/>
                <w:highlight w:val="none"/>
              </w:rPr>
            </w:pPr>
          </w:p>
        </w:tc>
        <w:tc>
          <w:tcPr>
            <w:tcW w:w="1705" w:type="dxa"/>
          </w:tcPr>
          <w:p w14:paraId="18FA5ACB">
            <w:pPr>
              <w:shd w:val="clear"/>
              <w:adjustRightInd/>
              <w:snapToGrid/>
              <w:rPr>
                <w:rFonts w:ascii="宋体" w:hAnsi="宋体"/>
                <w:color w:val="auto"/>
                <w:szCs w:val="21"/>
                <w:highlight w:val="none"/>
              </w:rPr>
            </w:pPr>
          </w:p>
        </w:tc>
        <w:tc>
          <w:tcPr>
            <w:tcW w:w="1706" w:type="dxa"/>
          </w:tcPr>
          <w:p w14:paraId="6C461AAF">
            <w:pPr>
              <w:shd w:val="clear"/>
              <w:adjustRightInd/>
              <w:snapToGrid/>
              <w:rPr>
                <w:rFonts w:ascii="宋体" w:hAnsi="宋体"/>
                <w:color w:val="auto"/>
                <w:szCs w:val="21"/>
                <w:highlight w:val="none"/>
              </w:rPr>
            </w:pPr>
          </w:p>
        </w:tc>
        <w:tc>
          <w:tcPr>
            <w:tcW w:w="1705" w:type="dxa"/>
          </w:tcPr>
          <w:p w14:paraId="1969A736">
            <w:pPr>
              <w:shd w:val="clear"/>
              <w:adjustRightInd/>
              <w:snapToGrid/>
              <w:rPr>
                <w:rFonts w:ascii="宋体" w:hAnsi="宋体"/>
                <w:color w:val="auto"/>
                <w:szCs w:val="21"/>
                <w:highlight w:val="none"/>
              </w:rPr>
            </w:pPr>
          </w:p>
        </w:tc>
        <w:tc>
          <w:tcPr>
            <w:tcW w:w="1697" w:type="dxa"/>
          </w:tcPr>
          <w:p w14:paraId="2F7F1F62">
            <w:pPr>
              <w:shd w:val="clear"/>
              <w:adjustRightInd/>
              <w:snapToGrid/>
              <w:rPr>
                <w:rFonts w:ascii="宋体" w:hAnsi="宋体"/>
                <w:color w:val="auto"/>
                <w:szCs w:val="21"/>
                <w:highlight w:val="none"/>
              </w:rPr>
            </w:pPr>
          </w:p>
        </w:tc>
      </w:tr>
      <w:tr w14:paraId="40387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5D22A3E">
            <w:pPr>
              <w:shd w:val="clear"/>
              <w:adjustRightInd/>
              <w:snapToGrid/>
              <w:rPr>
                <w:rFonts w:ascii="宋体" w:hAnsi="宋体"/>
                <w:color w:val="auto"/>
                <w:szCs w:val="21"/>
                <w:highlight w:val="none"/>
              </w:rPr>
            </w:pPr>
          </w:p>
        </w:tc>
        <w:tc>
          <w:tcPr>
            <w:tcW w:w="1705" w:type="dxa"/>
          </w:tcPr>
          <w:p w14:paraId="7374A2D1">
            <w:pPr>
              <w:shd w:val="clear"/>
              <w:adjustRightInd/>
              <w:snapToGrid/>
              <w:rPr>
                <w:rFonts w:ascii="宋体" w:hAnsi="宋体"/>
                <w:color w:val="auto"/>
                <w:szCs w:val="21"/>
                <w:highlight w:val="none"/>
              </w:rPr>
            </w:pPr>
          </w:p>
        </w:tc>
        <w:tc>
          <w:tcPr>
            <w:tcW w:w="1706" w:type="dxa"/>
          </w:tcPr>
          <w:p w14:paraId="44BCF4F0">
            <w:pPr>
              <w:shd w:val="clear"/>
              <w:adjustRightInd/>
              <w:snapToGrid/>
              <w:rPr>
                <w:rFonts w:ascii="宋体" w:hAnsi="宋体"/>
                <w:color w:val="auto"/>
                <w:szCs w:val="21"/>
                <w:highlight w:val="none"/>
              </w:rPr>
            </w:pPr>
          </w:p>
        </w:tc>
        <w:tc>
          <w:tcPr>
            <w:tcW w:w="1705" w:type="dxa"/>
          </w:tcPr>
          <w:p w14:paraId="759DCC95">
            <w:pPr>
              <w:shd w:val="clear"/>
              <w:adjustRightInd/>
              <w:snapToGrid/>
              <w:rPr>
                <w:rFonts w:ascii="宋体" w:hAnsi="宋体"/>
                <w:color w:val="auto"/>
                <w:szCs w:val="21"/>
                <w:highlight w:val="none"/>
              </w:rPr>
            </w:pPr>
          </w:p>
        </w:tc>
        <w:tc>
          <w:tcPr>
            <w:tcW w:w="1697" w:type="dxa"/>
          </w:tcPr>
          <w:p w14:paraId="0B4DF22A">
            <w:pPr>
              <w:shd w:val="clear"/>
              <w:adjustRightInd/>
              <w:snapToGrid/>
              <w:rPr>
                <w:rFonts w:ascii="宋体" w:hAnsi="宋体"/>
                <w:color w:val="auto"/>
                <w:szCs w:val="21"/>
                <w:highlight w:val="none"/>
              </w:rPr>
            </w:pPr>
          </w:p>
        </w:tc>
      </w:tr>
      <w:tr w14:paraId="42144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95AF026">
            <w:pPr>
              <w:shd w:val="clear"/>
              <w:adjustRightInd/>
              <w:snapToGrid/>
              <w:rPr>
                <w:rFonts w:ascii="宋体" w:hAnsi="宋体"/>
                <w:color w:val="auto"/>
                <w:szCs w:val="21"/>
                <w:highlight w:val="none"/>
              </w:rPr>
            </w:pPr>
          </w:p>
        </w:tc>
        <w:tc>
          <w:tcPr>
            <w:tcW w:w="1705" w:type="dxa"/>
          </w:tcPr>
          <w:p w14:paraId="48671C7D">
            <w:pPr>
              <w:shd w:val="clear"/>
              <w:adjustRightInd/>
              <w:snapToGrid/>
              <w:rPr>
                <w:rFonts w:ascii="宋体" w:hAnsi="宋体"/>
                <w:color w:val="auto"/>
                <w:szCs w:val="21"/>
                <w:highlight w:val="none"/>
              </w:rPr>
            </w:pPr>
          </w:p>
        </w:tc>
        <w:tc>
          <w:tcPr>
            <w:tcW w:w="1706" w:type="dxa"/>
          </w:tcPr>
          <w:p w14:paraId="3005DA4A">
            <w:pPr>
              <w:shd w:val="clear"/>
              <w:adjustRightInd/>
              <w:snapToGrid/>
              <w:rPr>
                <w:rFonts w:ascii="宋体" w:hAnsi="宋体"/>
                <w:color w:val="auto"/>
                <w:szCs w:val="21"/>
                <w:highlight w:val="none"/>
              </w:rPr>
            </w:pPr>
          </w:p>
        </w:tc>
        <w:tc>
          <w:tcPr>
            <w:tcW w:w="1705" w:type="dxa"/>
          </w:tcPr>
          <w:p w14:paraId="24412626">
            <w:pPr>
              <w:shd w:val="clear"/>
              <w:adjustRightInd/>
              <w:snapToGrid/>
              <w:rPr>
                <w:rFonts w:ascii="宋体" w:hAnsi="宋体"/>
                <w:color w:val="auto"/>
                <w:szCs w:val="21"/>
                <w:highlight w:val="none"/>
              </w:rPr>
            </w:pPr>
          </w:p>
        </w:tc>
        <w:tc>
          <w:tcPr>
            <w:tcW w:w="1697" w:type="dxa"/>
          </w:tcPr>
          <w:p w14:paraId="23D184F3">
            <w:pPr>
              <w:shd w:val="clear"/>
              <w:adjustRightInd/>
              <w:snapToGrid/>
              <w:rPr>
                <w:rFonts w:ascii="宋体" w:hAnsi="宋体"/>
                <w:color w:val="auto"/>
                <w:szCs w:val="21"/>
                <w:highlight w:val="none"/>
              </w:rPr>
            </w:pPr>
          </w:p>
        </w:tc>
      </w:tr>
    </w:tbl>
    <w:p w14:paraId="62703969">
      <w:pPr>
        <w:pStyle w:val="42"/>
        <w:shd w:val="clear"/>
        <w:rPr>
          <w:rFonts w:ascii="宋体" w:hAnsi="宋体"/>
          <w:color w:val="auto"/>
          <w:szCs w:val="21"/>
          <w:highlight w:val="none"/>
        </w:rPr>
      </w:pPr>
    </w:p>
    <w:p w14:paraId="1B475B55">
      <w:pPr>
        <w:pStyle w:val="42"/>
        <w:shd w:val="clear"/>
        <w:rPr>
          <w:rFonts w:ascii="宋体" w:hAnsi="宋体"/>
          <w:color w:val="auto"/>
          <w:szCs w:val="21"/>
          <w:highlight w:val="none"/>
        </w:rPr>
      </w:pPr>
      <w:r>
        <w:rPr>
          <w:rFonts w:hint="eastAsia" w:ascii="宋体" w:hAnsi="宋体"/>
          <w:color w:val="auto"/>
          <w:szCs w:val="21"/>
          <w:highlight w:val="none"/>
        </w:rPr>
        <w:t>注：</w:t>
      </w:r>
    </w:p>
    <w:p w14:paraId="414EDFCD">
      <w:pPr>
        <w:pStyle w:val="42"/>
        <w:numPr>
          <w:ilvl w:val="0"/>
          <w:numId w:val="15"/>
        </w:numPr>
        <w:shd w:val="clea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062C4B86">
      <w:pPr>
        <w:pStyle w:val="42"/>
        <w:numPr>
          <w:ilvl w:val="0"/>
          <w:numId w:val="15"/>
        </w:numPr>
        <w:shd w:val="clea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280C5C3B">
      <w:pPr>
        <w:shd w:val="clear"/>
        <w:rPr>
          <w:rFonts w:ascii="宋体" w:hAnsi="宋体"/>
          <w:color w:val="auto"/>
          <w:szCs w:val="21"/>
          <w:highlight w:val="none"/>
        </w:rPr>
      </w:pPr>
      <w:r>
        <w:rPr>
          <w:rFonts w:hint="eastAsia" w:ascii="宋体" w:hAnsi="宋体"/>
          <w:color w:val="auto"/>
          <w:szCs w:val="21"/>
          <w:highlight w:val="none"/>
        </w:rPr>
        <w:br w:type="page"/>
      </w:r>
    </w:p>
    <w:p w14:paraId="5DD686B3">
      <w:pPr>
        <w:pStyle w:val="8"/>
        <w:widowControl w:val="0"/>
        <w:shd w:val="clear"/>
        <w:overflowPunct w:val="0"/>
        <w:spacing w:line="240" w:lineRule="auto"/>
        <w:rPr>
          <w:color w:val="auto"/>
          <w:highlight w:val="none"/>
        </w:rPr>
      </w:pPr>
      <w:bookmarkStart w:id="151" w:name="_Toc14211"/>
      <w:bookmarkStart w:id="152" w:name="_Toc1959"/>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.联合体协议书</w:t>
      </w:r>
      <w:r>
        <w:rPr>
          <w:rFonts w:hint="eastAsia"/>
          <w:color w:val="auto"/>
          <w:highlight w:val="none"/>
        </w:rPr>
        <w:t>（如有）</w:t>
      </w:r>
      <w:bookmarkEnd w:id="151"/>
      <w:bookmarkEnd w:id="152"/>
    </w:p>
    <w:p w14:paraId="6738AF81">
      <w:pPr>
        <w:shd w:val="clear"/>
        <w:rPr>
          <w:color w:val="auto"/>
          <w:highlight w:val="none"/>
        </w:rPr>
      </w:pPr>
    </w:p>
    <w:p w14:paraId="78305959">
      <w:pPr>
        <w:shd w:val="clear"/>
        <w:jc w:val="center"/>
        <w:rPr>
          <w:rFonts w:hAnsi="宋体" w:cs="宋体"/>
          <w:color w:val="auto"/>
          <w:highlight w:val="none"/>
        </w:rPr>
      </w:pPr>
      <w:r>
        <w:rPr>
          <w:rFonts w:hint="eastAsia" w:hAnsi="宋体" w:cs="宋体"/>
          <w:b/>
          <w:bCs/>
          <w:color w:val="auto"/>
          <w:highlight w:val="none"/>
        </w:rPr>
        <w:t>联合体共同投标协议书</w:t>
      </w:r>
    </w:p>
    <w:p w14:paraId="7EC6A709">
      <w:pPr>
        <w:shd w:val="clear"/>
        <w:jc w:val="center"/>
        <w:rPr>
          <w:rFonts w:hAnsi="宋体" w:cs="宋体"/>
          <w:color w:val="auto"/>
          <w:highlight w:val="none"/>
        </w:rPr>
      </w:pPr>
    </w:p>
    <w:p w14:paraId="49BEAC89">
      <w:pPr>
        <w:shd w:val="clear"/>
        <w:rPr>
          <w:rFonts w:hAnsi="宋体" w:cs="宋体"/>
          <w:color w:val="auto"/>
          <w:szCs w:val="21"/>
          <w:highlight w:val="none"/>
        </w:rPr>
      </w:pPr>
      <w:r>
        <w:rPr>
          <w:rFonts w:hint="eastAsia" w:hAnsi="宋体" w:cs="宋体"/>
          <w:color w:val="auto"/>
          <w:szCs w:val="21"/>
          <w:highlight w:val="none"/>
        </w:rPr>
        <w:t>立约方：（甲公司全称）</w:t>
      </w:r>
    </w:p>
    <w:p w14:paraId="24F261FA">
      <w:pPr>
        <w:shd w:val="clear"/>
        <w:rPr>
          <w:rFonts w:hAnsi="宋体" w:cs="宋体"/>
          <w:color w:val="auto"/>
          <w:szCs w:val="21"/>
          <w:highlight w:val="none"/>
        </w:rPr>
      </w:pPr>
      <w:r>
        <w:rPr>
          <w:rFonts w:hint="eastAsia" w:hAnsi="宋体" w:cs="宋体"/>
          <w:color w:val="auto"/>
          <w:szCs w:val="21"/>
          <w:highlight w:val="none"/>
        </w:rPr>
        <w:t>（乙公司全称）</w:t>
      </w:r>
    </w:p>
    <w:p w14:paraId="593DDC38">
      <w:pPr>
        <w:shd w:val="clear"/>
        <w:rPr>
          <w:rFonts w:hAnsi="宋体" w:cs="宋体"/>
          <w:color w:val="auto"/>
          <w:szCs w:val="21"/>
          <w:highlight w:val="none"/>
        </w:rPr>
      </w:pPr>
      <w:r>
        <w:rPr>
          <w:rFonts w:hint="eastAsia" w:hAnsi="宋体" w:cs="宋体"/>
          <w:color w:val="auto"/>
          <w:szCs w:val="21"/>
          <w:highlight w:val="none"/>
        </w:rPr>
        <w:t>（……公司全称）</w:t>
      </w:r>
    </w:p>
    <w:p w14:paraId="3CD85710">
      <w:pPr>
        <w:shd w:val="clea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的招标活动。经各方充分协商一致，就项目的投标和合同实施阶段的有关事务协商一致订立协议如下：</w:t>
      </w:r>
    </w:p>
    <w:p w14:paraId="03E9E22F">
      <w:pPr>
        <w:shd w:val="clear"/>
        <w:rPr>
          <w:rFonts w:hAnsi="宋体" w:cs="宋体"/>
          <w:color w:val="auto"/>
          <w:szCs w:val="21"/>
          <w:highlight w:val="none"/>
        </w:rPr>
      </w:pPr>
      <w:r>
        <w:rPr>
          <w:rFonts w:hint="eastAsia" w:hAnsi="宋体" w:cs="宋体"/>
          <w:color w:val="auto"/>
          <w:szCs w:val="21"/>
          <w:highlight w:val="none"/>
        </w:rPr>
        <w:t>一、联合体各方关系</w:t>
      </w:r>
    </w:p>
    <w:p w14:paraId="3E297466">
      <w:pPr>
        <w:shd w:val="clea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14:paraId="283EB969">
      <w:pPr>
        <w:shd w:val="clea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14:paraId="524CC7B4">
      <w:pPr>
        <w:shd w:val="clear"/>
        <w:rPr>
          <w:rFonts w:hAnsi="宋体" w:cs="宋体"/>
          <w:color w:val="auto"/>
          <w:szCs w:val="21"/>
          <w:highlight w:val="none"/>
        </w:rPr>
      </w:pPr>
      <w:r>
        <w:rPr>
          <w:rFonts w:hint="eastAsia" w:hAnsi="宋体" w:cs="宋体"/>
          <w:color w:val="auto"/>
          <w:szCs w:val="21"/>
          <w:highlight w:val="none"/>
        </w:rPr>
        <w:t>二、联合体内部有关事项约定如下：</w:t>
      </w:r>
    </w:p>
    <w:p w14:paraId="6972A942">
      <w:pPr>
        <w:shd w:val="clea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38030377">
      <w:pPr>
        <w:shd w:val="clea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66F619BD">
      <w:pPr>
        <w:shd w:val="clea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14:paraId="3FDBFDF6">
      <w:pPr>
        <w:shd w:val="clear"/>
        <w:rPr>
          <w:rFonts w:hAnsi="宋体" w:cs="宋体"/>
          <w:color w:val="auto"/>
          <w:szCs w:val="21"/>
          <w:highlight w:val="none"/>
        </w:rPr>
      </w:pPr>
      <w:r>
        <w:rPr>
          <w:rFonts w:hint="eastAsia" w:hAnsi="宋体" w:cs="宋体"/>
          <w:color w:val="auto"/>
          <w:szCs w:val="21"/>
          <w:highlight w:val="none"/>
        </w:rPr>
        <w:t>4.联合体各成员单位内部的职责分工如下：</w:t>
      </w:r>
    </w:p>
    <w:p w14:paraId="0D92A3C0">
      <w:pPr>
        <w:shd w:val="clear"/>
        <w:rPr>
          <w:rFonts w:hAnsi="宋体" w:cs="宋体"/>
          <w:color w:val="auto"/>
          <w:szCs w:val="21"/>
          <w:highlight w:val="none"/>
        </w:rPr>
      </w:pPr>
      <w:r>
        <w:rPr>
          <w:rFonts w:hint="eastAsia" w:hAnsi="宋体" w:cs="宋体"/>
          <w:color w:val="auto"/>
          <w:szCs w:val="21"/>
          <w:highlight w:val="none"/>
        </w:rPr>
        <w:t>（1）</w:t>
      </w:r>
    </w:p>
    <w:p w14:paraId="48F1F06B">
      <w:pPr>
        <w:shd w:val="clear"/>
        <w:rPr>
          <w:color w:val="auto"/>
          <w:highlight w:val="none"/>
        </w:rPr>
      </w:pPr>
      <w:r>
        <w:rPr>
          <w:rFonts w:hint="eastAsia" w:hAnsi="宋体" w:cs="宋体"/>
          <w:color w:val="auto"/>
          <w:szCs w:val="21"/>
          <w:highlight w:val="none"/>
        </w:rPr>
        <w:t>（2）</w:t>
      </w:r>
    </w:p>
    <w:p w14:paraId="4EA41343">
      <w:pPr>
        <w:shd w:val="clea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3D085CBD">
      <w:pPr>
        <w:shd w:val="clea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14:paraId="424C1AB4">
      <w:pPr>
        <w:shd w:val="clea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14:paraId="7D7E14DF">
      <w:pPr>
        <w:shd w:val="clea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14:paraId="1B3454FC">
      <w:pPr>
        <w:shd w:val="clear"/>
        <w:rPr>
          <w:rFonts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14:paraId="08B4924F">
      <w:pPr>
        <w:shd w:val="clear"/>
        <w:rPr>
          <w:rFonts w:hAnsi="宋体" w:cs="宋体"/>
          <w:color w:val="auto"/>
          <w:szCs w:val="21"/>
          <w:highlight w:val="none"/>
        </w:rPr>
      </w:pPr>
    </w:p>
    <w:p w14:paraId="41369FC2">
      <w:pPr>
        <w:pStyle w:val="12"/>
        <w:shd w:val="clear"/>
        <w:rPr>
          <w:color w:val="auto"/>
          <w:sz w:val="21"/>
          <w:szCs w:val="21"/>
          <w:highlight w:val="none"/>
        </w:rPr>
      </w:pPr>
      <w:r>
        <w:rPr>
          <w:rFonts w:hint="eastAsia"/>
          <w:color w:val="auto"/>
          <w:sz w:val="21"/>
          <w:szCs w:val="21"/>
          <w:highlight w:val="none"/>
        </w:rPr>
        <w:t>注：本协议书由委托人签字的，应附法定代表人签字的授权委托书。</w:t>
      </w:r>
    </w:p>
    <w:p w14:paraId="7FAA4478">
      <w:pPr>
        <w:pStyle w:val="12"/>
        <w:shd w:val="clear"/>
        <w:rPr>
          <w:color w:val="auto"/>
          <w:sz w:val="21"/>
          <w:szCs w:val="21"/>
          <w:highlight w:val="none"/>
        </w:rPr>
      </w:pPr>
      <w:r>
        <w:rPr>
          <w:rFonts w:hint="eastAsia"/>
          <w:color w:val="auto"/>
          <w:sz w:val="21"/>
          <w:szCs w:val="21"/>
          <w:highlight w:val="none"/>
        </w:rPr>
        <w:t>牵头人名称：_______________________（盖单位公章）</w:t>
      </w:r>
    </w:p>
    <w:p w14:paraId="4696B535">
      <w:pPr>
        <w:pStyle w:val="12"/>
        <w:shd w:val="clear"/>
        <w:rPr>
          <w:color w:val="auto"/>
          <w:sz w:val="21"/>
          <w:szCs w:val="21"/>
          <w:highlight w:val="none"/>
        </w:rPr>
      </w:pPr>
      <w:r>
        <w:rPr>
          <w:rFonts w:hint="eastAsia"/>
          <w:color w:val="auto"/>
          <w:sz w:val="21"/>
          <w:szCs w:val="21"/>
          <w:highlight w:val="none"/>
        </w:rPr>
        <w:t>法定代表人或其委托代理人：_____________（签字）</w:t>
      </w:r>
    </w:p>
    <w:p w14:paraId="265316E4">
      <w:pPr>
        <w:pStyle w:val="12"/>
        <w:shd w:val="clear"/>
        <w:rPr>
          <w:color w:val="auto"/>
          <w:sz w:val="21"/>
          <w:szCs w:val="21"/>
          <w:highlight w:val="none"/>
        </w:rPr>
      </w:pPr>
    </w:p>
    <w:p w14:paraId="6125A521">
      <w:pPr>
        <w:pStyle w:val="12"/>
        <w:shd w:val="clear"/>
        <w:rPr>
          <w:color w:val="auto"/>
          <w:sz w:val="21"/>
          <w:szCs w:val="21"/>
          <w:highlight w:val="none"/>
        </w:rPr>
      </w:pPr>
      <w:r>
        <w:rPr>
          <w:rFonts w:hint="eastAsia"/>
          <w:color w:val="auto"/>
          <w:sz w:val="21"/>
          <w:szCs w:val="21"/>
          <w:highlight w:val="none"/>
        </w:rPr>
        <w:t>成员一名称：_______________________（盖单位公章）</w:t>
      </w:r>
    </w:p>
    <w:p w14:paraId="4C4EF7B2">
      <w:pPr>
        <w:pStyle w:val="12"/>
        <w:shd w:val="clear"/>
        <w:rPr>
          <w:color w:val="auto"/>
          <w:sz w:val="21"/>
          <w:szCs w:val="21"/>
          <w:highlight w:val="none"/>
        </w:rPr>
      </w:pPr>
      <w:r>
        <w:rPr>
          <w:rFonts w:hint="eastAsia"/>
          <w:color w:val="auto"/>
          <w:sz w:val="21"/>
          <w:szCs w:val="21"/>
          <w:highlight w:val="none"/>
        </w:rPr>
        <w:t>法定代表人或其委托代理人：_____________（签字）</w:t>
      </w:r>
    </w:p>
    <w:p w14:paraId="0348653E">
      <w:pPr>
        <w:pStyle w:val="12"/>
        <w:shd w:val="clear"/>
        <w:rPr>
          <w:color w:val="auto"/>
          <w:sz w:val="21"/>
          <w:szCs w:val="21"/>
          <w:highlight w:val="none"/>
        </w:rPr>
      </w:pPr>
    </w:p>
    <w:p w14:paraId="1F4F576C">
      <w:pPr>
        <w:pStyle w:val="12"/>
        <w:shd w:val="clear"/>
        <w:rPr>
          <w:color w:val="auto"/>
          <w:sz w:val="21"/>
          <w:szCs w:val="21"/>
          <w:highlight w:val="none"/>
        </w:rPr>
      </w:pPr>
      <w:r>
        <w:rPr>
          <w:rFonts w:hint="eastAsia"/>
          <w:color w:val="auto"/>
          <w:sz w:val="21"/>
          <w:szCs w:val="21"/>
          <w:highlight w:val="none"/>
        </w:rPr>
        <w:t>成员二名称：_______________________（盖单位公章）</w:t>
      </w:r>
    </w:p>
    <w:p w14:paraId="35ACD0DF">
      <w:pPr>
        <w:pStyle w:val="12"/>
        <w:shd w:val="clear"/>
        <w:rPr>
          <w:color w:val="auto"/>
          <w:sz w:val="21"/>
          <w:szCs w:val="21"/>
          <w:highlight w:val="none"/>
        </w:rPr>
      </w:pPr>
      <w:r>
        <w:rPr>
          <w:rFonts w:hint="eastAsia"/>
          <w:color w:val="auto"/>
          <w:sz w:val="21"/>
          <w:szCs w:val="21"/>
          <w:highlight w:val="none"/>
        </w:rPr>
        <w:t>法定代表人或其委托代理人：_____________（签字）</w:t>
      </w:r>
    </w:p>
    <w:p w14:paraId="00202B81">
      <w:pPr>
        <w:pStyle w:val="12"/>
        <w:shd w:val="clear"/>
        <w:ind w:firstLine="210" w:firstLineChars="100"/>
        <w:jc w:val="both"/>
        <w:rPr>
          <w:color w:val="auto"/>
          <w:sz w:val="21"/>
          <w:szCs w:val="21"/>
          <w:highlight w:val="none"/>
        </w:rPr>
      </w:pPr>
      <w:r>
        <w:rPr>
          <w:rFonts w:hint="eastAsia"/>
          <w:color w:val="auto"/>
          <w:sz w:val="21"/>
          <w:szCs w:val="21"/>
          <w:highlight w:val="none"/>
        </w:rPr>
        <w:t>……</w:t>
      </w:r>
    </w:p>
    <w:p w14:paraId="320C1719">
      <w:pPr>
        <w:pStyle w:val="12"/>
        <w:shd w:val="clear"/>
        <w:rPr>
          <w:rFonts w:hint="eastAsia"/>
          <w:color w:val="auto"/>
          <w:sz w:val="21"/>
          <w:szCs w:val="21"/>
          <w:highlight w:val="none"/>
        </w:rPr>
      </w:pPr>
      <w:r>
        <w:rPr>
          <w:rFonts w:hint="eastAsia"/>
          <w:color w:val="auto"/>
          <w:sz w:val="21"/>
          <w:szCs w:val="21"/>
          <w:highlight w:val="none"/>
        </w:rPr>
        <w:t xml:space="preserve">        年     月     日</w:t>
      </w:r>
    </w:p>
    <w:p w14:paraId="7E7E53F8">
      <w:pPr>
        <w:rPr>
          <w:rFonts w:hint="eastAsia"/>
          <w:color w:val="auto"/>
          <w:sz w:val="21"/>
          <w:szCs w:val="21"/>
          <w:highlight w:val="none"/>
        </w:rPr>
      </w:pPr>
      <w:r>
        <w:rPr>
          <w:rFonts w:hint="eastAsia"/>
          <w:color w:val="auto"/>
          <w:sz w:val="21"/>
          <w:szCs w:val="21"/>
          <w:highlight w:val="none"/>
        </w:rPr>
        <w:br w:type="page"/>
      </w:r>
    </w:p>
    <w:p w14:paraId="3DFB2937">
      <w:pPr>
        <w:pStyle w:val="8"/>
        <w:widowControl w:val="0"/>
        <w:shd w:val="clear"/>
        <w:overflowPunct w:val="0"/>
        <w:spacing w:line="240" w:lineRule="auto"/>
        <w:rPr>
          <w:rFonts w:ascii="宋体" w:hAnsi="宋体"/>
          <w:color w:val="auto"/>
          <w:sz w:val="21"/>
          <w:szCs w:val="21"/>
          <w:highlight w:val="none"/>
        </w:rPr>
      </w:pPr>
      <w:bookmarkStart w:id="153" w:name="_Toc6429"/>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16</w:t>
      </w:r>
      <w:r>
        <w:rPr>
          <w:rFonts w:hint="eastAsia" w:ascii="宋体" w:hAnsi="宋体"/>
          <w:color w:val="auto"/>
          <w:sz w:val="21"/>
          <w:szCs w:val="21"/>
          <w:highlight w:val="none"/>
        </w:rPr>
        <w:t>.实施本项目的有关人员资料表格式</w:t>
      </w:r>
      <w:bookmarkEnd w:id="153"/>
    </w:p>
    <w:p w14:paraId="7090CA46">
      <w:pPr>
        <w:shd w:val="clear"/>
        <w:jc w:val="center"/>
        <w:rPr>
          <w:rFonts w:ascii="宋体" w:hAnsi="宋体"/>
          <w:color w:val="auto"/>
          <w:szCs w:val="21"/>
          <w:highlight w:val="none"/>
        </w:rPr>
      </w:pPr>
    </w:p>
    <w:p w14:paraId="18405CCF">
      <w:pPr>
        <w:shd w:val="clea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28"/>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44D4B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08F91E6">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702" w:type="dxa"/>
            <w:vAlign w:val="center"/>
          </w:tcPr>
          <w:p w14:paraId="095FA406">
            <w:pPr>
              <w:shd w:val="clear"/>
              <w:jc w:val="center"/>
              <w:rPr>
                <w:rFonts w:ascii="宋体" w:hAnsi="宋体"/>
                <w:color w:val="auto"/>
                <w:szCs w:val="21"/>
                <w:highlight w:val="none"/>
              </w:rPr>
            </w:pPr>
            <w:r>
              <w:rPr>
                <w:rFonts w:hint="eastAsia" w:ascii="宋体" w:hAnsi="宋体"/>
                <w:color w:val="auto"/>
                <w:szCs w:val="21"/>
                <w:highlight w:val="none"/>
              </w:rPr>
              <w:t>姓名</w:t>
            </w:r>
          </w:p>
        </w:tc>
        <w:tc>
          <w:tcPr>
            <w:tcW w:w="1861" w:type="dxa"/>
            <w:vAlign w:val="center"/>
          </w:tcPr>
          <w:p w14:paraId="6AD4495D">
            <w:pPr>
              <w:shd w:val="clear"/>
              <w:jc w:val="center"/>
              <w:rPr>
                <w:rFonts w:ascii="宋体" w:hAnsi="宋体"/>
                <w:color w:val="auto"/>
                <w:szCs w:val="21"/>
                <w:highlight w:val="none"/>
              </w:rPr>
            </w:pPr>
            <w:r>
              <w:rPr>
                <w:rFonts w:hint="eastAsia" w:ascii="宋体" w:hAnsi="宋体"/>
                <w:color w:val="auto"/>
                <w:szCs w:val="21"/>
                <w:highlight w:val="none"/>
              </w:rPr>
              <w:t>本项目拟任岗位</w:t>
            </w:r>
          </w:p>
        </w:tc>
        <w:tc>
          <w:tcPr>
            <w:tcW w:w="702" w:type="dxa"/>
            <w:vAlign w:val="center"/>
          </w:tcPr>
          <w:p w14:paraId="15A5C97C">
            <w:pPr>
              <w:shd w:val="clear"/>
              <w:jc w:val="center"/>
              <w:rPr>
                <w:rFonts w:ascii="宋体" w:hAnsi="宋体"/>
                <w:color w:val="auto"/>
                <w:szCs w:val="21"/>
                <w:highlight w:val="none"/>
              </w:rPr>
            </w:pPr>
            <w:r>
              <w:rPr>
                <w:rFonts w:hint="eastAsia" w:ascii="宋体" w:hAnsi="宋体"/>
                <w:color w:val="auto"/>
                <w:szCs w:val="21"/>
                <w:highlight w:val="none"/>
              </w:rPr>
              <w:t>性别</w:t>
            </w:r>
          </w:p>
        </w:tc>
        <w:tc>
          <w:tcPr>
            <w:tcW w:w="702" w:type="dxa"/>
            <w:vAlign w:val="center"/>
          </w:tcPr>
          <w:p w14:paraId="485D1927">
            <w:pPr>
              <w:shd w:val="clear"/>
              <w:jc w:val="center"/>
              <w:rPr>
                <w:rFonts w:ascii="宋体" w:hAnsi="宋体"/>
                <w:color w:val="auto"/>
                <w:szCs w:val="21"/>
                <w:highlight w:val="none"/>
              </w:rPr>
            </w:pPr>
            <w:r>
              <w:rPr>
                <w:rFonts w:hint="eastAsia" w:ascii="宋体" w:hAnsi="宋体"/>
                <w:color w:val="auto"/>
                <w:szCs w:val="21"/>
                <w:highlight w:val="none"/>
              </w:rPr>
              <w:t>年龄</w:t>
            </w:r>
          </w:p>
        </w:tc>
        <w:tc>
          <w:tcPr>
            <w:tcW w:w="1164" w:type="dxa"/>
            <w:vAlign w:val="center"/>
          </w:tcPr>
          <w:p w14:paraId="0C3324C0">
            <w:pPr>
              <w:shd w:val="clear"/>
              <w:jc w:val="center"/>
              <w:rPr>
                <w:rFonts w:ascii="宋体" w:hAnsi="宋体"/>
                <w:color w:val="auto"/>
                <w:szCs w:val="21"/>
                <w:highlight w:val="none"/>
              </w:rPr>
            </w:pPr>
            <w:r>
              <w:rPr>
                <w:rFonts w:hint="eastAsia" w:ascii="宋体" w:hAnsi="宋体"/>
                <w:color w:val="auto"/>
                <w:szCs w:val="21"/>
                <w:highlight w:val="none"/>
              </w:rPr>
              <w:t>技术职称</w:t>
            </w:r>
          </w:p>
        </w:tc>
        <w:tc>
          <w:tcPr>
            <w:tcW w:w="818" w:type="dxa"/>
            <w:vAlign w:val="center"/>
          </w:tcPr>
          <w:p w14:paraId="6FE8D3DC">
            <w:pPr>
              <w:shd w:val="clear"/>
              <w:jc w:val="center"/>
              <w:rPr>
                <w:rFonts w:ascii="宋体" w:hAnsi="宋体"/>
                <w:color w:val="auto"/>
                <w:szCs w:val="21"/>
                <w:highlight w:val="none"/>
              </w:rPr>
            </w:pPr>
            <w:r>
              <w:rPr>
                <w:rFonts w:hint="eastAsia" w:ascii="宋体" w:hAnsi="宋体"/>
                <w:color w:val="auto"/>
                <w:szCs w:val="21"/>
                <w:highlight w:val="none"/>
              </w:rPr>
              <w:t>专 业</w:t>
            </w:r>
          </w:p>
        </w:tc>
        <w:tc>
          <w:tcPr>
            <w:tcW w:w="1165" w:type="dxa"/>
            <w:vAlign w:val="center"/>
          </w:tcPr>
          <w:p w14:paraId="11B26879">
            <w:pPr>
              <w:shd w:val="clear"/>
              <w:jc w:val="center"/>
              <w:rPr>
                <w:rFonts w:ascii="宋体" w:hAnsi="宋体"/>
                <w:color w:val="auto"/>
                <w:szCs w:val="21"/>
                <w:highlight w:val="none"/>
              </w:rPr>
            </w:pPr>
            <w:r>
              <w:rPr>
                <w:rFonts w:hint="eastAsia" w:ascii="宋体" w:hAnsi="宋体"/>
                <w:color w:val="auto"/>
                <w:szCs w:val="21"/>
                <w:highlight w:val="none"/>
              </w:rPr>
              <w:t>资质证书</w:t>
            </w:r>
          </w:p>
        </w:tc>
        <w:tc>
          <w:tcPr>
            <w:tcW w:w="703" w:type="dxa"/>
            <w:tcBorders>
              <w:right w:val="single" w:color="auto" w:sz="6" w:space="0"/>
            </w:tcBorders>
            <w:vAlign w:val="center"/>
          </w:tcPr>
          <w:p w14:paraId="2AA1D4F5">
            <w:pPr>
              <w:shd w:val="clear"/>
              <w:jc w:val="center"/>
              <w:rPr>
                <w:rFonts w:ascii="宋体" w:hAnsi="宋体"/>
                <w:color w:val="auto"/>
                <w:szCs w:val="21"/>
                <w:highlight w:val="none"/>
              </w:rPr>
            </w:pPr>
            <w:r>
              <w:rPr>
                <w:rFonts w:hint="eastAsia" w:ascii="宋体" w:hAnsi="宋体"/>
                <w:color w:val="auto"/>
                <w:szCs w:val="21"/>
                <w:highlight w:val="none"/>
              </w:rPr>
              <w:t>备注</w:t>
            </w:r>
          </w:p>
        </w:tc>
      </w:tr>
      <w:tr w14:paraId="51EE3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EF98D54">
            <w:pPr>
              <w:shd w:val="clear"/>
              <w:spacing w:line="288" w:lineRule="auto"/>
              <w:jc w:val="center"/>
              <w:rPr>
                <w:rFonts w:ascii="宋体" w:hAnsi="宋体"/>
                <w:color w:val="auto"/>
                <w:szCs w:val="21"/>
                <w:highlight w:val="none"/>
              </w:rPr>
            </w:pPr>
          </w:p>
        </w:tc>
        <w:tc>
          <w:tcPr>
            <w:tcW w:w="702" w:type="dxa"/>
            <w:vAlign w:val="center"/>
          </w:tcPr>
          <w:p w14:paraId="46B2E39E">
            <w:pPr>
              <w:shd w:val="clear"/>
              <w:spacing w:line="288" w:lineRule="auto"/>
              <w:jc w:val="center"/>
              <w:rPr>
                <w:rFonts w:ascii="宋体" w:hAnsi="宋体"/>
                <w:color w:val="auto"/>
                <w:szCs w:val="21"/>
                <w:highlight w:val="none"/>
              </w:rPr>
            </w:pPr>
          </w:p>
        </w:tc>
        <w:tc>
          <w:tcPr>
            <w:tcW w:w="1861" w:type="dxa"/>
            <w:vAlign w:val="center"/>
          </w:tcPr>
          <w:p w14:paraId="7A26889D">
            <w:pPr>
              <w:shd w:val="clear"/>
              <w:spacing w:line="288" w:lineRule="auto"/>
              <w:jc w:val="center"/>
              <w:rPr>
                <w:rFonts w:ascii="宋体" w:hAnsi="宋体"/>
                <w:color w:val="auto"/>
                <w:szCs w:val="21"/>
                <w:highlight w:val="none"/>
              </w:rPr>
            </w:pPr>
          </w:p>
        </w:tc>
        <w:tc>
          <w:tcPr>
            <w:tcW w:w="702" w:type="dxa"/>
            <w:vAlign w:val="center"/>
          </w:tcPr>
          <w:p w14:paraId="7FE78023">
            <w:pPr>
              <w:shd w:val="clear"/>
              <w:spacing w:line="288" w:lineRule="auto"/>
              <w:jc w:val="center"/>
              <w:rPr>
                <w:rFonts w:ascii="宋体" w:hAnsi="宋体"/>
                <w:color w:val="auto"/>
                <w:szCs w:val="21"/>
                <w:highlight w:val="none"/>
              </w:rPr>
            </w:pPr>
          </w:p>
        </w:tc>
        <w:tc>
          <w:tcPr>
            <w:tcW w:w="702" w:type="dxa"/>
            <w:vAlign w:val="center"/>
          </w:tcPr>
          <w:p w14:paraId="1B3BCE8A">
            <w:pPr>
              <w:shd w:val="clear"/>
              <w:spacing w:line="288" w:lineRule="auto"/>
              <w:jc w:val="center"/>
              <w:rPr>
                <w:rFonts w:ascii="宋体" w:hAnsi="宋体"/>
                <w:color w:val="auto"/>
                <w:szCs w:val="21"/>
                <w:highlight w:val="none"/>
              </w:rPr>
            </w:pPr>
          </w:p>
        </w:tc>
        <w:tc>
          <w:tcPr>
            <w:tcW w:w="1164" w:type="dxa"/>
            <w:vAlign w:val="center"/>
          </w:tcPr>
          <w:p w14:paraId="323C3334">
            <w:pPr>
              <w:shd w:val="clear"/>
              <w:spacing w:line="288" w:lineRule="auto"/>
              <w:jc w:val="center"/>
              <w:rPr>
                <w:rFonts w:ascii="宋体" w:hAnsi="宋体"/>
                <w:color w:val="auto"/>
                <w:szCs w:val="21"/>
                <w:highlight w:val="none"/>
              </w:rPr>
            </w:pPr>
          </w:p>
        </w:tc>
        <w:tc>
          <w:tcPr>
            <w:tcW w:w="818" w:type="dxa"/>
            <w:vAlign w:val="center"/>
          </w:tcPr>
          <w:p w14:paraId="03D6698C">
            <w:pPr>
              <w:shd w:val="clear"/>
              <w:spacing w:line="288" w:lineRule="auto"/>
              <w:jc w:val="center"/>
              <w:rPr>
                <w:rFonts w:ascii="宋体" w:hAnsi="宋体"/>
                <w:color w:val="auto"/>
                <w:szCs w:val="21"/>
                <w:highlight w:val="none"/>
              </w:rPr>
            </w:pPr>
          </w:p>
        </w:tc>
        <w:tc>
          <w:tcPr>
            <w:tcW w:w="1165" w:type="dxa"/>
            <w:vAlign w:val="center"/>
          </w:tcPr>
          <w:p w14:paraId="527154A8">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2EEF832F">
            <w:pPr>
              <w:shd w:val="clear"/>
              <w:spacing w:line="288" w:lineRule="auto"/>
              <w:jc w:val="center"/>
              <w:rPr>
                <w:rFonts w:ascii="宋体" w:hAnsi="宋体"/>
                <w:color w:val="auto"/>
                <w:szCs w:val="21"/>
                <w:highlight w:val="none"/>
              </w:rPr>
            </w:pPr>
          </w:p>
        </w:tc>
      </w:tr>
      <w:tr w14:paraId="76EB8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2F38D26">
            <w:pPr>
              <w:shd w:val="clear"/>
              <w:spacing w:line="288" w:lineRule="auto"/>
              <w:jc w:val="center"/>
              <w:rPr>
                <w:rFonts w:ascii="宋体" w:hAnsi="宋体"/>
                <w:color w:val="auto"/>
                <w:szCs w:val="21"/>
                <w:highlight w:val="none"/>
              </w:rPr>
            </w:pPr>
          </w:p>
        </w:tc>
        <w:tc>
          <w:tcPr>
            <w:tcW w:w="702" w:type="dxa"/>
            <w:vAlign w:val="center"/>
          </w:tcPr>
          <w:p w14:paraId="7ACF4436">
            <w:pPr>
              <w:shd w:val="clear"/>
              <w:spacing w:line="288" w:lineRule="auto"/>
              <w:jc w:val="center"/>
              <w:rPr>
                <w:rFonts w:ascii="宋体" w:hAnsi="宋体"/>
                <w:color w:val="auto"/>
                <w:szCs w:val="21"/>
                <w:highlight w:val="none"/>
              </w:rPr>
            </w:pPr>
          </w:p>
        </w:tc>
        <w:tc>
          <w:tcPr>
            <w:tcW w:w="1861" w:type="dxa"/>
            <w:vAlign w:val="center"/>
          </w:tcPr>
          <w:p w14:paraId="7A9D1CBD">
            <w:pPr>
              <w:shd w:val="clear"/>
              <w:spacing w:line="288" w:lineRule="auto"/>
              <w:jc w:val="center"/>
              <w:rPr>
                <w:rFonts w:ascii="宋体" w:hAnsi="宋体"/>
                <w:color w:val="auto"/>
                <w:szCs w:val="21"/>
                <w:highlight w:val="none"/>
              </w:rPr>
            </w:pPr>
          </w:p>
        </w:tc>
        <w:tc>
          <w:tcPr>
            <w:tcW w:w="702" w:type="dxa"/>
            <w:vAlign w:val="center"/>
          </w:tcPr>
          <w:p w14:paraId="1288AEEF">
            <w:pPr>
              <w:shd w:val="clear"/>
              <w:spacing w:line="288" w:lineRule="auto"/>
              <w:jc w:val="center"/>
              <w:rPr>
                <w:rFonts w:ascii="宋体" w:hAnsi="宋体"/>
                <w:color w:val="auto"/>
                <w:szCs w:val="21"/>
                <w:highlight w:val="none"/>
              </w:rPr>
            </w:pPr>
          </w:p>
        </w:tc>
        <w:tc>
          <w:tcPr>
            <w:tcW w:w="702" w:type="dxa"/>
            <w:vAlign w:val="center"/>
          </w:tcPr>
          <w:p w14:paraId="7EDFDBAE">
            <w:pPr>
              <w:shd w:val="clear"/>
              <w:spacing w:line="288" w:lineRule="auto"/>
              <w:jc w:val="center"/>
              <w:rPr>
                <w:rFonts w:ascii="宋体" w:hAnsi="宋体"/>
                <w:color w:val="auto"/>
                <w:szCs w:val="21"/>
                <w:highlight w:val="none"/>
              </w:rPr>
            </w:pPr>
          </w:p>
        </w:tc>
        <w:tc>
          <w:tcPr>
            <w:tcW w:w="1164" w:type="dxa"/>
            <w:vAlign w:val="center"/>
          </w:tcPr>
          <w:p w14:paraId="534ED010">
            <w:pPr>
              <w:shd w:val="clear"/>
              <w:spacing w:line="288" w:lineRule="auto"/>
              <w:jc w:val="center"/>
              <w:rPr>
                <w:rFonts w:ascii="宋体" w:hAnsi="宋体"/>
                <w:color w:val="auto"/>
                <w:szCs w:val="21"/>
                <w:highlight w:val="none"/>
              </w:rPr>
            </w:pPr>
          </w:p>
        </w:tc>
        <w:tc>
          <w:tcPr>
            <w:tcW w:w="818" w:type="dxa"/>
            <w:vAlign w:val="center"/>
          </w:tcPr>
          <w:p w14:paraId="27ACE2E7">
            <w:pPr>
              <w:shd w:val="clear"/>
              <w:spacing w:line="288" w:lineRule="auto"/>
              <w:jc w:val="center"/>
              <w:rPr>
                <w:rFonts w:ascii="宋体" w:hAnsi="宋体"/>
                <w:color w:val="auto"/>
                <w:szCs w:val="21"/>
                <w:highlight w:val="none"/>
              </w:rPr>
            </w:pPr>
          </w:p>
        </w:tc>
        <w:tc>
          <w:tcPr>
            <w:tcW w:w="1165" w:type="dxa"/>
            <w:vAlign w:val="center"/>
          </w:tcPr>
          <w:p w14:paraId="6914F8F4">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47BD24B4">
            <w:pPr>
              <w:shd w:val="clear"/>
              <w:spacing w:line="288" w:lineRule="auto"/>
              <w:jc w:val="center"/>
              <w:rPr>
                <w:rFonts w:ascii="宋体" w:hAnsi="宋体"/>
                <w:color w:val="auto"/>
                <w:szCs w:val="21"/>
                <w:highlight w:val="none"/>
              </w:rPr>
            </w:pPr>
          </w:p>
        </w:tc>
      </w:tr>
      <w:tr w14:paraId="2825F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A8F90CC">
            <w:pPr>
              <w:shd w:val="clear"/>
              <w:spacing w:line="288" w:lineRule="auto"/>
              <w:jc w:val="center"/>
              <w:rPr>
                <w:rFonts w:ascii="宋体" w:hAnsi="宋体"/>
                <w:color w:val="auto"/>
                <w:szCs w:val="21"/>
                <w:highlight w:val="none"/>
              </w:rPr>
            </w:pPr>
          </w:p>
        </w:tc>
        <w:tc>
          <w:tcPr>
            <w:tcW w:w="702" w:type="dxa"/>
            <w:vAlign w:val="center"/>
          </w:tcPr>
          <w:p w14:paraId="28DBEAE0">
            <w:pPr>
              <w:shd w:val="clear"/>
              <w:spacing w:line="288" w:lineRule="auto"/>
              <w:jc w:val="center"/>
              <w:rPr>
                <w:rFonts w:ascii="宋体" w:hAnsi="宋体"/>
                <w:color w:val="auto"/>
                <w:szCs w:val="21"/>
                <w:highlight w:val="none"/>
              </w:rPr>
            </w:pPr>
          </w:p>
        </w:tc>
        <w:tc>
          <w:tcPr>
            <w:tcW w:w="1861" w:type="dxa"/>
            <w:vAlign w:val="center"/>
          </w:tcPr>
          <w:p w14:paraId="629F262B">
            <w:pPr>
              <w:shd w:val="clear"/>
              <w:spacing w:line="288" w:lineRule="auto"/>
              <w:jc w:val="center"/>
              <w:rPr>
                <w:rFonts w:ascii="宋体" w:hAnsi="宋体"/>
                <w:color w:val="auto"/>
                <w:szCs w:val="21"/>
                <w:highlight w:val="none"/>
              </w:rPr>
            </w:pPr>
          </w:p>
        </w:tc>
        <w:tc>
          <w:tcPr>
            <w:tcW w:w="702" w:type="dxa"/>
            <w:vAlign w:val="center"/>
          </w:tcPr>
          <w:p w14:paraId="33C6B938">
            <w:pPr>
              <w:shd w:val="clear"/>
              <w:spacing w:line="288" w:lineRule="auto"/>
              <w:jc w:val="center"/>
              <w:rPr>
                <w:rFonts w:ascii="宋体" w:hAnsi="宋体"/>
                <w:color w:val="auto"/>
                <w:szCs w:val="21"/>
                <w:highlight w:val="none"/>
              </w:rPr>
            </w:pPr>
          </w:p>
        </w:tc>
        <w:tc>
          <w:tcPr>
            <w:tcW w:w="702" w:type="dxa"/>
            <w:vAlign w:val="center"/>
          </w:tcPr>
          <w:p w14:paraId="300E6233">
            <w:pPr>
              <w:shd w:val="clear"/>
              <w:spacing w:line="288" w:lineRule="auto"/>
              <w:jc w:val="center"/>
              <w:rPr>
                <w:rFonts w:ascii="宋体" w:hAnsi="宋体"/>
                <w:color w:val="auto"/>
                <w:szCs w:val="21"/>
                <w:highlight w:val="none"/>
              </w:rPr>
            </w:pPr>
          </w:p>
        </w:tc>
        <w:tc>
          <w:tcPr>
            <w:tcW w:w="1164" w:type="dxa"/>
            <w:vAlign w:val="center"/>
          </w:tcPr>
          <w:p w14:paraId="33CF0392">
            <w:pPr>
              <w:shd w:val="clear"/>
              <w:spacing w:line="288" w:lineRule="auto"/>
              <w:jc w:val="center"/>
              <w:rPr>
                <w:rFonts w:ascii="宋体" w:hAnsi="宋体"/>
                <w:color w:val="auto"/>
                <w:szCs w:val="21"/>
                <w:highlight w:val="none"/>
              </w:rPr>
            </w:pPr>
          </w:p>
        </w:tc>
        <w:tc>
          <w:tcPr>
            <w:tcW w:w="818" w:type="dxa"/>
            <w:vAlign w:val="center"/>
          </w:tcPr>
          <w:p w14:paraId="6706B022">
            <w:pPr>
              <w:shd w:val="clear"/>
              <w:spacing w:line="288" w:lineRule="auto"/>
              <w:jc w:val="center"/>
              <w:rPr>
                <w:rFonts w:ascii="宋体" w:hAnsi="宋体"/>
                <w:color w:val="auto"/>
                <w:szCs w:val="21"/>
                <w:highlight w:val="none"/>
              </w:rPr>
            </w:pPr>
          </w:p>
        </w:tc>
        <w:tc>
          <w:tcPr>
            <w:tcW w:w="1165" w:type="dxa"/>
            <w:vAlign w:val="center"/>
          </w:tcPr>
          <w:p w14:paraId="04EA407F">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3B87061A">
            <w:pPr>
              <w:shd w:val="clear"/>
              <w:spacing w:line="288" w:lineRule="auto"/>
              <w:jc w:val="center"/>
              <w:rPr>
                <w:rFonts w:ascii="宋体" w:hAnsi="宋体"/>
                <w:color w:val="auto"/>
                <w:szCs w:val="21"/>
                <w:highlight w:val="none"/>
              </w:rPr>
            </w:pPr>
          </w:p>
        </w:tc>
      </w:tr>
      <w:tr w14:paraId="11DC4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96217E4">
            <w:pPr>
              <w:shd w:val="clear"/>
              <w:spacing w:line="288" w:lineRule="auto"/>
              <w:jc w:val="center"/>
              <w:rPr>
                <w:rFonts w:ascii="宋体" w:hAnsi="宋体"/>
                <w:color w:val="auto"/>
                <w:szCs w:val="21"/>
                <w:highlight w:val="none"/>
              </w:rPr>
            </w:pPr>
          </w:p>
        </w:tc>
        <w:tc>
          <w:tcPr>
            <w:tcW w:w="702" w:type="dxa"/>
            <w:vAlign w:val="center"/>
          </w:tcPr>
          <w:p w14:paraId="2EFCB9B3">
            <w:pPr>
              <w:shd w:val="clear"/>
              <w:spacing w:line="288" w:lineRule="auto"/>
              <w:jc w:val="center"/>
              <w:rPr>
                <w:rFonts w:ascii="宋体" w:hAnsi="宋体"/>
                <w:color w:val="auto"/>
                <w:szCs w:val="21"/>
                <w:highlight w:val="none"/>
              </w:rPr>
            </w:pPr>
          </w:p>
        </w:tc>
        <w:tc>
          <w:tcPr>
            <w:tcW w:w="1861" w:type="dxa"/>
            <w:vAlign w:val="center"/>
          </w:tcPr>
          <w:p w14:paraId="43C89608">
            <w:pPr>
              <w:shd w:val="clear"/>
              <w:spacing w:line="288" w:lineRule="auto"/>
              <w:jc w:val="center"/>
              <w:rPr>
                <w:rFonts w:ascii="宋体" w:hAnsi="宋体"/>
                <w:color w:val="auto"/>
                <w:szCs w:val="21"/>
                <w:highlight w:val="none"/>
              </w:rPr>
            </w:pPr>
          </w:p>
        </w:tc>
        <w:tc>
          <w:tcPr>
            <w:tcW w:w="702" w:type="dxa"/>
            <w:vAlign w:val="center"/>
          </w:tcPr>
          <w:p w14:paraId="3D9E7B5B">
            <w:pPr>
              <w:shd w:val="clear"/>
              <w:spacing w:line="288" w:lineRule="auto"/>
              <w:jc w:val="center"/>
              <w:rPr>
                <w:rFonts w:ascii="宋体" w:hAnsi="宋体"/>
                <w:color w:val="auto"/>
                <w:szCs w:val="21"/>
                <w:highlight w:val="none"/>
              </w:rPr>
            </w:pPr>
          </w:p>
        </w:tc>
        <w:tc>
          <w:tcPr>
            <w:tcW w:w="702" w:type="dxa"/>
            <w:vAlign w:val="center"/>
          </w:tcPr>
          <w:p w14:paraId="43295661">
            <w:pPr>
              <w:shd w:val="clear"/>
              <w:spacing w:line="288" w:lineRule="auto"/>
              <w:jc w:val="center"/>
              <w:rPr>
                <w:rFonts w:ascii="宋体" w:hAnsi="宋体"/>
                <w:color w:val="auto"/>
                <w:szCs w:val="21"/>
                <w:highlight w:val="none"/>
              </w:rPr>
            </w:pPr>
          </w:p>
        </w:tc>
        <w:tc>
          <w:tcPr>
            <w:tcW w:w="1164" w:type="dxa"/>
            <w:vAlign w:val="center"/>
          </w:tcPr>
          <w:p w14:paraId="1F561F06">
            <w:pPr>
              <w:shd w:val="clear"/>
              <w:spacing w:line="288" w:lineRule="auto"/>
              <w:jc w:val="center"/>
              <w:rPr>
                <w:rFonts w:ascii="宋体" w:hAnsi="宋体"/>
                <w:color w:val="auto"/>
                <w:szCs w:val="21"/>
                <w:highlight w:val="none"/>
              </w:rPr>
            </w:pPr>
          </w:p>
        </w:tc>
        <w:tc>
          <w:tcPr>
            <w:tcW w:w="818" w:type="dxa"/>
            <w:vAlign w:val="center"/>
          </w:tcPr>
          <w:p w14:paraId="758EA90B">
            <w:pPr>
              <w:shd w:val="clear"/>
              <w:spacing w:line="288" w:lineRule="auto"/>
              <w:jc w:val="center"/>
              <w:rPr>
                <w:rFonts w:ascii="宋体" w:hAnsi="宋体"/>
                <w:color w:val="auto"/>
                <w:szCs w:val="21"/>
                <w:highlight w:val="none"/>
              </w:rPr>
            </w:pPr>
          </w:p>
        </w:tc>
        <w:tc>
          <w:tcPr>
            <w:tcW w:w="1165" w:type="dxa"/>
            <w:vAlign w:val="center"/>
          </w:tcPr>
          <w:p w14:paraId="08CD19AD">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2D0C5384">
            <w:pPr>
              <w:shd w:val="clear"/>
              <w:spacing w:line="288" w:lineRule="auto"/>
              <w:jc w:val="center"/>
              <w:rPr>
                <w:rFonts w:ascii="宋体" w:hAnsi="宋体"/>
                <w:color w:val="auto"/>
                <w:szCs w:val="21"/>
                <w:highlight w:val="none"/>
              </w:rPr>
            </w:pPr>
          </w:p>
        </w:tc>
      </w:tr>
      <w:tr w14:paraId="53857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9F07136">
            <w:pPr>
              <w:shd w:val="clear"/>
              <w:spacing w:line="288" w:lineRule="auto"/>
              <w:jc w:val="center"/>
              <w:rPr>
                <w:rFonts w:ascii="宋体" w:hAnsi="宋体"/>
                <w:color w:val="auto"/>
                <w:szCs w:val="21"/>
                <w:highlight w:val="none"/>
              </w:rPr>
            </w:pPr>
          </w:p>
        </w:tc>
        <w:tc>
          <w:tcPr>
            <w:tcW w:w="702" w:type="dxa"/>
            <w:vAlign w:val="center"/>
          </w:tcPr>
          <w:p w14:paraId="55F9BD55">
            <w:pPr>
              <w:shd w:val="clear"/>
              <w:spacing w:line="288" w:lineRule="auto"/>
              <w:jc w:val="center"/>
              <w:rPr>
                <w:rFonts w:ascii="宋体" w:hAnsi="宋体"/>
                <w:color w:val="auto"/>
                <w:szCs w:val="21"/>
                <w:highlight w:val="none"/>
              </w:rPr>
            </w:pPr>
          </w:p>
        </w:tc>
        <w:tc>
          <w:tcPr>
            <w:tcW w:w="1861" w:type="dxa"/>
            <w:vAlign w:val="center"/>
          </w:tcPr>
          <w:p w14:paraId="2F0E61A4">
            <w:pPr>
              <w:shd w:val="clear"/>
              <w:spacing w:line="288" w:lineRule="auto"/>
              <w:jc w:val="center"/>
              <w:rPr>
                <w:rFonts w:ascii="宋体" w:hAnsi="宋体"/>
                <w:color w:val="auto"/>
                <w:szCs w:val="21"/>
                <w:highlight w:val="none"/>
              </w:rPr>
            </w:pPr>
          </w:p>
        </w:tc>
        <w:tc>
          <w:tcPr>
            <w:tcW w:w="702" w:type="dxa"/>
            <w:vAlign w:val="center"/>
          </w:tcPr>
          <w:p w14:paraId="2BB54F92">
            <w:pPr>
              <w:shd w:val="clear"/>
              <w:spacing w:line="288" w:lineRule="auto"/>
              <w:jc w:val="center"/>
              <w:rPr>
                <w:rFonts w:ascii="宋体" w:hAnsi="宋体"/>
                <w:color w:val="auto"/>
                <w:szCs w:val="21"/>
                <w:highlight w:val="none"/>
              </w:rPr>
            </w:pPr>
          </w:p>
        </w:tc>
        <w:tc>
          <w:tcPr>
            <w:tcW w:w="702" w:type="dxa"/>
            <w:vAlign w:val="center"/>
          </w:tcPr>
          <w:p w14:paraId="2A78FA49">
            <w:pPr>
              <w:shd w:val="clear"/>
              <w:spacing w:line="288" w:lineRule="auto"/>
              <w:jc w:val="center"/>
              <w:rPr>
                <w:rFonts w:ascii="宋体" w:hAnsi="宋体"/>
                <w:color w:val="auto"/>
                <w:szCs w:val="21"/>
                <w:highlight w:val="none"/>
              </w:rPr>
            </w:pPr>
          </w:p>
        </w:tc>
        <w:tc>
          <w:tcPr>
            <w:tcW w:w="1164" w:type="dxa"/>
            <w:vAlign w:val="center"/>
          </w:tcPr>
          <w:p w14:paraId="3C796042">
            <w:pPr>
              <w:shd w:val="clear"/>
              <w:spacing w:line="288" w:lineRule="auto"/>
              <w:jc w:val="center"/>
              <w:rPr>
                <w:rFonts w:ascii="宋体" w:hAnsi="宋体"/>
                <w:color w:val="auto"/>
                <w:szCs w:val="21"/>
                <w:highlight w:val="none"/>
              </w:rPr>
            </w:pPr>
          </w:p>
        </w:tc>
        <w:tc>
          <w:tcPr>
            <w:tcW w:w="818" w:type="dxa"/>
            <w:vAlign w:val="center"/>
          </w:tcPr>
          <w:p w14:paraId="0F16D765">
            <w:pPr>
              <w:shd w:val="clear"/>
              <w:spacing w:line="288" w:lineRule="auto"/>
              <w:jc w:val="center"/>
              <w:rPr>
                <w:rFonts w:ascii="宋体" w:hAnsi="宋体"/>
                <w:color w:val="auto"/>
                <w:szCs w:val="21"/>
                <w:highlight w:val="none"/>
              </w:rPr>
            </w:pPr>
          </w:p>
        </w:tc>
        <w:tc>
          <w:tcPr>
            <w:tcW w:w="1165" w:type="dxa"/>
            <w:vAlign w:val="center"/>
          </w:tcPr>
          <w:p w14:paraId="581EAD47">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4FD0BC78">
            <w:pPr>
              <w:shd w:val="clear"/>
              <w:spacing w:line="288" w:lineRule="auto"/>
              <w:jc w:val="center"/>
              <w:rPr>
                <w:rFonts w:ascii="宋体" w:hAnsi="宋体"/>
                <w:color w:val="auto"/>
                <w:szCs w:val="21"/>
                <w:highlight w:val="none"/>
              </w:rPr>
            </w:pPr>
          </w:p>
        </w:tc>
      </w:tr>
      <w:tr w14:paraId="79798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5419F6D">
            <w:pPr>
              <w:shd w:val="clear"/>
              <w:spacing w:line="288" w:lineRule="auto"/>
              <w:jc w:val="center"/>
              <w:rPr>
                <w:rFonts w:ascii="宋体" w:hAnsi="宋体"/>
                <w:color w:val="auto"/>
                <w:szCs w:val="21"/>
                <w:highlight w:val="none"/>
              </w:rPr>
            </w:pPr>
          </w:p>
        </w:tc>
        <w:tc>
          <w:tcPr>
            <w:tcW w:w="702" w:type="dxa"/>
            <w:vAlign w:val="center"/>
          </w:tcPr>
          <w:p w14:paraId="7AFB2E99">
            <w:pPr>
              <w:shd w:val="clear"/>
              <w:spacing w:line="288" w:lineRule="auto"/>
              <w:jc w:val="center"/>
              <w:rPr>
                <w:rFonts w:ascii="宋体" w:hAnsi="宋体"/>
                <w:color w:val="auto"/>
                <w:szCs w:val="21"/>
                <w:highlight w:val="none"/>
              </w:rPr>
            </w:pPr>
          </w:p>
        </w:tc>
        <w:tc>
          <w:tcPr>
            <w:tcW w:w="1861" w:type="dxa"/>
            <w:vAlign w:val="center"/>
          </w:tcPr>
          <w:p w14:paraId="21934CBA">
            <w:pPr>
              <w:shd w:val="clear"/>
              <w:spacing w:line="288" w:lineRule="auto"/>
              <w:jc w:val="center"/>
              <w:rPr>
                <w:rFonts w:ascii="宋体" w:hAnsi="宋体"/>
                <w:color w:val="auto"/>
                <w:szCs w:val="21"/>
                <w:highlight w:val="none"/>
              </w:rPr>
            </w:pPr>
          </w:p>
        </w:tc>
        <w:tc>
          <w:tcPr>
            <w:tcW w:w="702" w:type="dxa"/>
            <w:vAlign w:val="center"/>
          </w:tcPr>
          <w:p w14:paraId="2DA91CAB">
            <w:pPr>
              <w:shd w:val="clear"/>
              <w:spacing w:line="288" w:lineRule="auto"/>
              <w:jc w:val="center"/>
              <w:rPr>
                <w:rFonts w:ascii="宋体" w:hAnsi="宋体"/>
                <w:color w:val="auto"/>
                <w:szCs w:val="21"/>
                <w:highlight w:val="none"/>
              </w:rPr>
            </w:pPr>
          </w:p>
        </w:tc>
        <w:tc>
          <w:tcPr>
            <w:tcW w:w="702" w:type="dxa"/>
            <w:vAlign w:val="center"/>
          </w:tcPr>
          <w:p w14:paraId="4827EC4A">
            <w:pPr>
              <w:shd w:val="clear"/>
              <w:spacing w:line="288" w:lineRule="auto"/>
              <w:jc w:val="center"/>
              <w:rPr>
                <w:rFonts w:ascii="宋体" w:hAnsi="宋体"/>
                <w:color w:val="auto"/>
                <w:szCs w:val="21"/>
                <w:highlight w:val="none"/>
              </w:rPr>
            </w:pPr>
          </w:p>
        </w:tc>
        <w:tc>
          <w:tcPr>
            <w:tcW w:w="1164" w:type="dxa"/>
            <w:vAlign w:val="center"/>
          </w:tcPr>
          <w:p w14:paraId="586365BC">
            <w:pPr>
              <w:shd w:val="clear"/>
              <w:spacing w:line="288" w:lineRule="auto"/>
              <w:jc w:val="center"/>
              <w:rPr>
                <w:rFonts w:ascii="宋体" w:hAnsi="宋体"/>
                <w:color w:val="auto"/>
                <w:szCs w:val="21"/>
                <w:highlight w:val="none"/>
              </w:rPr>
            </w:pPr>
          </w:p>
        </w:tc>
        <w:tc>
          <w:tcPr>
            <w:tcW w:w="818" w:type="dxa"/>
            <w:vAlign w:val="center"/>
          </w:tcPr>
          <w:p w14:paraId="210DF3B6">
            <w:pPr>
              <w:shd w:val="clear"/>
              <w:spacing w:line="288" w:lineRule="auto"/>
              <w:jc w:val="center"/>
              <w:rPr>
                <w:rFonts w:ascii="宋体" w:hAnsi="宋体"/>
                <w:color w:val="auto"/>
                <w:szCs w:val="21"/>
                <w:highlight w:val="none"/>
              </w:rPr>
            </w:pPr>
          </w:p>
        </w:tc>
        <w:tc>
          <w:tcPr>
            <w:tcW w:w="1165" w:type="dxa"/>
            <w:vAlign w:val="center"/>
          </w:tcPr>
          <w:p w14:paraId="760789C7">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3EFAD45C">
            <w:pPr>
              <w:shd w:val="clear"/>
              <w:spacing w:line="288" w:lineRule="auto"/>
              <w:jc w:val="center"/>
              <w:rPr>
                <w:rFonts w:ascii="宋体" w:hAnsi="宋体"/>
                <w:color w:val="auto"/>
                <w:szCs w:val="21"/>
                <w:highlight w:val="none"/>
              </w:rPr>
            </w:pPr>
          </w:p>
        </w:tc>
      </w:tr>
      <w:tr w14:paraId="51463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1E0E1EE">
            <w:pPr>
              <w:shd w:val="clear"/>
              <w:spacing w:line="288" w:lineRule="auto"/>
              <w:jc w:val="center"/>
              <w:rPr>
                <w:rFonts w:ascii="宋体" w:hAnsi="宋体"/>
                <w:color w:val="auto"/>
                <w:szCs w:val="21"/>
                <w:highlight w:val="none"/>
              </w:rPr>
            </w:pPr>
          </w:p>
        </w:tc>
        <w:tc>
          <w:tcPr>
            <w:tcW w:w="702" w:type="dxa"/>
            <w:vAlign w:val="center"/>
          </w:tcPr>
          <w:p w14:paraId="6CE75290">
            <w:pPr>
              <w:shd w:val="clear"/>
              <w:spacing w:line="288" w:lineRule="auto"/>
              <w:jc w:val="center"/>
              <w:rPr>
                <w:rFonts w:ascii="宋体" w:hAnsi="宋体"/>
                <w:color w:val="auto"/>
                <w:szCs w:val="21"/>
                <w:highlight w:val="none"/>
              </w:rPr>
            </w:pPr>
          </w:p>
        </w:tc>
        <w:tc>
          <w:tcPr>
            <w:tcW w:w="1861" w:type="dxa"/>
            <w:vAlign w:val="center"/>
          </w:tcPr>
          <w:p w14:paraId="2CEEA022">
            <w:pPr>
              <w:shd w:val="clear"/>
              <w:spacing w:line="288" w:lineRule="auto"/>
              <w:jc w:val="center"/>
              <w:rPr>
                <w:rFonts w:ascii="宋体" w:hAnsi="宋体"/>
                <w:color w:val="auto"/>
                <w:szCs w:val="21"/>
                <w:highlight w:val="none"/>
              </w:rPr>
            </w:pPr>
          </w:p>
        </w:tc>
        <w:tc>
          <w:tcPr>
            <w:tcW w:w="702" w:type="dxa"/>
            <w:vAlign w:val="center"/>
          </w:tcPr>
          <w:p w14:paraId="3010F1B7">
            <w:pPr>
              <w:shd w:val="clear"/>
              <w:spacing w:line="288" w:lineRule="auto"/>
              <w:jc w:val="center"/>
              <w:rPr>
                <w:rFonts w:ascii="宋体" w:hAnsi="宋体"/>
                <w:color w:val="auto"/>
                <w:szCs w:val="21"/>
                <w:highlight w:val="none"/>
              </w:rPr>
            </w:pPr>
          </w:p>
        </w:tc>
        <w:tc>
          <w:tcPr>
            <w:tcW w:w="702" w:type="dxa"/>
            <w:vAlign w:val="center"/>
          </w:tcPr>
          <w:p w14:paraId="536B2245">
            <w:pPr>
              <w:shd w:val="clear"/>
              <w:spacing w:line="288" w:lineRule="auto"/>
              <w:jc w:val="center"/>
              <w:rPr>
                <w:rFonts w:ascii="宋体" w:hAnsi="宋体"/>
                <w:color w:val="auto"/>
                <w:szCs w:val="21"/>
                <w:highlight w:val="none"/>
              </w:rPr>
            </w:pPr>
          </w:p>
        </w:tc>
        <w:tc>
          <w:tcPr>
            <w:tcW w:w="1164" w:type="dxa"/>
            <w:vAlign w:val="center"/>
          </w:tcPr>
          <w:p w14:paraId="0A324150">
            <w:pPr>
              <w:shd w:val="clear"/>
              <w:spacing w:line="288" w:lineRule="auto"/>
              <w:jc w:val="center"/>
              <w:rPr>
                <w:rFonts w:ascii="宋体" w:hAnsi="宋体"/>
                <w:color w:val="auto"/>
                <w:szCs w:val="21"/>
                <w:highlight w:val="none"/>
              </w:rPr>
            </w:pPr>
          </w:p>
        </w:tc>
        <w:tc>
          <w:tcPr>
            <w:tcW w:w="818" w:type="dxa"/>
            <w:vAlign w:val="center"/>
          </w:tcPr>
          <w:p w14:paraId="2F0398D0">
            <w:pPr>
              <w:shd w:val="clear"/>
              <w:spacing w:line="288" w:lineRule="auto"/>
              <w:jc w:val="center"/>
              <w:rPr>
                <w:rFonts w:ascii="宋体" w:hAnsi="宋体"/>
                <w:color w:val="auto"/>
                <w:szCs w:val="21"/>
                <w:highlight w:val="none"/>
              </w:rPr>
            </w:pPr>
          </w:p>
        </w:tc>
        <w:tc>
          <w:tcPr>
            <w:tcW w:w="1165" w:type="dxa"/>
            <w:vAlign w:val="center"/>
          </w:tcPr>
          <w:p w14:paraId="457621FF">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41EDA860">
            <w:pPr>
              <w:shd w:val="clear"/>
              <w:spacing w:line="288" w:lineRule="auto"/>
              <w:jc w:val="center"/>
              <w:rPr>
                <w:rFonts w:ascii="宋体" w:hAnsi="宋体"/>
                <w:color w:val="auto"/>
                <w:szCs w:val="21"/>
                <w:highlight w:val="none"/>
              </w:rPr>
            </w:pPr>
          </w:p>
        </w:tc>
      </w:tr>
      <w:tr w14:paraId="0B7AF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AA7AAFA">
            <w:pPr>
              <w:shd w:val="clear"/>
              <w:spacing w:line="288" w:lineRule="auto"/>
              <w:jc w:val="center"/>
              <w:rPr>
                <w:rFonts w:ascii="宋体" w:hAnsi="宋体"/>
                <w:color w:val="auto"/>
                <w:szCs w:val="21"/>
                <w:highlight w:val="none"/>
              </w:rPr>
            </w:pPr>
          </w:p>
        </w:tc>
        <w:tc>
          <w:tcPr>
            <w:tcW w:w="702" w:type="dxa"/>
            <w:vAlign w:val="center"/>
          </w:tcPr>
          <w:p w14:paraId="7C902816">
            <w:pPr>
              <w:shd w:val="clear"/>
              <w:spacing w:line="288" w:lineRule="auto"/>
              <w:jc w:val="center"/>
              <w:rPr>
                <w:rFonts w:ascii="宋体" w:hAnsi="宋体"/>
                <w:color w:val="auto"/>
                <w:szCs w:val="21"/>
                <w:highlight w:val="none"/>
              </w:rPr>
            </w:pPr>
          </w:p>
        </w:tc>
        <w:tc>
          <w:tcPr>
            <w:tcW w:w="1861" w:type="dxa"/>
            <w:vAlign w:val="center"/>
          </w:tcPr>
          <w:p w14:paraId="2191681A">
            <w:pPr>
              <w:shd w:val="clear"/>
              <w:spacing w:line="288" w:lineRule="auto"/>
              <w:jc w:val="center"/>
              <w:rPr>
                <w:rFonts w:ascii="宋体" w:hAnsi="宋体"/>
                <w:color w:val="auto"/>
                <w:szCs w:val="21"/>
                <w:highlight w:val="none"/>
              </w:rPr>
            </w:pPr>
          </w:p>
        </w:tc>
        <w:tc>
          <w:tcPr>
            <w:tcW w:w="702" w:type="dxa"/>
            <w:vAlign w:val="center"/>
          </w:tcPr>
          <w:p w14:paraId="789640FF">
            <w:pPr>
              <w:shd w:val="clear"/>
              <w:spacing w:line="288" w:lineRule="auto"/>
              <w:jc w:val="center"/>
              <w:rPr>
                <w:rFonts w:ascii="宋体" w:hAnsi="宋体"/>
                <w:color w:val="auto"/>
                <w:szCs w:val="21"/>
                <w:highlight w:val="none"/>
              </w:rPr>
            </w:pPr>
          </w:p>
        </w:tc>
        <w:tc>
          <w:tcPr>
            <w:tcW w:w="702" w:type="dxa"/>
            <w:vAlign w:val="center"/>
          </w:tcPr>
          <w:p w14:paraId="76EE37FF">
            <w:pPr>
              <w:shd w:val="clear"/>
              <w:spacing w:line="288" w:lineRule="auto"/>
              <w:jc w:val="center"/>
              <w:rPr>
                <w:rFonts w:ascii="宋体" w:hAnsi="宋体"/>
                <w:color w:val="auto"/>
                <w:szCs w:val="21"/>
                <w:highlight w:val="none"/>
              </w:rPr>
            </w:pPr>
          </w:p>
        </w:tc>
        <w:tc>
          <w:tcPr>
            <w:tcW w:w="1164" w:type="dxa"/>
            <w:vAlign w:val="center"/>
          </w:tcPr>
          <w:p w14:paraId="280DD7A4">
            <w:pPr>
              <w:shd w:val="clear"/>
              <w:spacing w:line="288" w:lineRule="auto"/>
              <w:jc w:val="center"/>
              <w:rPr>
                <w:rFonts w:ascii="宋体" w:hAnsi="宋体"/>
                <w:color w:val="auto"/>
                <w:szCs w:val="21"/>
                <w:highlight w:val="none"/>
              </w:rPr>
            </w:pPr>
          </w:p>
        </w:tc>
        <w:tc>
          <w:tcPr>
            <w:tcW w:w="818" w:type="dxa"/>
            <w:vAlign w:val="center"/>
          </w:tcPr>
          <w:p w14:paraId="0D78B7B7">
            <w:pPr>
              <w:shd w:val="clear"/>
              <w:spacing w:line="288" w:lineRule="auto"/>
              <w:jc w:val="center"/>
              <w:rPr>
                <w:rFonts w:ascii="宋体" w:hAnsi="宋体"/>
                <w:color w:val="auto"/>
                <w:szCs w:val="21"/>
                <w:highlight w:val="none"/>
              </w:rPr>
            </w:pPr>
          </w:p>
        </w:tc>
        <w:tc>
          <w:tcPr>
            <w:tcW w:w="1165" w:type="dxa"/>
            <w:vAlign w:val="center"/>
          </w:tcPr>
          <w:p w14:paraId="67F9C7BE">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6871D510">
            <w:pPr>
              <w:shd w:val="clear"/>
              <w:spacing w:line="288" w:lineRule="auto"/>
              <w:jc w:val="center"/>
              <w:rPr>
                <w:rFonts w:ascii="宋体" w:hAnsi="宋体"/>
                <w:color w:val="auto"/>
                <w:szCs w:val="21"/>
                <w:highlight w:val="none"/>
              </w:rPr>
            </w:pPr>
          </w:p>
        </w:tc>
      </w:tr>
      <w:tr w14:paraId="43935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EEA40DF">
            <w:pPr>
              <w:shd w:val="clear"/>
              <w:spacing w:line="288" w:lineRule="auto"/>
              <w:jc w:val="center"/>
              <w:rPr>
                <w:rFonts w:ascii="宋体" w:hAnsi="宋体"/>
                <w:color w:val="auto"/>
                <w:szCs w:val="21"/>
                <w:highlight w:val="none"/>
              </w:rPr>
            </w:pPr>
          </w:p>
        </w:tc>
        <w:tc>
          <w:tcPr>
            <w:tcW w:w="702" w:type="dxa"/>
            <w:vAlign w:val="center"/>
          </w:tcPr>
          <w:p w14:paraId="06C06ECA">
            <w:pPr>
              <w:shd w:val="clear"/>
              <w:spacing w:line="288" w:lineRule="auto"/>
              <w:jc w:val="center"/>
              <w:rPr>
                <w:rFonts w:ascii="宋体" w:hAnsi="宋体"/>
                <w:color w:val="auto"/>
                <w:szCs w:val="21"/>
                <w:highlight w:val="none"/>
              </w:rPr>
            </w:pPr>
          </w:p>
        </w:tc>
        <w:tc>
          <w:tcPr>
            <w:tcW w:w="1861" w:type="dxa"/>
            <w:vAlign w:val="center"/>
          </w:tcPr>
          <w:p w14:paraId="6B234D51">
            <w:pPr>
              <w:shd w:val="clear"/>
              <w:spacing w:line="288" w:lineRule="auto"/>
              <w:jc w:val="center"/>
              <w:rPr>
                <w:rFonts w:ascii="宋体" w:hAnsi="宋体"/>
                <w:color w:val="auto"/>
                <w:szCs w:val="21"/>
                <w:highlight w:val="none"/>
              </w:rPr>
            </w:pPr>
          </w:p>
        </w:tc>
        <w:tc>
          <w:tcPr>
            <w:tcW w:w="702" w:type="dxa"/>
            <w:vAlign w:val="center"/>
          </w:tcPr>
          <w:p w14:paraId="0D58AE9C">
            <w:pPr>
              <w:shd w:val="clear"/>
              <w:spacing w:line="288" w:lineRule="auto"/>
              <w:jc w:val="center"/>
              <w:rPr>
                <w:rFonts w:ascii="宋体" w:hAnsi="宋体"/>
                <w:color w:val="auto"/>
                <w:szCs w:val="21"/>
                <w:highlight w:val="none"/>
              </w:rPr>
            </w:pPr>
          </w:p>
        </w:tc>
        <w:tc>
          <w:tcPr>
            <w:tcW w:w="702" w:type="dxa"/>
            <w:vAlign w:val="center"/>
          </w:tcPr>
          <w:p w14:paraId="2647D642">
            <w:pPr>
              <w:shd w:val="clear"/>
              <w:spacing w:line="288" w:lineRule="auto"/>
              <w:jc w:val="center"/>
              <w:rPr>
                <w:rFonts w:ascii="宋体" w:hAnsi="宋体"/>
                <w:color w:val="auto"/>
                <w:szCs w:val="21"/>
                <w:highlight w:val="none"/>
              </w:rPr>
            </w:pPr>
          </w:p>
        </w:tc>
        <w:tc>
          <w:tcPr>
            <w:tcW w:w="1164" w:type="dxa"/>
            <w:vAlign w:val="center"/>
          </w:tcPr>
          <w:p w14:paraId="254872FE">
            <w:pPr>
              <w:shd w:val="clear"/>
              <w:spacing w:line="288" w:lineRule="auto"/>
              <w:jc w:val="center"/>
              <w:rPr>
                <w:rFonts w:ascii="宋体" w:hAnsi="宋体"/>
                <w:color w:val="auto"/>
                <w:szCs w:val="21"/>
                <w:highlight w:val="none"/>
              </w:rPr>
            </w:pPr>
          </w:p>
        </w:tc>
        <w:tc>
          <w:tcPr>
            <w:tcW w:w="818" w:type="dxa"/>
            <w:vAlign w:val="center"/>
          </w:tcPr>
          <w:p w14:paraId="6CF0A2B6">
            <w:pPr>
              <w:shd w:val="clear"/>
              <w:spacing w:line="288" w:lineRule="auto"/>
              <w:jc w:val="center"/>
              <w:rPr>
                <w:rFonts w:ascii="宋体" w:hAnsi="宋体"/>
                <w:color w:val="auto"/>
                <w:szCs w:val="21"/>
                <w:highlight w:val="none"/>
              </w:rPr>
            </w:pPr>
          </w:p>
        </w:tc>
        <w:tc>
          <w:tcPr>
            <w:tcW w:w="1165" w:type="dxa"/>
            <w:vAlign w:val="center"/>
          </w:tcPr>
          <w:p w14:paraId="15DC538B">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73D11155">
            <w:pPr>
              <w:shd w:val="clear"/>
              <w:spacing w:line="288" w:lineRule="auto"/>
              <w:jc w:val="center"/>
              <w:rPr>
                <w:rFonts w:ascii="宋体" w:hAnsi="宋体"/>
                <w:color w:val="auto"/>
                <w:szCs w:val="21"/>
                <w:highlight w:val="none"/>
              </w:rPr>
            </w:pPr>
          </w:p>
        </w:tc>
      </w:tr>
      <w:tr w14:paraId="32569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8B845C2">
            <w:pPr>
              <w:shd w:val="clear"/>
              <w:spacing w:line="288" w:lineRule="auto"/>
              <w:jc w:val="center"/>
              <w:rPr>
                <w:rFonts w:ascii="宋体" w:hAnsi="宋体"/>
                <w:color w:val="auto"/>
                <w:szCs w:val="21"/>
                <w:highlight w:val="none"/>
              </w:rPr>
            </w:pPr>
          </w:p>
        </w:tc>
        <w:tc>
          <w:tcPr>
            <w:tcW w:w="702" w:type="dxa"/>
            <w:vAlign w:val="center"/>
          </w:tcPr>
          <w:p w14:paraId="404A6AE1">
            <w:pPr>
              <w:shd w:val="clear"/>
              <w:spacing w:line="288" w:lineRule="auto"/>
              <w:jc w:val="center"/>
              <w:rPr>
                <w:rFonts w:ascii="宋体" w:hAnsi="宋体"/>
                <w:color w:val="auto"/>
                <w:szCs w:val="21"/>
                <w:highlight w:val="none"/>
              </w:rPr>
            </w:pPr>
          </w:p>
        </w:tc>
        <w:tc>
          <w:tcPr>
            <w:tcW w:w="1861" w:type="dxa"/>
            <w:vAlign w:val="center"/>
          </w:tcPr>
          <w:p w14:paraId="3A5EA4AE">
            <w:pPr>
              <w:shd w:val="clear"/>
              <w:spacing w:line="288" w:lineRule="auto"/>
              <w:jc w:val="center"/>
              <w:rPr>
                <w:rFonts w:ascii="宋体" w:hAnsi="宋体"/>
                <w:color w:val="auto"/>
                <w:szCs w:val="21"/>
                <w:highlight w:val="none"/>
              </w:rPr>
            </w:pPr>
          </w:p>
        </w:tc>
        <w:tc>
          <w:tcPr>
            <w:tcW w:w="702" w:type="dxa"/>
            <w:vAlign w:val="center"/>
          </w:tcPr>
          <w:p w14:paraId="6053AC9E">
            <w:pPr>
              <w:shd w:val="clear"/>
              <w:spacing w:line="288" w:lineRule="auto"/>
              <w:jc w:val="center"/>
              <w:rPr>
                <w:rFonts w:ascii="宋体" w:hAnsi="宋体"/>
                <w:color w:val="auto"/>
                <w:szCs w:val="21"/>
                <w:highlight w:val="none"/>
              </w:rPr>
            </w:pPr>
          </w:p>
        </w:tc>
        <w:tc>
          <w:tcPr>
            <w:tcW w:w="702" w:type="dxa"/>
            <w:vAlign w:val="center"/>
          </w:tcPr>
          <w:p w14:paraId="5886EC9B">
            <w:pPr>
              <w:shd w:val="clear"/>
              <w:spacing w:line="288" w:lineRule="auto"/>
              <w:jc w:val="center"/>
              <w:rPr>
                <w:rFonts w:ascii="宋体" w:hAnsi="宋体"/>
                <w:color w:val="auto"/>
                <w:szCs w:val="21"/>
                <w:highlight w:val="none"/>
              </w:rPr>
            </w:pPr>
          </w:p>
        </w:tc>
        <w:tc>
          <w:tcPr>
            <w:tcW w:w="1164" w:type="dxa"/>
            <w:vAlign w:val="center"/>
          </w:tcPr>
          <w:p w14:paraId="5ECAEE8E">
            <w:pPr>
              <w:shd w:val="clear"/>
              <w:spacing w:line="288" w:lineRule="auto"/>
              <w:jc w:val="center"/>
              <w:rPr>
                <w:rFonts w:ascii="宋体" w:hAnsi="宋体"/>
                <w:color w:val="auto"/>
                <w:szCs w:val="21"/>
                <w:highlight w:val="none"/>
              </w:rPr>
            </w:pPr>
          </w:p>
        </w:tc>
        <w:tc>
          <w:tcPr>
            <w:tcW w:w="818" w:type="dxa"/>
            <w:vAlign w:val="center"/>
          </w:tcPr>
          <w:p w14:paraId="1D2F981C">
            <w:pPr>
              <w:shd w:val="clear"/>
              <w:spacing w:line="288" w:lineRule="auto"/>
              <w:jc w:val="center"/>
              <w:rPr>
                <w:rFonts w:ascii="宋体" w:hAnsi="宋体"/>
                <w:color w:val="auto"/>
                <w:szCs w:val="21"/>
                <w:highlight w:val="none"/>
              </w:rPr>
            </w:pPr>
          </w:p>
        </w:tc>
        <w:tc>
          <w:tcPr>
            <w:tcW w:w="1165" w:type="dxa"/>
            <w:vAlign w:val="center"/>
          </w:tcPr>
          <w:p w14:paraId="5650FB3B">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4C2987AE">
            <w:pPr>
              <w:shd w:val="clear"/>
              <w:spacing w:line="288" w:lineRule="auto"/>
              <w:jc w:val="center"/>
              <w:rPr>
                <w:rFonts w:ascii="宋体" w:hAnsi="宋体"/>
                <w:color w:val="auto"/>
                <w:szCs w:val="21"/>
                <w:highlight w:val="none"/>
              </w:rPr>
            </w:pPr>
          </w:p>
        </w:tc>
      </w:tr>
    </w:tbl>
    <w:p w14:paraId="274469BF">
      <w:pPr>
        <w:shd w:val="clear"/>
        <w:ind w:firstLine="178" w:firstLineChars="85"/>
        <w:rPr>
          <w:rFonts w:ascii="宋体" w:hAnsi="宋体"/>
          <w:color w:val="auto"/>
          <w:szCs w:val="21"/>
          <w:highlight w:val="none"/>
        </w:rPr>
      </w:pPr>
    </w:p>
    <w:p w14:paraId="3ABFE98B">
      <w:pPr>
        <w:shd w:val="clea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14:paraId="1000A3E4">
      <w:pPr>
        <w:shd w:val="clea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14:paraId="01E1398B">
      <w:pPr>
        <w:shd w:val="clear"/>
        <w:ind w:firstLine="178" w:firstLineChars="85"/>
        <w:rPr>
          <w:rFonts w:ascii="宋体" w:hAnsi="宋体"/>
          <w:color w:val="auto"/>
          <w:szCs w:val="21"/>
          <w:highlight w:val="none"/>
        </w:rPr>
      </w:pPr>
      <w:r>
        <w:rPr>
          <w:rFonts w:hint="eastAsia" w:ascii="宋体" w:hAnsi="宋体"/>
          <w:color w:val="auto"/>
          <w:szCs w:val="21"/>
          <w:highlight w:val="none"/>
        </w:rPr>
        <w:t>投标人盖章：</w:t>
      </w:r>
    </w:p>
    <w:p w14:paraId="12227B64">
      <w:pPr>
        <w:shd w:val="clear"/>
        <w:rPr>
          <w:rFonts w:ascii="宋体" w:hAnsi="宋体"/>
          <w:color w:val="auto"/>
          <w:szCs w:val="21"/>
          <w:highlight w:val="none"/>
        </w:rPr>
      </w:pPr>
      <w:r>
        <w:rPr>
          <w:rFonts w:hint="eastAsia" w:ascii="宋体" w:hAnsi="宋体"/>
          <w:color w:val="auto"/>
          <w:szCs w:val="21"/>
          <w:highlight w:val="none"/>
        </w:rPr>
        <w:t>注：</w:t>
      </w:r>
    </w:p>
    <w:p w14:paraId="697A5CDD">
      <w:pPr>
        <w:pStyle w:val="42"/>
        <w:numPr>
          <w:ilvl w:val="0"/>
          <w:numId w:val="16"/>
        </w:numPr>
        <w:shd w:val="clea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14:paraId="1636BB07">
      <w:pPr>
        <w:pStyle w:val="42"/>
        <w:numPr>
          <w:ilvl w:val="0"/>
          <w:numId w:val="16"/>
        </w:numPr>
        <w:shd w:val="clea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3C94E3D1">
      <w:pPr>
        <w:shd w:val="clea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7BBA0728">
      <w:pPr>
        <w:pStyle w:val="12"/>
        <w:shd w:val="clear"/>
        <w:ind w:left="0" w:leftChars="0" w:firstLine="0" w:firstLineChars="0"/>
        <w:rPr>
          <w:rFonts w:hint="eastAsia"/>
          <w:color w:val="auto"/>
          <w:sz w:val="21"/>
          <w:szCs w:val="21"/>
          <w:highlight w:val="none"/>
          <w:lang w:val="en-US"/>
        </w:rPr>
        <w:sectPr>
          <w:headerReference r:id="rId20" w:type="first"/>
          <w:footerReference r:id="rId22" w:type="first"/>
          <w:headerReference r:id="rId19" w:type="default"/>
          <w:footerReference r:id="rId21" w:type="default"/>
          <w:pgSz w:w="11906" w:h="16838"/>
          <w:pgMar w:top="1440" w:right="1800" w:bottom="1440" w:left="1800" w:header="708" w:footer="708" w:gutter="0"/>
          <w:pgNumType w:fmt="decimal"/>
          <w:cols w:space="708" w:num="1"/>
          <w:titlePg/>
          <w:docGrid w:type="lines" w:linePitch="360" w:charSpace="0"/>
        </w:sectPr>
      </w:pPr>
    </w:p>
    <w:p w14:paraId="5BDD9BC2">
      <w:pPr>
        <w:pStyle w:val="12"/>
        <w:shd w:val="clear"/>
        <w:rPr>
          <w:color w:val="auto"/>
          <w:highlight w:val="none"/>
        </w:rPr>
      </w:pPr>
    </w:p>
    <w:p w14:paraId="100695FA">
      <w:pPr>
        <w:pStyle w:val="6"/>
        <w:shd w:val="clear"/>
        <w:spacing w:before="0" w:after="0" w:line="360" w:lineRule="auto"/>
        <w:jc w:val="center"/>
        <w:rPr>
          <w:color w:val="auto"/>
          <w:sz w:val="72"/>
          <w:szCs w:val="72"/>
          <w:highlight w:val="none"/>
        </w:rPr>
      </w:pPr>
      <w:bookmarkStart w:id="154" w:name="_Toc12017"/>
      <w:r>
        <w:rPr>
          <w:rFonts w:hint="eastAsia"/>
          <w:color w:val="auto"/>
          <w:sz w:val="72"/>
          <w:szCs w:val="72"/>
          <w:highlight w:val="none"/>
        </w:rPr>
        <w:t>技术文件</w:t>
      </w:r>
      <w:bookmarkEnd w:id="154"/>
    </w:p>
    <w:p w14:paraId="5B107200">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4137C6AA">
      <w:pPr>
        <w:shd w:val="clear"/>
        <w:rPr>
          <w:color w:val="auto"/>
          <w:highlight w:val="none"/>
        </w:rPr>
      </w:pPr>
    </w:p>
    <w:p w14:paraId="287FB622">
      <w:pPr>
        <w:pStyle w:val="12"/>
        <w:shd w:val="clear"/>
        <w:rPr>
          <w:color w:val="auto"/>
          <w:highlight w:val="none"/>
        </w:rPr>
      </w:pPr>
    </w:p>
    <w:p w14:paraId="4EB9B823">
      <w:pPr>
        <w:shd w:val="clear"/>
        <w:ind w:firstLine="240"/>
        <w:rPr>
          <w:color w:val="auto"/>
          <w:highlight w:val="none"/>
        </w:rPr>
      </w:pPr>
    </w:p>
    <w:p w14:paraId="5B731BE5">
      <w:pPr>
        <w:shd w:val="clear"/>
        <w:rPr>
          <w:rFonts w:hint="eastAsia" w:ascii="宋体" w:hAnsi="宋体" w:cs="宋体"/>
          <w:b/>
          <w:bCs/>
          <w:color w:val="auto"/>
          <w:spacing w:val="106"/>
          <w:kern w:val="0"/>
          <w:sz w:val="32"/>
          <w:szCs w:val="32"/>
          <w:highlight w:val="none"/>
          <w:fitText w:val="1600" w:id="10"/>
        </w:rPr>
      </w:pPr>
      <w:r>
        <w:rPr>
          <w:rFonts w:hint="eastAsia" w:ascii="宋体" w:hAnsi="宋体" w:cs="宋体"/>
          <w:b/>
          <w:bCs/>
          <w:color w:val="auto"/>
          <w:spacing w:val="0"/>
          <w:kern w:val="0"/>
          <w:sz w:val="32"/>
          <w:szCs w:val="32"/>
          <w:highlight w:val="none"/>
          <w:fitText w:val="1600" w:id="10"/>
        </w:rPr>
        <w:t>项目名称：</w:t>
      </w:r>
    </w:p>
    <w:p w14:paraId="09ADA73A">
      <w:pPr>
        <w:shd w:val="clear"/>
        <w:rPr>
          <w:rFonts w:hint="eastAsia" w:ascii="宋体" w:hAnsi="宋体" w:cs="宋体"/>
          <w:b/>
          <w:bCs/>
          <w:color w:val="auto"/>
          <w:spacing w:val="106"/>
          <w:kern w:val="0"/>
          <w:sz w:val="32"/>
          <w:szCs w:val="32"/>
          <w:highlight w:val="none"/>
          <w:fitText w:val="1600" w:id="11"/>
        </w:rPr>
      </w:pPr>
      <w:r>
        <w:rPr>
          <w:rFonts w:hint="eastAsia" w:ascii="宋体" w:hAnsi="宋体" w:cs="宋体"/>
          <w:b/>
          <w:bCs/>
          <w:color w:val="auto"/>
          <w:spacing w:val="0"/>
          <w:kern w:val="0"/>
          <w:sz w:val="32"/>
          <w:szCs w:val="32"/>
          <w:highlight w:val="none"/>
          <w:fitText w:val="1600" w:id="11"/>
        </w:rPr>
        <w:t>项目编号：</w:t>
      </w:r>
    </w:p>
    <w:p w14:paraId="21A42D38">
      <w:pPr>
        <w:shd w:val="clear"/>
        <w:rPr>
          <w:rFonts w:hint="eastAsia" w:ascii="宋体" w:hAnsi="宋体" w:cs="宋体"/>
          <w:b/>
          <w:bCs/>
          <w:color w:val="auto"/>
          <w:spacing w:val="106"/>
          <w:kern w:val="0"/>
          <w:sz w:val="32"/>
          <w:szCs w:val="32"/>
          <w:highlight w:val="none"/>
          <w:fitText w:val="1600" w:id="12"/>
        </w:rPr>
      </w:pPr>
      <w:r>
        <w:rPr>
          <w:rFonts w:hint="eastAsia" w:ascii="宋体" w:hAnsi="宋体" w:cs="宋体"/>
          <w:b/>
          <w:bCs/>
          <w:color w:val="auto"/>
          <w:spacing w:val="1"/>
          <w:w w:val="62"/>
          <w:kern w:val="0"/>
          <w:sz w:val="32"/>
          <w:szCs w:val="32"/>
          <w:highlight w:val="none"/>
          <w:fitText w:val="1600" w:id="12"/>
          <w:lang w:val="en-US"/>
        </w:rPr>
        <w:t>包组号（如有）</w:t>
      </w:r>
      <w:r>
        <w:rPr>
          <w:rFonts w:hint="eastAsia" w:ascii="宋体" w:hAnsi="宋体" w:cs="宋体"/>
          <w:b/>
          <w:bCs/>
          <w:color w:val="auto"/>
          <w:spacing w:val="4"/>
          <w:w w:val="62"/>
          <w:kern w:val="0"/>
          <w:sz w:val="32"/>
          <w:szCs w:val="32"/>
          <w:highlight w:val="none"/>
          <w:fitText w:val="1600" w:id="12"/>
          <w:lang w:val="en-US"/>
        </w:rPr>
        <w:t>：</w:t>
      </w:r>
    </w:p>
    <w:p w14:paraId="70730AF6">
      <w:pPr>
        <w:shd w:val="clear"/>
        <w:rPr>
          <w:rFonts w:hint="eastAsia" w:ascii="宋体" w:hAnsi="宋体" w:cs="宋体"/>
          <w:b/>
          <w:bCs/>
          <w:color w:val="auto"/>
          <w:spacing w:val="106"/>
          <w:kern w:val="0"/>
          <w:sz w:val="32"/>
          <w:szCs w:val="32"/>
          <w:highlight w:val="none"/>
          <w:fitText w:val="1600" w:id="13"/>
        </w:rPr>
      </w:pPr>
      <w:r>
        <w:rPr>
          <w:rFonts w:hint="eastAsia" w:ascii="宋体" w:hAnsi="宋体" w:cs="宋体"/>
          <w:b/>
          <w:bCs/>
          <w:color w:val="auto"/>
          <w:spacing w:val="0"/>
          <w:w w:val="83"/>
          <w:kern w:val="0"/>
          <w:sz w:val="32"/>
          <w:szCs w:val="32"/>
          <w:highlight w:val="none"/>
          <w:fitText w:val="1600" w:id="13"/>
        </w:rPr>
        <w:t>投标人名称：</w:t>
      </w:r>
    </w:p>
    <w:p w14:paraId="7DDF3A2B">
      <w:pPr>
        <w:shd w:val="clear"/>
        <w:rPr>
          <w:rFonts w:hint="eastAsia" w:ascii="宋体" w:hAnsi="宋体" w:cs="宋体"/>
          <w:b/>
          <w:bCs/>
          <w:color w:val="auto"/>
          <w:spacing w:val="106"/>
          <w:kern w:val="0"/>
          <w:sz w:val="32"/>
          <w:szCs w:val="32"/>
          <w:highlight w:val="none"/>
          <w:fitText w:val="1600" w:id="14"/>
        </w:rPr>
      </w:pPr>
      <w:r>
        <w:rPr>
          <w:rFonts w:hint="eastAsia" w:ascii="宋体" w:hAnsi="宋体" w:cs="宋体"/>
          <w:b/>
          <w:bCs/>
          <w:color w:val="auto"/>
          <w:spacing w:val="0"/>
          <w:kern w:val="0"/>
          <w:sz w:val="32"/>
          <w:szCs w:val="32"/>
          <w:highlight w:val="none"/>
          <w:fitText w:val="1600" w:id="14"/>
        </w:rPr>
        <w:t>日    期：</w:t>
      </w:r>
    </w:p>
    <w:p w14:paraId="1F3F98FF">
      <w:pPr>
        <w:shd w:val="clear"/>
        <w:rPr>
          <w:rFonts w:ascii="宋体" w:hAnsi="宋体"/>
          <w:color w:val="auto"/>
          <w:szCs w:val="21"/>
          <w:highlight w:val="none"/>
        </w:rPr>
      </w:pPr>
      <w:r>
        <w:rPr>
          <w:rFonts w:hint="eastAsia" w:ascii="宋体" w:hAnsi="宋体"/>
          <w:color w:val="auto"/>
          <w:szCs w:val="21"/>
          <w:highlight w:val="none"/>
        </w:rPr>
        <w:br w:type="page"/>
      </w:r>
    </w:p>
    <w:p w14:paraId="067051A2">
      <w:pPr>
        <w:pStyle w:val="8"/>
        <w:widowControl w:val="0"/>
        <w:shd w:val="clear"/>
        <w:overflowPunct w:val="0"/>
        <w:spacing w:line="240" w:lineRule="auto"/>
        <w:rPr>
          <w:rFonts w:ascii="宋体" w:hAnsi="宋体"/>
          <w:color w:val="auto"/>
          <w:sz w:val="21"/>
          <w:szCs w:val="21"/>
          <w:highlight w:val="none"/>
        </w:rPr>
      </w:pPr>
      <w:bookmarkStart w:id="155" w:name="_Toc3251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17</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技术</w:t>
      </w:r>
      <w:r>
        <w:rPr>
          <w:rFonts w:hint="eastAsia" w:ascii="宋体" w:hAnsi="宋体"/>
          <w:color w:val="auto"/>
          <w:sz w:val="21"/>
          <w:szCs w:val="21"/>
          <w:highlight w:val="none"/>
        </w:rPr>
        <w:t>评分标准索引表</w:t>
      </w:r>
      <w:bookmarkEnd w:id="155"/>
    </w:p>
    <w:p w14:paraId="444658D1">
      <w:pPr>
        <w:shd w:val="clear"/>
        <w:adjustRightInd/>
        <w:snapToGrid/>
        <w:spacing w:line="276" w:lineRule="auto"/>
        <w:rPr>
          <w:rFonts w:ascii="宋体" w:hAnsi="宋体"/>
          <w:color w:val="auto"/>
          <w:szCs w:val="21"/>
          <w:highlight w:val="none"/>
        </w:rPr>
      </w:pPr>
    </w:p>
    <w:p w14:paraId="4E5C5C45">
      <w:pPr>
        <w:shd w:val="clear"/>
        <w:jc w:val="center"/>
        <w:rPr>
          <w:rFonts w:ascii="黑体" w:eastAsia="黑体"/>
          <w:color w:val="auto"/>
          <w:sz w:val="32"/>
          <w:szCs w:val="32"/>
          <w:highlight w:val="none"/>
        </w:rPr>
      </w:pPr>
      <w:r>
        <w:rPr>
          <w:rFonts w:hint="eastAsia" w:ascii="黑体" w:eastAsia="黑体"/>
          <w:color w:val="auto"/>
          <w:sz w:val="32"/>
          <w:szCs w:val="32"/>
          <w:highlight w:val="none"/>
        </w:rPr>
        <w:t>技术评分标准索引表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55C0A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6A0D00A2">
            <w:pPr>
              <w:shd w:val="clea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14:paraId="0C4E9E8F">
            <w:pPr>
              <w:shd w:val="clea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338028C9">
            <w:pPr>
              <w:shd w:val="clea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0C31F3C8">
            <w:pPr>
              <w:shd w:val="clea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5A1E8F06">
            <w:pPr>
              <w:shd w:val="clear"/>
              <w:jc w:val="center"/>
              <w:rPr>
                <w:rFonts w:ascii="宋体" w:hAnsi="宋体" w:cs="宋体"/>
                <w:color w:val="auto"/>
                <w:highlight w:val="none"/>
              </w:rPr>
            </w:pPr>
            <w:r>
              <w:rPr>
                <w:rFonts w:hint="eastAsia" w:ascii="宋体" w:hAnsi="宋体" w:cs="宋体"/>
                <w:color w:val="auto"/>
                <w:highlight w:val="none"/>
              </w:rPr>
              <w:t>页码范围</w:t>
            </w:r>
          </w:p>
        </w:tc>
      </w:tr>
      <w:tr w14:paraId="33D4A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6FAC0DA7">
            <w:pPr>
              <w:shd w:val="clear"/>
              <w:rPr>
                <w:rFonts w:ascii="宋体" w:hAnsi="宋体" w:cs="宋体"/>
                <w:color w:val="auto"/>
                <w:highlight w:val="none"/>
              </w:rPr>
            </w:pPr>
            <w:r>
              <w:rPr>
                <w:rFonts w:hint="eastAsia" w:ascii="宋体" w:hAnsi="宋体" w:cs="宋体"/>
                <w:color w:val="auto"/>
                <w:highlight w:val="none"/>
                <w:lang w:val="en-US" w:eastAsia="zh-CN"/>
              </w:rPr>
              <w:t>技术</w:t>
            </w:r>
            <w:r>
              <w:rPr>
                <w:rFonts w:hint="eastAsia" w:ascii="宋体" w:hAnsi="宋体" w:cs="宋体"/>
                <w:color w:val="auto"/>
                <w:highlight w:val="none"/>
              </w:rPr>
              <w:t>评审</w:t>
            </w:r>
          </w:p>
        </w:tc>
      </w:tr>
      <w:tr w14:paraId="7FB3F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569A435">
            <w:pPr>
              <w:shd w:val="clear"/>
              <w:jc w:val="center"/>
              <w:rPr>
                <w:rFonts w:ascii="宋体" w:hAnsi="宋体" w:cs="宋体"/>
                <w:color w:val="auto"/>
                <w:highlight w:val="none"/>
              </w:rPr>
            </w:pPr>
          </w:p>
        </w:tc>
        <w:tc>
          <w:tcPr>
            <w:tcW w:w="1704" w:type="dxa"/>
            <w:vAlign w:val="center"/>
          </w:tcPr>
          <w:p w14:paraId="6503EE19">
            <w:pPr>
              <w:shd w:val="clear"/>
              <w:jc w:val="center"/>
              <w:rPr>
                <w:rFonts w:ascii="宋体" w:hAnsi="宋体" w:cs="宋体"/>
                <w:color w:val="auto"/>
                <w:highlight w:val="none"/>
              </w:rPr>
            </w:pPr>
          </w:p>
        </w:tc>
        <w:tc>
          <w:tcPr>
            <w:tcW w:w="1704" w:type="dxa"/>
            <w:vAlign w:val="center"/>
          </w:tcPr>
          <w:p w14:paraId="6390FBA5">
            <w:pPr>
              <w:shd w:val="clear"/>
              <w:jc w:val="center"/>
              <w:rPr>
                <w:rFonts w:ascii="宋体" w:hAnsi="宋体" w:cs="宋体"/>
                <w:color w:val="auto"/>
                <w:highlight w:val="none"/>
              </w:rPr>
            </w:pPr>
          </w:p>
        </w:tc>
        <w:tc>
          <w:tcPr>
            <w:tcW w:w="1705" w:type="dxa"/>
            <w:vAlign w:val="center"/>
          </w:tcPr>
          <w:p w14:paraId="235C4058">
            <w:pPr>
              <w:shd w:val="clear"/>
              <w:jc w:val="center"/>
              <w:rPr>
                <w:rFonts w:ascii="宋体" w:hAnsi="宋体" w:cs="宋体"/>
                <w:color w:val="auto"/>
                <w:highlight w:val="none"/>
              </w:rPr>
            </w:pPr>
          </w:p>
        </w:tc>
        <w:tc>
          <w:tcPr>
            <w:tcW w:w="1705" w:type="dxa"/>
            <w:vAlign w:val="center"/>
          </w:tcPr>
          <w:p w14:paraId="184FBDD2">
            <w:pPr>
              <w:shd w:val="clear"/>
              <w:jc w:val="center"/>
              <w:rPr>
                <w:rFonts w:ascii="宋体" w:hAnsi="宋体" w:cs="宋体"/>
                <w:color w:val="auto"/>
                <w:highlight w:val="none"/>
              </w:rPr>
            </w:pPr>
          </w:p>
        </w:tc>
      </w:tr>
      <w:tr w14:paraId="697A0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C5189B6">
            <w:pPr>
              <w:shd w:val="clear"/>
              <w:jc w:val="center"/>
              <w:rPr>
                <w:rFonts w:ascii="宋体" w:hAnsi="宋体" w:cs="宋体"/>
                <w:color w:val="auto"/>
                <w:highlight w:val="none"/>
              </w:rPr>
            </w:pPr>
          </w:p>
        </w:tc>
        <w:tc>
          <w:tcPr>
            <w:tcW w:w="1704" w:type="dxa"/>
            <w:vAlign w:val="center"/>
          </w:tcPr>
          <w:p w14:paraId="56E16A7B">
            <w:pPr>
              <w:shd w:val="clear"/>
              <w:jc w:val="center"/>
              <w:rPr>
                <w:rFonts w:ascii="宋体" w:hAnsi="宋体" w:cs="宋体"/>
                <w:color w:val="auto"/>
                <w:highlight w:val="none"/>
              </w:rPr>
            </w:pPr>
          </w:p>
        </w:tc>
        <w:tc>
          <w:tcPr>
            <w:tcW w:w="1704" w:type="dxa"/>
            <w:vAlign w:val="center"/>
          </w:tcPr>
          <w:p w14:paraId="668C6158">
            <w:pPr>
              <w:shd w:val="clear"/>
              <w:jc w:val="center"/>
              <w:rPr>
                <w:rFonts w:ascii="宋体" w:hAnsi="宋体" w:cs="宋体"/>
                <w:color w:val="auto"/>
                <w:highlight w:val="none"/>
              </w:rPr>
            </w:pPr>
          </w:p>
        </w:tc>
        <w:tc>
          <w:tcPr>
            <w:tcW w:w="1705" w:type="dxa"/>
            <w:vAlign w:val="center"/>
          </w:tcPr>
          <w:p w14:paraId="724E19F6">
            <w:pPr>
              <w:shd w:val="clear"/>
              <w:jc w:val="center"/>
              <w:rPr>
                <w:rFonts w:ascii="宋体" w:hAnsi="宋体" w:cs="宋体"/>
                <w:color w:val="auto"/>
                <w:highlight w:val="none"/>
              </w:rPr>
            </w:pPr>
          </w:p>
        </w:tc>
        <w:tc>
          <w:tcPr>
            <w:tcW w:w="1705" w:type="dxa"/>
            <w:vAlign w:val="center"/>
          </w:tcPr>
          <w:p w14:paraId="0F04DABA">
            <w:pPr>
              <w:shd w:val="clear"/>
              <w:jc w:val="center"/>
              <w:rPr>
                <w:rFonts w:ascii="宋体" w:hAnsi="宋体" w:cs="宋体"/>
                <w:color w:val="auto"/>
                <w:highlight w:val="none"/>
              </w:rPr>
            </w:pPr>
          </w:p>
        </w:tc>
      </w:tr>
      <w:tr w14:paraId="18C88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B5BD366">
            <w:pPr>
              <w:shd w:val="clear"/>
              <w:jc w:val="center"/>
              <w:rPr>
                <w:rFonts w:ascii="宋体" w:hAnsi="宋体" w:cs="宋体"/>
                <w:color w:val="auto"/>
                <w:highlight w:val="none"/>
              </w:rPr>
            </w:pPr>
          </w:p>
        </w:tc>
        <w:tc>
          <w:tcPr>
            <w:tcW w:w="1704" w:type="dxa"/>
            <w:vAlign w:val="center"/>
          </w:tcPr>
          <w:p w14:paraId="6545F257">
            <w:pPr>
              <w:shd w:val="clear"/>
              <w:jc w:val="center"/>
              <w:rPr>
                <w:rFonts w:ascii="宋体" w:hAnsi="宋体" w:cs="宋体"/>
                <w:color w:val="auto"/>
                <w:highlight w:val="none"/>
              </w:rPr>
            </w:pPr>
          </w:p>
        </w:tc>
        <w:tc>
          <w:tcPr>
            <w:tcW w:w="1704" w:type="dxa"/>
            <w:vAlign w:val="center"/>
          </w:tcPr>
          <w:p w14:paraId="612EFA3C">
            <w:pPr>
              <w:shd w:val="clear"/>
              <w:jc w:val="center"/>
              <w:rPr>
                <w:rFonts w:ascii="宋体" w:hAnsi="宋体" w:cs="宋体"/>
                <w:color w:val="auto"/>
                <w:highlight w:val="none"/>
              </w:rPr>
            </w:pPr>
          </w:p>
        </w:tc>
        <w:tc>
          <w:tcPr>
            <w:tcW w:w="1705" w:type="dxa"/>
            <w:vAlign w:val="center"/>
          </w:tcPr>
          <w:p w14:paraId="6E336308">
            <w:pPr>
              <w:shd w:val="clear"/>
              <w:jc w:val="center"/>
              <w:rPr>
                <w:rFonts w:ascii="宋体" w:hAnsi="宋体" w:cs="宋体"/>
                <w:color w:val="auto"/>
                <w:highlight w:val="none"/>
              </w:rPr>
            </w:pPr>
          </w:p>
        </w:tc>
        <w:tc>
          <w:tcPr>
            <w:tcW w:w="1705" w:type="dxa"/>
            <w:vAlign w:val="center"/>
          </w:tcPr>
          <w:p w14:paraId="1950F703">
            <w:pPr>
              <w:shd w:val="clear"/>
              <w:jc w:val="center"/>
              <w:rPr>
                <w:rFonts w:ascii="宋体" w:hAnsi="宋体" w:cs="宋体"/>
                <w:color w:val="auto"/>
                <w:highlight w:val="none"/>
              </w:rPr>
            </w:pPr>
          </w:p>
        </w:tc>
      </w:tr>
    </w:tbl>
    <w:p w14:paraId="3CEF9C78">
      <w:pPr>
        <w:shd w:val="clear"/>
        <w:rPr>
          <w:rFonts w:ascii="宋体" w:hAnsi="宋体"/>
          <w:color w:val="auto"/>
          <w:szCs w:val="21"/>
          <w:highlight w:val="none"/>
        </w:rPr>
      </w:pPr>
    </w:p>
    <w:p w14:paraId="7AA663D8">
      <w:pPr>
        <w:shd w:val="clear"/>
        <w:rPr>
          <w:rFonts w:ascii="宋体" w:hAnsi="宋体"/>
          <w:color w:val="auto"/>
          <w:szCs w:val="21"/>
          <w:highlight w:val="none"/>
        </w:rPr>
      </w:pPr>
      <w:r>
        <w:rPr>
          <w:rFonts w:hint="eastAsia" w:ascii="宋体" w:hAnsi="宋体"/>
          <w:color w:val="auto"/>
          <w:szCs w:val="21"/>
          <w:highlight w:val="none"/>
        </w:rPr>
        <w:t>注：</w:t>
      </w:r>
    </w:p>
    <w:p w14:paraId="2CD49399">
      <w:pPr>
        <w:rPr>
          <w:rFonts w:hint="eastAsia" w:ascii="宋体" w:hAnsi="宋体"/>
          <w:color w:val="auto"/>
          <w:sz w:val="21"/>
          <w:szCs w:val="21"/>
          <w:highlight w:val="none"/>
        </w:rPr>
      </w:pPr>
      <w:r>
        <w:rPr>
          <w:rFonts w:hint="eastAsia" w:ascii="宋体" w:hAnsi="宋体"/>
          <w:color w:val="auto"/>
          <w:szCs w:val="21"/>
          <w:highlight w:val="none"/>
        </w:rPr>
        <w:t>该表格为参考格式，投标人可按实际情况自行制订评分标准索引表。</w:t>
      </w:r>
      <w:r>
        <w:rPr>
          <w:rFonts w:hint="eastAsia" w:ascii="宋体" w:hAnsi="宋体"/>
          <w:color w:val="auto"/>
          <w:sz w:val="21"/>
          <w:szCs w:val="21"/>
          <w:highlight w:val="none"/>
        </w:rPr>
        <w:br w:type="page"/>
      </w:r>
    </w:p>
    <w:p w14:paraId="74468427">
      <w:pPr>
        <w:pStyle w:val="8"/>
        <w:widowControl w:val="0"/>
        <w:shd w:val="clear"/>
        <w:overflowPunct w:val="0"/>
        <w:spacing w:line="240" w:lineRule="auto"/>
        <w:rPr>
          <w:rFonts w:ascii="宋体" w:hAnsi="宋体"/>
          <w:color w:val="auto"/>
          <w:sz w:val="21"/>
          <w:szCs w:val="21"/>
          <w:highlight w:val="none"/>
        </w:rPr>
      </w:pPr>
      <w:bookmarkStart w:id="156" w:name="_Toc21990"/>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技术规格偏离表格式</w:t>
      </w:r>
      <w:bookmarkEnd w:id="156"/>
    </w:p>
    <w:p w14:paraId="54F35C1D">
      <w:pPr>
        <w:shd w:val="clear"/>
        <w:jc w:val="center"/>
        <w:rPr>
          <w:rFonts w:ascii="黑体" w:eastAsia="黑体"/>
          <w:color w:val="auto"/>
          <w:sz w:val="28"/>
          <w:szCs w:val="28"/>
          <w:highlight w:val="none"/>
        </w:rPr>
      </w:pPr>
    </w:p>
    <w:p w14:paraId="4C393757">
      <w:pPr>
        <w:shd w:val="clea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138A0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422F1859">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02268F7B">
            <w:pPr>
              <w:shd w:val="clea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25D6FA24">
            <w:pPr>
              <w:shd w:val="clea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58A2F385">
            <w:pPr>
              <w:shd w:val="clea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2CAFDC55">
            <w:pPr>
              <w:shd w:val="clea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430D6327">
            <w:pPr>
              <w:shd w:val="clear"/>
              <w:jc w:val="center"/>
              <w:rPr>
                <w:rFonts w:ascii="宋体" w:hAnsi="宋体"/>
                <w:color w:val="auto"/>
                <w:szCs w:val="21"/>
                <w:highlight w:val="none"/>
              </w:rPr>
            </w:pPr>
            <w:r>
              <w:rPr>
                <w:rFonts w:hint="eastAsia" w:ascii="宋体" w:hAnsi="宋体"/>
                <w:color w:val="auto"/>
                <w:szCs w:val="21"/>
                <w:highlight w:val="none"/>
              </w:rPr>
              <w:t>说明</w:t>
            </w:r>
          </w:p>
        </w:tc>
      </w:tr>
      <w:tr w14:paraId="0E062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F0CD3A4">
            <w:pPr>
              <w:shd w:val="clear"/>
              <w:jc w:val="center"/>
              <w:rPr>
                <w:rFonts w:ascii="宋体" w:hAnsi="宋体"/>
                <w:color w:val="auto"/>
                <w:szCs w:val="21"/>
                <w:highlight w:val="none"/>
              </w:rPr>
            </w:pPr>
          </w:p>
        </w:tc>
        <w:tc>
          <w:tcPr>
            <w:tcW w:w="1902" w:type="dxa"/>
            <w:vAlign w:val="center"/>
          </w:tcPr>
          <w:p w14:paraId="6EAD88BC">
            <w:pPr>
              <w:shd w:val="clear"/>
              <w:jc w:val="center"/>
              <w:rPr>
                <w:rFonts w:ascii="宋体" w:hAnsi="宋体"/>
                <w:color w:val="auto"/>
                <w:szCs w:val="21"/>
                <w:highlight w:val="none"/>
              </w:rPr>
            </w:pPr>
          </w:p>
        </w:tc>
        <w:tc>
          <w:tcPr>
            <w:tcW w:w="1370" w:type="dxa"/>
            <w:vAlign w:val="center"/>
          </w:tcPr>
          <w:p w14:paraId="328660E5">
            <w:pPr>
              <w:shd w:val="clear"/>
              <w:jc w:val="center"/>
              <w:rPr>
                <w:rFonts w:ascii="宋体" w:hAnsi="宋体"/>
                <w:color w:val="auto"/>
                <w:szCs w:val="21"/>
                <w:highlight w:val="none"/>
              </w:rPr>
            </w:pPr>
          </w:p>
        </w:tc>
        <w:tc>
          <w:tcPr>
            <w:tcW w:w="1629" w:type="dxa"/>
            <w:vAlign w:val="center"/>
          </w:tcPr>
          <w:p w14:paraId="6739FE6C">
            <w:pPr>
              <w:shd w:val="clear"/>
              <w:jc w:val="center"/>
              <w:rPr>
                <w:rFonts w:ascii="宋体" w:hAnsi="宋体"/>
                <w:color w:val="auto"/>
                <w:szCs w:val="21"/>
                <w:highlight w:val="none"/>
              </w:rPr>
            </w:pPr>
          </w:p>
        </w:tc>
        <w:tc>
          <w:tcPr>
            <w:tcW w:w="1239" w:type="dxa"/>
            <w:vAlign w:val="center"/>
          </w:tcPr>
          <w:p w14:paraId="3CA55833">
            <w:pPr>
              <w:shd w:val="clear"/>
              <w:jc w:val="center"/>
              <w:rPr>
                <w:rFonts w:ascii="宋体" w:hAnsi="宋体"/>
                <w:color w:val="auto"/>
                <w:szCs w:val="21"/>
                <w:highlight w:val="none"/>
              </w:rPr>
            </w:pPr>
          </w:p>
        </w:tc>
        <w:tc>
          <w:tcPr>
            <w:tcW w:w="1544" w:type="dxa"/>
            <w:vAlign w:val="center"/>
          </w:tcPr>
          <w:p w14:paraId="033F237A">
            <w:pPr>
              <w:shd w:val="clear"/>
              <w:jc w:val="center"/>
              <w:rPr>
                <w:rFonts w:ascii="宋体" w:hAnsi="宋体"/>
                <w:color w:val="auto"/>
                <w:szCs w:val="21"/>
                <w:highlight w:val="none"/>
              </w:rPr>
            </w:pPr>
          </w:p>
        </w:tc>
      </w:tr>
      <w:tr w14:paraId="4FE22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31A3950">
            <w:pPr>
              <w:shd w:val="clear"/>
              <w:jc w:val="center"/>
              <w:rPr>
                <w:rFonts w:ascii="宋体" w:hAnsi="宋体"/>
                <w:color w:val="auto"/>
                <w:szCs w:val="21"/>
                <w:highlight w:val="none"/>
              </w:rPr>
            </w:pPr>
          </w:p>
        </w:tc>
        <w:tc>
          <w:tcPr>
            <w:tcW w:w="1902" w:type="dxa"/>
            <w:vAlign w:val="center"/>
          </w:tcPr>
          <w:p w14:paraId="792F9423">
            <w:pPr>
              <w:shd w:val="clear"/>
              <w:jc w:val="center"/>
              <w:rPr>
                <w:rFonts w:ascii="宋体" w:hAnsi="宋体"/>
                <w:color w:val="auto"/>
                <w:szCs w:val="21"/>
                <w:highlight w:val="none"/>
              </w:rPr>
            </w:pPr>
          </w:p>
        </w:tc>
        <w:tc>
          <w:tcPr>
            <w:tcW w:w="1370" w:type="dxa"/>
            <w:vAlign w:val="center"/>
          </w:tcPr>
          <w:p w14:paraId="1B56B0DF">
            <w:pPr>
              <w:shd w:val="clear"/>
              <w:jc w:val="center"/>
              <w:rPr>
                <w:rFonts w:ascii="宋体" w:hAnsi="宋体"/>
                <w:color w:val="auto"/>
                <w:szCs w:val="21"/>
                <w:highlight w:val="none"/>
              </w:rPr>
            </w:pPr>
          </w:p>
        </w:tc>
        <w:tc>
          <w:tcPr>
            <w:tcW w:w="1629" w:type="dxa"/>
            <w:vAlign w:val="center"/>
          </w:tcPr>
          <w:p w14:paraId="35FC7D72">
            <w:pPr>
              <w:shd w:val="clear"/>
              <w:jc w:val="center"/>
              <w:rPr>
                <w:rFonts w:ascii="宋体" w:hAnsi="宋体"/>
                <w:color w:val="auto"/>
                <w:szCs w:val="21"/>
                <w:highlight w:val="none"/>
              </w:rPr>
            </w:pPr>
          </w:p>
        </w:tc>
        <w:tc>
          <w:tcPr>
            <w:tcW w:w="1239" w:type="dxa"/>
            <w:vAlign w:val="center"/>
          </w:tcPr>
          <w:p w14:paraId="09205BCC">
            <w:pPr>
              <w:shd w:val="clear"/>
              <w:jc w:val="center"/>
              <w:rPr>
                <w:rFonts w:ascii="宋体" w:hAnsi="宋体"/>
                <w:color w:val="auto"/>
                <w:szCs w:val="21"/>
                <w:highlight w:val="none"/>
              </w:rPr>
            </w:pPr>
          </w:p>
        </w:tc>
        <w:tc>
          <w:tcPr>
            <w:tcW w:w="1544" w:type="dxa"/>
            <w:vAlign w:val="center"/>
          </w:tcPr>
          <w:p w14:paraId="7BF087D2">
            <w:pPr>
              <w:shd w:val="clear"/>
              <w:jc w:val="center"/>
              <w:rPr>
                <w:rFonts w:ascii="宋体" w:hAnsi="宋体"/>
                <w:color w:val="auto"/>
                <w:szCs w:val="21"/>
                <w:highlight w:val="none"/>
              </w:rPr>
            </w:pPr>
          </w:p>
        </w:tc>
      </w:tr>
      <w:tr w14:paraId="146F1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1E6EC9E">
            <w:pPr>
              <w:shd w:val="clear"/>
              <w:jc w:val="center"/>
              <w:rPr>
                <w:rFonts w:ascii="宋体" w:hAnsi="宋体"/>
                <w:color w:val="auto"/>
                <w:szCs w:val="21"/>
                <w:highlight w:val="none"/>
              </w:rPr>
            </w:pPr>
          </w:p>
        </w:tc>
        <w:tc>
          <w:tcPr>
            <w:tcW w:w="1902" w:type="dxa"/>
            <w:vAlign w:val="center"/>
          </w:tcPr>
          <w:p w14:paraId="47B6E9D9">
            <w:pPr>
              <w:shd w:val="clear"/>
              <w:jc w:val="center"/>
              <w:rPr>
                <w:rFonts w:ascii="宋体" w:hAnsi="宋体"/>
                <w:color w:val="auto"/>
                <w:szCs w:val="21"/>
                <w:highlight w:val="none"/>
              </w:rPr>
            </w:pPr>
          </w:p>
        </w:tc>
        <w:tc>
          <w:tcPr>
            <w:tcW w:w="1370" w:type="dxa"/>
            <w:vAlign w:val="center"/>
          </w:tcPr>
          <w:p w14:paraId="68F4309D">
            <w:pPr>
              <w:shd w:val="clear"/>
              <w:jc w:val="center"/>
              <w:rPr>
                <w:rFonts w:ascii="宋体" w:hAnsi="宋体"/>
                <w:color w:val="auto"/>
                <w:szCs w:val="21"/>
                <w:highlight w:val="none"/>
              </w:rPr>
            </w:pPr>
          </w:p>
        </w:tc>
        <w:tc>
          <w:tcPr>
            <w:tcW w:w="1629" w:type="dxa"/>
            <w:vAlign w:val="center"/>
          </w:tcPr>
          <w:p w14:paraId="2891E23C">
            <w:pPr>
              <w:shd w:val="clear"/>
              <w:jc w:val="center"/>
              <w:rPr>
                <w:rFonts w:ascii="宋体" w:hAnsi="宋体"/>
                <w:color w:val="auto"/>
                <w:szCs w:val="21"/>
                <w:highlight w:val="none"/>
              </w:rPr>
            </w:pPr>
          </w:p>
        </w:tc>
        <w:tc>
          <w:tcPr>
            <w:tcW w:w="1239" w:type="dxa"/>
            <w:vAlign w:val="center"/>
          </w:tcPr>
          <w:p w14:paraId="15B836FF">
            <w:pPr>
              <w:shd w:val="clear"/>
              <w:jc w:val="center"/>
              <w:rPr>
                <w:rFonts w:ascii="宋体" w:hAnsi="宋体"/>
                <w:color w:val="auto"/>
                <w:szCs w:val="21"/>
                <w:highlight w:val="none"/>
              </w:rPr>
            </w:pPr>
          </w:p>
        </w:tc>
        <w:tc>
          <w:tcPr>
            <w:tcW w:w="1544" w:type="dxa"/>
            <w:vAlign w:val="center"/>
          </w:tcPr>
          <w:p w14:paraId="31361F80">
            <w:pPr>
              <w:shd w:val="clear"/>
              <w:jc w:val="center"/>
              <w:rPr>
                <w:rFonts w:ascii="宋体" w:hAnsi="宋体"/>
                <w:color w:val="auto"/>
                <w:szCs w:val="21"/>
                <w:highlight w:val="none"/>
              </w:rPr>
            </w:pPr>
          </w:p>
        </w:tc>
      </w:tr>
      <w:tr w14:paraId="77E5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88E0AD8">
            <w:pPr>
              <w:shd w:val="clear"/>
              <w:jc w:val="center"/>
              <w:rPr>
                <w:rFonts w:ascii="宋体" w:hAnsi="宋体"/>
                <w:color w:val="auto"/>
                <w:szCs w:val="21"/>
                <w:highlight w:val="none"/>
              </w:rPr>
            </w:pPr>
          </w:p>
        </w:tc>
        <w:tc>
          <w:tcPr>
            <w:tcW w:w="1902" w:type="dxa"/>
            <w:vAlign w:val="center"/>
          </w:tcPr>
          <w:p w14:paraId="706DB98B">
            <w:pPr>
              <w:shd w:val="clear"/>
              <w:jc w:val="center"/>
              <w:rPr>
                <w:rFonts w:ascii="宋体" w:hAnsi="宋体"/>
                <w:color w:val="auto"/>
                <w:szCs w:val="21"/>
                <w:highlight w:val="none"/>
              </w:rPr>
            </w:pPr>
          </w:p>
        </w:tc>
        <w:tc>
          <w:tcPr>
            <w:tcW w:w="1370" w:type="dxa"/>
            <w:vAlign w:val="center"/>
          </w:tcPr>
          <w:p w14:paraId="6DB635E4">
            <w:pPr>
              <w:shd w:val="clear"/>
              <w:jc w:val="center"/>
              <w:rPr>
                <w:rFonts w:ascii="宋体" w:hAnsi="宋体"/>
                <w:color w:val="auto"/>
                <w:szCs w:val="21"/>
                <w:highlight w:val="none"/>
              </w:rPr>
            </w:pPr>
          </w:p>
        </w:tc>
        <w:tc>
          <w:tcPr>
            <w:tcW w:w="1629" w:type="dxa"/>
            <w:vAlign w:val="center"/>
          </w:tcPr>
          <w:p w14:paraId="2F6136E5">
            <w:pPr>
              <w:shd w:val="clear"/>
              <w:jc w:val="center"/>
              <w:rPr>
                <w:rFonts w:ascii="宋体" w:hAnsi="宋体"/>
                <w:color w:val="auto"/>
                <w:szCs w:val="21"/>
                <w:highlight w:val="none"/>
              </w:rPr>
            </w:pPr>
          </w:p>
        </w:tc>
        <w:tc>
          <w:tcPr>
            <w:tcW w:w="1239" w:type="dxa"/>
            <w:vAlign w:val="center"/>
          </w:tcPr>
          <w:p w14:paraId="797ADBED">
            <w:pPr>
              <w:shd w:val="clear"/>
              <w:jc w:val="center"/>
              <w:rPr>
                <w:rFonts w:ascii="宋体" w:hAnsi="宋体"/>
                <w:color w:val="auto"/>
                <w:szCs w:val="21"/>
                <w:highlight w:val="none"/>
              </w:rPr>
            </w:pPr>
          </w:p>
        </w:tc>
        <w:tc>
          <w:tcPr>
            <w:tcW w:w="1544" w:type="dxa"/>
            <w:vAlign w:val="center"/>
          </w:tcPr>
          <w:p w14:paraId="54E2488F">
            <w:pPr>
              <w:shd w:val="clear"/>
              <w:jc w:val="center"/>
              <w:rPr>
                <w:rFonts w:ascii="宋体" w:hAnsi="宋体"/>
                <w:color w:val="auto"/>
                <w:szCs w:val="21"/>
                <w:highlight w:val="none"/>
              </w:rPr>
            </w:pPr>
          </w:p>
        </w:tc>
      </w:tr>
      <w:tr w14:paraId="1E43C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8716DA8">
            <w:pPr>
              <w:shd w:val="clear"/>
              <w:jc w:val="center"/>
              <w:rPr>
                <w:rFonts w:ascii="宋体" w:hAnsi="宋体"/>
                <w:color w:val="auto"/>
                <w:szCs w:val="21"/>
                <w:highlight w:val="none"/>
              </w:rPr>
            </w:pPr>
          </w:p>
        </w:tc>
        <w:tc>
          <w:tcPr>
            <w:tcW w:w="1902" w:type="dxa"/>
            <w:vAlign w:val="center"/>
          </w:tcPr>
          <w:p w14:paraId="4F076A4A">
            <w:pPr>
              <w:shd w:val="clear"/>
              <w:jc w:val="center"/>
              <w:rPr>
                <w:rFonts w:ascii="宋体" w:hAnsi="宋体"/>
                <w:color w:val="auto"/>
                <w:szCs w:val="21"/>
                <w:highlight w:val="none"/>
              </w:rPr>
            </w:pPr>
          </w:p>
        </w:tc>
        <w:tc>
          <w:tcPr>
            <w:tcW w:w="1370" w:type="dxa"/>
            <w:vAlign w:val="center"/>
          </w:tcPr>
          <w:p w14:paraId="5DF3B8D2">
            <w:pPr>
              <w:shd w:val="clear"/>
              <w:jc w:val="center"/>
              <w:rPr>
                <w:rFonts w:ascii="宋体" w:hAnsi="宋体"/>
                <w:color w:val="auto"/>
                <w:szCs w:val="21"/>
                <w:highlight w:val="none"/>
              </w:rPr>
            </w:pPr>
          </w:p>
        </w:tc>
        <w:tc>
          <w:tcPr>
            <w:tcW w:w="1629" w:type="dxa"/>
            <w:vAlign w:val="center"/>
          </w:tcPr>
          <w:p w14:paraId="222FFC27">
            <w:pPr>
              <w:shd w:val="clear"/>
              <w:jc w:val="center"/>
              <w:rPr>
                <w:rFonts w:ascii="宋体" w:hAnsi="宋体"/>
                <w:color w:val="auto"/>
                <w:szCs w:val="21"/>
                <w:highlight w:val="none"/>
              </w:rPr>
            </w:pPr>
          </w:p>
        </w:tc>
        <w:tc>
          <w:tcPr>
            <w:tcW w:w="1239" w:type="dxa"/>
            <w:vAlign w:val="center"/>
          </w:tcPr>
          <w:p w14:paraId="22A42DE0">
            <w:pPr>
              <w:shd w:val="clear"/>
              <w:jc w:val="center"/>
              <w:rPr>
                <w:rFonts w:ascii="宋体" w:hAnsi="宋体"/>
                <w:color w:val="auto"/>
                <w:szCs w:val="21"/>
                <w:highlight w:val="none"/>
              </w:rPr>
            </w:pPr>
          </w:p>
        </w:tc>
        <w:tc>
          <w:tcPr>
            <w:tcW w:w="1544" w:type="dxa"/>
            <w:vAlign w:val="center"/>
          </w:tcPr>
          <w:p w14:paraId="3356889A">
            <w:pPr>
              <w:shd w:val="clear"/>
              <w:jc w:val="center"/>
              <w:rPr>
                <w:rFonts w:ascii="宋体" w:hAnsi="宋体"/>
                <w:color w:val="auto"/>
                <w:szCs w:val="21"/>
                <w:highlight w:val="none"/>
              </w:rPr>
            </w:pPr>
          </w:p>
        </w:tc>
      </w:tr>
      <w:tr w14:paraId="1D03B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A872B91">
            <w:pPr>
              <w:shd w:val="clear"/>
              <w:jc w:val="center"/>
              <w:rPr>
                <w:rFonts w:ascii="宋体" w:hAnsi="宋体"/>
                <w:color w:val="auto"/>
                <w:szCs w:val="21"/>
                <w:highlight w:val="none"/>
              </w:rPr>
            </w:pPr>
          </w:p>
        </w:tc>
        <w:tc>
          <w:tcPr>
            <w:tcW w:w="1902" w:type="dxa"/>
            <w:vAlign w:val="center"/>
          </w:tcPr>
          <w:p w14:paraId="478984DC">
            <w:pPr>
              <w:shd w:val="clear"/>
              <w:jc w:val="center"/>
              <w:rPr>
                <w:rFonts w:ascii="宋体" w:hAnsi="宋体"/>
                <w:color w:val="auto"/>
                <w:szCs w:val="21"/>
                <w:highlight w:val="none"/>
              </w:rPr>
            </w:pPr>
          </w:p>
        </w:tc>
        <w:tc>
          <w:tcPr>
            <w:tcW w:w="1370" w:type="dxa"/>
            <w:vAlign w:val="center"/>
          </w:tcPr>
          <w:p w14:paraId="0B61D1AD">
            <w:pPr>
              <w:shd w:val="clear"/>
              <w:jc w:val="center"/>
              <w:rPr>
                <w:rFonts w:ascii="宋体" w:hAnsi="宋体"/>
                <w:color w:val="auto"/>
                <w:szCs w:val="21"/>
                <w:highlight w:val="none"/>
              </w:rPr>
            </w:pPr>
          </w:p>
        </w:tc>
        <w:tc>
          <w:tcPr>
            <w:tcW w:w="1629" w:type="dxa"/>
            <w:vAlign w:val="center"/>
          </w:tcPr>
          <w:p w14:paraId="2E96D066">
            <w:pPr>
              <w:shd w:val="clear"/>
              <w:jc w:val="center"/>
              <w:rPr>
                <w:rFonts w:ascii="宋体" w:hAnsi="宋体"/>
                <w:color w:val="auto"/>
                <w:szCs w:val="21"/>
                <w:highlight w:val="none"/>
              </w:rPr>
            </w:pPr>
          </w:p>
        </w:tc>
        <w:tc>
          <w:tcPr>
            <w:tcW w:w="1239" w:type="dxa"/>
            <w:vAlign w:val="center"/>
          </w:tcPr>
          <w:p w14:paraId="0CE15AB3">
            <w:pPr>
              <w:shd w:val="clear"/>
              <w:jc w:val="center"/>
              <w:rPr>
                <w:rFonts w:ascii="宋体" w:hAnsi="宋体"/>
                <w:color w:val="auto"/>
                <w:szCs w:val="21"/>
                <w:highlight w:val="none"/>
              </w:rPr>
            </w:pPr>
          </w:p>
        </w:tc>
        <w:tc>
          <w:tcPr>
            <w:tcW w:w="1544" w:type="dxa"/>
            <w:vAlign w:val="center"/>
          </w:tcPr>
          <w:p w14:paraId="6F97E1B9">
            <w:pPr>
              <w:shd w:val="clear"/>
              <w:jc w:val="center"/>
              <w:rPr>
                <w:rFonts w:ascii="宋体" w:hAnsi="宋体"/>
                <w:color w:val="auto"/>
                <w:szCs w:val="21"/>
                <w:highlight w:val="none"/>
              </w:rPr>
            </w:pPr>
          </w:p>
        </w:tc>
      </w:tr>
      <w:tr w14:paraId="4D4C7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34F0048">
            <w:pPr>
              <w:shd w:val="clear"/>
              <w:jc w:val="center"/>
              <w:rPr>
                <w:rFonts w:ascii="宋体" w:hAnsi="宋体"/>
                <w:color w:val="auto"/>
                <w:szCs w:val="21"/>
                <w:highlight w:val="none"/>
              </w:rPr>
            </w:pPr>
          </w:p>
        </w:tc>
        <w:tc>
          <w:tcPr>
            <w:tcW w:w="1902" w:type="dxa"/>
            <w:vAlign w:val="center"/>
          </w:tcPr>
          <w:p w14:paraId="4484E1B8">
            <w:pPr>
              <w:shd w:val="clear"/>
              <w:jc w:val="center"/>
              <w:rPr>
                <w:rFonts w:ascii="宋体" w:hAnsi="宋体"/>
                <w:color w:val="auto"/>
                <w:szCs w:val="21"/>
                <w:highlight w:val="none"/>
              </w:rPr>
            </w:pPr>
          </w:p>
        </w:tc>
        <w:tc>
          <w:tcPr>
            <w:tcW w:w="1370" w:type="dxa"/>
            <w:vAlign w:val="center"/>
          </w:tcPr>
          <w:p w14:paraId="4EF245DF">
            <w:pPr>
              <w:shd w:val="clear"/>
              <w:jc w:val="center"/>
              <w:rPr>
                <w:rFonts w:ascii="宋体" w:hAnsi="宋体"/>
                <w:color w:val="auto"/>
                <w:szCs w:val="21"/>
                <w:highlight w:val="none"/>
              </w:rPr>
            </w:pPr>
          </w:p>
        </w:tc>
        <w:tc>
          <w:tcPr>
            <w:tcW w:w="1629" w:type="dxa"/>
            <w:vAlign w:val="center"/>
          </w:tcPr>
          <w:p w14:paraId="1A7D69B0">
            <w:pPr>
              <w:shd w:val="clear"/>
              <w:jc w:val="center"/>
              <w:rPr>
                <w:rFonts w:ascii="宋体" w:hAnsi="宋体"/>
                <w:color w:val="auto"/>
                <w:szCs w:val="21"/>
                <w:highlight w:val="none"/>
              </w:rPr>
            </w:pPr>
          </w:p>
        </w:tc>
        <w:tc>
          <w:tcPr>
            <w:tcW w:w="1239" w:type="dxa"/>
            <w:vAlign w:val="center"/>
          </w:tcPr>
          <w:p w14:paraId="00A9806B">
            <w:pPr>
              <w:shd w:val="clear"/>
              <w:jc w:val="center"/>
              <w:rPr>
                <w:rFonts w:ascii="宋体" w:hAnsi="宋体"/>
                <w:color w:val="auto"/>
                <w:szCs w:val="21"/>
                <w:highlight w:val="none"/>
              </w:rPr>
            </w:pPr>
          </w:p>
        </w:tc>
        <w:tc>
          <w:tcPr>
            <w:tcW w:w="1544" w:type="dxa"/>
            <w:vAlign w:val="center"/>
          </w:tcPr>
          <w:p w14:paraId="616EA5BA">
            <w:pPr>
              <w:shd w:val="clear"/>
              <w:jc w:val="center"/>
              <w:rPr>
                <w:rFonts w:ascii="宋体" w:hAnsi="宋体"/>
                <w:color w:val="auto"/>
                <w:szCs w:val="21"/>
                <w:highlight w:val="none"/>
              </w:rPr>
            </w:pPr>
          </w:p>
        </w:tc>
      </w:tr>
      <w:tr w14:paraId="63BAE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455C607">
            <w:pPr>
              <w:shd w:val="clear"/>
              <w:jc w:val="center"/>
              <w:rPr>
                <w:rFonts w:ascii="宋体" w:hAnsi="宋体"/>
                <w:color w:val="auto"/>
                <w:szCs w:val="21"/>
                <w:highlight w:val="none"/>
              </w:rPr>
            </w:pPr>
          </w:p>
        </w:tc>
        <w:tc>
          <w:tcPr>
            <w:tcW w:w="1902" w:type="dxa"/>
            <w:vAlign w:val="center"/>
          </w:tcPr>
          <w:p w14:paraId="66AC47AE">
            <w:pPr>
              <w:shd w:val="clear"/>
              <w:jc w:val="center"/>
              <w:rPr>
                <w:rFonts w:ascii="宋体" w:hAnsi="宋体"/>
                <w:color w:val="auto"/>
                <w:szCs w:val="21"/>
                <w:highlight w:val="none"/>
              </w:rPr>
            </w:pPr>
          </w:p>
        </w:tc>
        <w:tc>
          <w:tcPr>
            <w:tcW w:w="1370" w:type="dxa"/>
            <w:vAlign w:val="center"/>
          </w:tcPr>
          <w:p w14:paraId="492F21C5">
            <w:pPr>
              <w:shd w:val="clear"/>
              <w:jc w:val="center"/>
              <w:rPr>
                <w:rFonts w:ascii="宋体" w:hAnsi="宋体"/>
                <w:color w:val="auto"/>
                <w:szCs w:val="21"/>
                <w:highlight w:val="none"/>
              </w:rPr>
            </w:pPr>
          </w:p>
        </w:tc>
        <w:tc>
          <w:tcPr>
            <w:tcW w:w="1629" w:type="dxa"/>
            <w:vAlign w:val="center"/>
          </w:tcPr>
          <w:p w14:paraId="33326D17">
            <w:pPr>
              <w:shd w:val="clear"/>
              <w:jc w:val="center"/>
              <w:rPr>
                <w:rFonts w:ascii="宋体" w:hAnsi="宋体"/>
                <w:color w:val="auto"/>
                <w:szCs w:val="21"/>
                <w:highlight w:val="none"/>
              </w:rPr>
            </w:pPr>
          </w:p>
        </w:tc>
        <w:tc>
          <w:tcPr>
            <w:tcW w:w="1239" w:type="dxa"/>
            <w:vAlign w:val="center"/>
          </w:tcPr>
          <w:p w14:paraId="42A96197">
            <w:pPr>
              <w:shd w:val="clear"/>
              <w:jc w:val="center"/>
              <w:rPr>
                <w:rFonts w:ascii="宋体" w:hAnsi="宋体"/>
                <w:color w:val="auto"/>
                <w:szCs w:val="21"/>
                <w:highlight w:val="none"/>
              </w:rPr>
            </w:pPr>
          </w:p>
        </w:tc>
        <w:tc>
          <w:tcPr>
            <w:tcW w:w="1544" w:type="dxa"/>
            <w:vAlign w:val="center"/>
          </w:tcPr>
          <w:p w14:paraId="02545995">
            <w:pPr>
              <w:shd w:val="clear"/>
              <w:jc w:val="center"/>
              <w:rPr>
                <w:rFonts w:ascii="宋体" w:hAnsi="宋体"/>
                <w:color w:val="auto"/>
                <w:szCs w:val="21"/>
                <w:highlight w:val="none"/>
              </w:rPr>
            </w:pPr>
          </w:p>
        </w:tc>
      </w:tr>
      <w:tr w14:paraId="24856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5C57EDD">
            <w:pPr>
              <w:shd w:val="clear"/>
              <w:jc w:val="center"/>
              <w:rPr>
                <w:rFonts w:ascii="宋体" w:hAnsi="宋体"/>
                <w:color w:val="auto"/>
                <w:szCs w:val="21"/>
                <w:highlight w:val="none"/>
              </w:rPr>
            </w:pPr>
          </w:p>
        </w:tc>
        <w:tc>
          <w:tcPr>
            <w:tcW w:w="1902" w:type="dxa"/>
            <w:vAlign w:val="center"/>
          </w:tcPr>
          <w:p w14:paraId="55B072B1">
            <w:pPr>
              <w:shd w:val="clear"/>
              <w:jc w:val="center"/>
              <w:rPr>
                <w:rFonts w:ascii="宋体" w:hAnsi="宋体"/>
                <w:color w:val="auto"/>
                <w:szCs w:val="21"/>
                <w:highlight w:val="none"/>
              </w:rPr>
            </w:pPr>
          </w:p>
        </w:tc>
        <w:tc>
          <w:tcPr>
            <w:tcW w:w="1370" w:type="dxa"/>
            <w:vAlign w:val="center"/>
          </w:tcPr>
          <w:p w14:paraId="74C85001">
            <w:pPr>
              <w:shd w:val="clear"/>
              <w:jc w:val="center"/>
              <w:rPr>
                <w:rFonts w:ascii="宋体" w:hAnsi="宋体"/>
                <w:color w:val="auto"/>
                <w:szCs w:val="21"/>
                <w:highlight w:val="none"/>
              </w:rPr>
            </w:pPr>
          </w:p>
        </w:tc>
        <w:tc>
          <w:tcPr>
            <w:tcW w:w="1629" w:type="dxa"/>
            <w:vAlign w:val="center"/>
          </w:tcPr>
          <w:p w14:paraId="09A5D384">
            <w:pPr>
              <w:shd w:val="clear"/>
              <w:jc w:val="center"/>
              <w:rPr>
                <w:rFonts w:ascii="宋体" w:hAnsi="宋体"/>
                <w:color w:val="auto"/>
                <w:szCs w:val="21"/>
                <w:highlight w:val="none"/>
              </w:rPr>
            </w:pPr>
          </w:p>
        </w:tc>
        <w:tc>
          <w:tcPr>
            <w:tcW w:w="1239" w:type="dxa"/>
            <w:vAlign w:val="center"/>
          </w:tcPr>
          <w:p w14:paraId="091B5B80">
            <w:pPr>
              <w:shd w:val="clear"/>
              <w:jc w:val="center"/>
              <w:rPr>
                <w:rFonts w:ascii="宋体" w:hAnsi="宋体"/>
                <w:color w:val="auto"/>
                <w:szCs w:val="21"/>
                <w:highlight w:val="none"/>
              </w:rPr>
            </w:pPr>
          </w:p>
        </w:tc>
        <w:tc>
          <w:tcPr>
            <w:tcW w:w="1544" w:type="dxa"/>
            <w:vAlign w:val="center"/>
          </w:tcPr>
          <w:p w14:paraId="1227A021">
            <w:pPr>
              <w:shd w:val="clear"/>
              <w:jc w:val="center"/>
              <w:rPr>
                <w:rFonts w:ascii="宋体" w:hAnsi="宋体"/>
                <w:color w:val="auto"/>
                <w:szCs w:val="21"/>
                <w:highlight w:val="none"/>
              </w:rPr>
            </w:pPr>
          </w:p>
        </w:tc>
      </w:tr>
      <w:tr w14:paraId="23CCF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3D9BAF5">
            <w:pPr>
              <w:shd w:val="clear"/>
              <w:jc w:val="center"/>
              <w:rPr>
                <w:rFonts w:ascii="宋体" w:hAnsi="宋体"/>
                <w:color w:val="auto"/>
                <w:szCs w:val="21"/>
                <w:highlight w:val="none"/>
              </w:rPr>
            </w:pPr>
          </w:p>
        </w:tc>
        <w:tc>
          <w:tcPr>
            <w:tcW w:w="1902" w:type="dxa"/>
            <w:vAlign w:val="center"/>
          </w:tcPr>
          <w:p w14:paraId="726E3847">
            <w:pPr>
              <w:shd w:val="clear"/>
              <w:jc w:val="center"/>
              <w:rPr>
                <w:rFonts w:ascii="宋体" w:hAnsi="宋体"/>
                <w:color w:val="auto"/>
                <w:szCs w:val="21"/>
                <w:highlight w:val="none"/>
              </w:rPr>
            </w:pPr>
          </w:p>
        </w:tc>
        <w:tc>
          <w:tcPr>
            <w:tcW w:w="1370" w:type="dxa"/>
            <w:vAlign w:val="center"/>
          </w:tcPr>
          <w:p w14:paraId="3B3BCF7A">
            <w:pPr>
              <w:shd w:val="clear"/>
              <w:jc w:val="center"/>
              <w:rPr>
                <w:rFonts w:ascii="宋体" w:hAnsi="宋体"/>
                <w:color w:val="auto"/>
                <w:szCs w:val="21"/>
                <w:highlight w:val="none"/>
              </w:rPr>
            </w:pPr>
          </w:p>
        </w:tc>
        <w:tc>
          <w:tcPr>
            <w:tcW w:w="1629" w:type="dxa"/>
            <w:vAlign w:val="center"/>
          </w:tcPr>
          <w:p w14:paraId="23C4676F">
            <w:pPr>
              <w:shd w:val="clear"/>
              <w:jc w:val="center"/>
              <w:rPr>
                <w:rFonts w:ascii="宋体" w:hAnsi="宋体"/>
                <w:color w:val="auto"/>
                <w:szCs w:val="21"/>
                <w:highlight w:val="none"/>
              </w:rPr>
            </w:pPr>
          </w:p>
        </w:tc>
        <w:tc>
          <w:tcPr>
            <w:tcW w:w="1239" w:type="dxa"/>
            <w:vAlign w:val="center"/>
          </w:tcPr>
          <w:p w14:paraId="0511BF35">
            <w:pPr>
              <w:shd w:val="clear"/>
              <w:jc w:val="center"/>
              <w:rPr>
                <w:rFonts w:ascii="宋体" w:hAnsi="宋体"/>
                <w:color w:val="auto"/>
                <w:szCs w:val="21"/>
                <w:highlight w:val="none"/>
              </w:rPr>
            </w:pPr>
          </w:p>
        </w:tc>
        <w:tc>
          <w:tcPr>
            <w:tcW w:w="1544" w:type="dxa"/>
            <w:vAlign w:val="center"/>
          </w:tcPr>
          <w:p w14:paraId="69A5B163">
            <w:pPr>
              <w:shd w:val="clear"/>
              <w:jc w:val="center"/>
              <w:rPr>
                <w:rFonts w:ascii="宋体" w:hAnsi="宋体"/>
                <w:color w:val="auto"/>
                <w:szCs w:val="21"/>
                <w:highlight w:val="none"/>
              </w:rPr>
            </w:pPr>
          </w:p>
        </w:tc>
      </w:tr>
    </w:tbl>
    <w:p w14:paraId="5475F400">
      <w:pPr>
        <w:shd w:val="clear"/>
        <w:rPr>
          <w:rFonts w:ascii="宋体" w:hAnsi="宋体"/>
          <w:color w:val="auto"/>
          <w:szCs w:val="21"/>
          <w:highlight w:val="none"/>
        </w:rPr>
      </w:pPr>
    </w:p>
    <w:p w14:paraId="16B30A53">
      <w:pPr>
        <w:shd w:val="clear"/>
        <w:rPr>
          <w:rFonts w:ascii="宋体" w:hAnsi="宋体"/>
          <w:color w:val="auto"/>
          <w:szCs w:val="21"/>
          <w:highlight w:val="none"/>
        </w:rPr>
      </w:pPr>
      <w:r>
        <w:rPr>
          <w:rFonts w:hint="eastAsia" w:ascii="宋体" w:hAnsi="宋体"/>
          <w:color w:val="auto"/>
          <w:szCs w:val="21"/>
          <w:highlight w:val="none"/>
        </w:rPr>
        <w:t>投标人代表签字：</w:t>
      </w:r>
    </w:p>
    <w:p w14:paraId="07DEFB93">
      <w:pPr>
        <w:shd w:val="clear"/>
        <w:rPr>
          <w:rFonts w:ascii="宋体" w:hAnsi="宋体"/>
          <w:color w:val="auto"/>
          <w:szCs w:val="21"/>
          <w:highlight w:val="none"/>
        </w:rPr>
      </w:pPr>
      <w:r>
        <w:rPr>
          <w:rFonts w:hint="eastAsia" w:ascii="宋体" w:hAnsi="宋体"/>
          <w:color w:val="auto"/>
          <w:szCs w:val="21"/>
          <w:highlight w:val="none"/>
        </w:rPr>
        <w:t>投标人盖章：</w:t>
      </w:r>
    </w:p>
    <w:p w14:paraId="1FBEA760">
      <w:pPr>
        <w:shd w:val="clear"/>
        <w:ind w:firstLine="178" w:firstLineChars="85"/>
        <w:rPr>
          <w:rFonts w:ascii="宋体" w:hAnsi="宋体"/>
          <w:color w:val="auto"/>
          <w:szCs w:val="21"/>
          <w:highlight w:val="none"/>
        </w:rPr>
      </w:pPr>
    </w:p>
    <w:p w14:paraId="3D1D02CC">
      <w:pPr>
        <w:shd w:val="clear"/>
        <w:rPr>
          <w:rFonts w:ascii="宋体" w:hAnsi="宋体"/>
          <w:color w:val="auto"/>
          <w:szCs w:val="21"/>
          <w:highlight w:val="none"/>
        </w:rPr>
      </w:pPr>
      <w:r>
        <w:rPr>
          <w:rFonts w:hint="eastAsia" w:ascii="宋体" w:hAnsi="宋体"/>
          <w:color w:val="auto"/>
          <w:szCs w:val="21"/>
          <w:highlight w:val="none"/>
        </w:rPr>
        <w:t>注：</w:t>
      </w:r>
    </w:p>
    <w:p w14:paraId="43FB2CDF">
      <w:pPr>
        <w:shd w:val="clea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6A7DD418">
      <w:pPr>
        <w:shd w:val="clea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54EF9E59">
      <w:pPr>
        <w:shd w:val="clea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49E52CB8">
      <w:pPr>
        <w:shd w:val="clea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69AA6806">
      <w:pPr>
        <w:shd w:val="clea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w:t>
      </w:r>
      <w:r>
        <w:rPr>
          <w:rFonts w:hint="eastAsia" w:hAnsi="宋体" w:cs="宋体"/>
          <w:color w:val="auto"/>
          <w:szCs w:val="21"/>
          <w:highlight w:val="none"/>
          <w:lang w:eastAsia="zh-CN"/>
        </w:rPr>
        <w:t>技术</w:t>
      </w:r>
      <w:r>
        <w:rPr>
          <w:rFonts w:hint="eastAsia" w:hAnsi="宋体" w:cs="宋体"/>
          <w:color w:val="auto"/>
          <w:szCs w:val="21"/>
          <w:highlight w:val="none"/>
        </w:rPr>
        <w:t>要求的条款全部响应的，也可以在表格下面用文字总括性的说明。</w:t>
      </w:r>
    </w:p>
    <w:p w14:paraId="750D2B74">
      <w:pPr>
        <w:shd w:val="clear"/>
        <w:rPr>
          <w:rFonts w:ascii="宋体" w:hAnsi="宋体"/>
          <w:color w:val="auto"/>
          <w:szCs w:val="21"/>
          <w:highlight w:val="none"/>
        </w:rPr>
      </w:pPr>
    </w:p>
    <w:p w14:paraId="0D83D939">
      <w:pPr>
        <w:shd w:val="clear"/>
        <w:adjustRightInd/>
        <w:snapToGrid/>
        <w:spacing w:line="276" w:lineRule="auto"/>
        <w:rPr>
          <w:color w:val="auto"/>
          <w:highlight w:val="none"/>
        </w:rPr>
      </w:pPr>
    </w:p>
    <w:p w14:paraId="15D8AA27">
      <w:pPr>
        <w:shd w:val="clear"/>
        <w:rPr>
          <w:rFonts w:ascii="宋体" w:hAnsi="宋体"/>
          <w:color w:val="auto"/>
          <w:szCs w:val="21"/>
          <w:highlight w:val="none"/>
        </w:rPr>
      </w:pPr>
      <w:bookmarkStart w:id="157" w:name="_Toc17691"/>
      <w:r>
        <w:rPr>
          <w:rFonts w:hint="eastAsia" w:ascii="宋体" w:hAnsi="宋体"/>
          <w:color w:val="auto"/>
          <w:szCs w:val="21"/>
          <w:highlight w:val="none"/>
        </w:rPr>
        <w:br w:type="page"/>
      </w:r>
    </w:p>
    <w:bookmarkEnd w:id="157"/>
    <w:p w14:paraId="6ABBC699">
      <w:pPr>
        <w:pStyle w:val="8"/>
        <w:widowControl w:val="0"/>
        <w:shd w:val="clear"/>
        <w:overflowPunct w:val="0"/>
        <w:spacing w:line="240" w:lineRule="auto"/>
        <w:rPr>
          <w:rFonts w:ascii="宋体" w:hAnsi="宋体"/>
          <w:color w:val="auto"/>
          <w:sz w:val="21"/>
          <w:szCs w:val="21"/>
          <w:highlight w:val="none"/>
        </w:rPr>
      </w:pPr>
      <w:bookmarkStart w:id="158" w:name="_Toc1867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.项目实施方案格式</w:t>
      </w:r>
      <w:bookmarkEnd w:id="158"/>
    </w:p>
    <w:p w14:paraId="74B1AE2F">
      <w:pPr>
        <w:shd w:val="clear"/>
        <w:jc w:val="center"/>
        <w:rPr>
          <w:rFonts w:ascii="黑体" w:eastAsia="黑体"/>
          <w:color w:val="auto"/>
          <w:sz w:val="32"/>
          <w:szCs w:val="32"/>
          <w:highlight w:val="none"/>
        </w:rPr>
      </w:pPr>
    </w:p>
    <w:p w14:paraId="3886CAF5">
      <w:pPr>
        <w:shd w:val="clea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682A5549">
      <w:pPr>
        <w:shd w:val="clear"/>
        <w:jc w:val="center"/>
        <w:rPr>
          <w:rFonts w:hint="eastAsia" w:ascii="宋体" w:hAnsi="宋体" w:eastAsia="宋体" w:cs="宋体"/>
          <w:color w:val="auto"/>
          <w:sz w:val="32"/>
          <w:szCs w:val="32"/>
          <w:highlight w:val="none"/>
        </w:rPr>
      </w:pPr>
    </w:p>
    <w:p w14:paraId="54C77FC6">
      <w:pPr>
        <w:numPr>
          <w:ilvl w:val="0"/>
          <w:numId w:val="17"/>
        </w:numPr>
        <w:shd w:val="clea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项目实施</w:t>
      </w:r>
      <w:r>
        <w:rPr>
          <w:rFonts w:hint="eastAsia" w:hAnsi="宋体" w:cs="宋体"/>
          <w:color w:val="auto"/>
          <w:spacing w:val="2"/>
          <w:szCs w:val="21"/>
          <w:highlight w:val="none"/>
          <w:u w:val="none"/>
        </w:rPr>
        <w:t>（</w:t>
      </w:r>
      <w:r>
        <w:rPr>
          <w:rFonts w:hint="eastAsia" w:hAnsi="宋体" w:cs="宋体"/>
          <w:color w:val="auto"/>
          <w:spacing w:val="2"/>
          <w:szCs w:val="21"/>
          <w:highlight w:val="none"/>
          <w:u w:val="none"/>
          <w:lang w:eastAsia="zh-CN"/>
        </w:rPr>
        <w:t>设计、</w:t>
      </w:r>
      <w:r>
        <w:rPr>
          <w:rFonts w:hint="eastAsia" w:hAnsi="宋体" w:cs="宋体"/>
          <w:color w:val="auto"/>
          <w:spacing w:val="2"/>
          <w:szCs w:val="21"/>
          <w:highlight w:val="none"/>
          <w:u w:val="none"/>
        </w:rPr>
        <w:t>供货、安装）方案及进度计划</w:t>
      </w:r>
    </w:p>
    <w:p w14:paraId="09FDA517">
      <w:pPr>
        <w:numPr>
          <w:ilvl w:val="0"/>
          <w:numId w:val="17"/>
        </w:numPr>
        <w:shd w:val="clea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所投产品性能</w:t>
      </w:r>
    </w:p>
    <w:p w14:paraId="765F1259">
      <w:pPr>
        <w:numPr>
          <w:ilvl w:val="0"/>
          <w:numId w:val="17"/>
        </w:numPr>
        <w:shd w:val="clea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质量保证措施</w:t>
      </w:r>
    </w:p>
    <w:p w14:paraId="6A848940">
      <w:pPr>
        <w:numPr>
          <w:ilvl w:val="0"/>
          <w:numId w:val="17"/>
        </w:numPr>
        <w:shd w:val="clea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售后服务</w:t>
      </w:r>
    </w:p>
    <w:p w14:paraId="4A0D3321">
      <w:pPr>
        <w:numPr>
          <w:ilvl w:val="0"/>
          <w:numId w:val="17"/>
        </w:numPr>
        <w:shd w:val="clear"/>
        <w:ind w:left="718" w:leftChars="200" w:hanging="298" w:hangingChars="142"/>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投标人认为对投标有利的其他资料</w:t>
      </w:r>
    </w:p>
    <w:p w14:paraId="2381D887">
      <w:pPr>
        <w:numPr>
          <w:ilvl w:val="0"/>
          <w:numId w:val="0"/>
        </w:numPr>
        <w:shd w:val="clear"/>
        <w:ind w:leftChars="58"/>
        <w:rPr>
          <w:rFonts w:hint="eastAsia" w:ascii="宋体" w:hAnsi="宋体" w:eastAsia="宋体" w:cs="宋体"/>
          <w:color w:val="auto"/>
          <w:szCs w:val="21"/>
          <w:highlight w:val="none"/>
        </w:rPr>
      </w:pPr>
    </w:p>
    <w:p w14:paraId="53FA5058">
      <w:pPr>
        <w:jc w:val="center"/>
        <w:rPr>
          <w:rFonts w:ascii="宋体" w:hAnsi="宋体" w:cs="Times New Roman"/>
          <w:color w:val="auto"/>
          <w:szCs w:val="21"/>
          <w:highlight w:val="none"/>
        </w:rPr>
      </w:pPr>
      <w:r>
        <w:rPr>
          <w:rFonts w:hint="eastAsia" w:ascii="宋体" w:hAnsi="宋体"/>
          <w:color w:val="auto"/>
          <w:szCs w:val="21"/>
          <w:highlight w:val="none"/>
          <w:lang w:eastAsia="zh-CN"/>
        </w:rPr>
        <w:t>（由投标人自行编写）</w:t>
      </w:r>
    </w:p>
    <w:p w14:paraId="70565405">
      <w:pPr>
        <w:shd w:val="clear"/>
        <w:ind w:left="718" w:leftChars="200" w:hanging="298" w:hangingChars="142"/>
        <w:rPr>
          <w:rFonts w:ascii="宋体" w:hAnsi="宋体"/>
          <w:color w:val="auto"/>
          <w:szCs w:val="21"/>
          <w:highlight w:val="none"/>
        </w:rPr>
      </w:pPr>
    </w:p>
    <w:p w14:paraId="514C4CA7">
      <w:pPr>
        <w:shd w:val="clear"/>
        <w:ind w:left="718" w:leftChars="200" w:hanging="298" w:hangingChars="142"/>
        <w:rPr>
          <w:rFonts w:ascii="宋体" w:hAnsi="宋体"/>
          <w:color w:val="auto"/>
          <w:szCs w:val="21"/>
          <w:highlight w:val="none"/>
        </w:rPr>
      </w:pPr>
    </w:p>
    <w:p w14:paraId="3889A17E">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14:paraId="09F4D106">
      <w:pPr>
        <w:pStyle w:val="8"/>
        <w:widowControl w:val="0"/>
        <w:shd w:val="clear"/>
        <w:overflowPunct w:val="0"/>
        <w:spacing w:line="240" w:lineRule="auto"/>
        <w:rPr>
          <w:color w:val="auto"/>
          <w:highlight w:val="none"/>
        </w:rPr>
      </w:pPr>
      <w:bookmarkStart w:id="159" w:name="_Toc25002"/>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20</w:t>
      </w:r>
      <w:r>
        <w:rPr>
          <w:rFonts w:hint="eastAsia" w:ascii="宋体" w:hAnsi="宋体"/>
          <w:color w:val="auto"/>
          <w:sz w:val="21"/>
          <w:szCs w:val="21"/>
          <w:highlight w:val="none"/>
        </w:rPr>
        <w:t>.投标保证金汇入情况说明格式</w:t>
      </w:r>
      <w:bookmarkEnd w:id="159"/>
    </w:p>
    <w:p w14:paraId="7DBCCE07">
      <w:pPr>
        <w:shd w:val="clear"/>
        <w:rPr>
          <w:color w:val="auto"/>
          <w:highlight w:val="none"/>
        </w:rPr>
      </w:pPr>
    </w:p>
    <w:p w14:paraId="0782B355">
      <w:pPr>
        <w:shd w:val="clea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149248CB">
      <w:pPr>
        <w:shd w:val="clear"/>
        <w:spacing w:line="480" w:lineRule="auto"/>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广东建瀚工程管理有限公司</w:t>
      </w:r>
      <w:r>
        <w:rPr>
          <w:rFonts w:hint="eastAsia" w:ascii="宋体" w:hAnsi="宋体"/>
          <w:color w:val="auto"/>
          <w:szCs w:val="21"/>
          <w:highlight w:val="none"/>
        </w:rPr>
        <w:t>：</w:t>
      </w:r>
    </w:p>
    <w:p w14:paraId="6867CE3F">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6A8526D2">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167FACDF">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66659F58">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3225883F">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14:paraId="435C2C6A">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14:paraId="24F922F6">
      <w:pPr>
        <w:shd w:val="clea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70475A98">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5A1AFE78">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6B7D3358">
      <w:pPr>
        <w:shd w:val="clea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5B2766AF">
      <w:pPr>
        <w:shd w:val="clea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14:paraId="51047112">
      <w:pPr>
        <w:shd w:val="clear"/>
        <w:spacing w:line="480" w:lineRule="auto"/>
        <w:rPr>
          <w:rFonts w:ascii="宋体" w:hAnsi="宋体"/>
          <w:color w:val="auto"/>
          <w:szCs w:val="21"/>
          <w:highlight w:val="none"/>
        </w:rPr>
      </w:pPr>
      <w:r>
        <w:rPr>
          <w:rFonts w:hint="eastAsia" w:ascii="宋体" w:hAnsi="宋体"/>
          <w:color w:val="auto"/>
          <w:szCs w:val="21"/>
          <w:highlight w:val="none"/>
        </w:rPr>
        <w:t>单位名称：</w:t>
      </w:r>
    </w:p>
    <w:p w14:paraId="7C1266CE">
      <w:pPr>
        <w:shd w:val="clear"/>
        <w:spacing w:line="480" w:lineRule="auto"/>
        <w:rPr>
          <w:rFonts w:ascii="宋体" w:hAnsi="宋体"/>
          <w:color w:val="auto"/>
          <w:szCs w:val="21"/>
          <w:highlight w:val="none"/>
        </w:rPr>
      </w:pPr>
      <w:r>
        <w:rPr>
          <w:rFonts w:hint="eastAsia" w:ascii="宋体" w:hAnsi="宋体"/>
          <w:color w:val="auto"/>
          <w:szCs w:val="21"/>
          <w:highlight w:val="none"/>
        </w:rPr>
        <w:t>单位地址：</w:t>
      </w:r>
    </w:p>
    <w:p w14:paraId="00B29D80">
      <w:pPr>
        <w:shd w:val="clear"/>
        <w:spacing w:line="480" w:lineRule="auto"/>
        <w:rPr>
          <w:rFonts w:ascii="宋体" w:hAnsi="宋体"/>
          <w:color w:val="auto"/>
          <w:szCs w:val="21"/>
          <w:highlight w:val="none"/>
        </w:rPr>
      </w:pPr>
      <w:r>
        <w:rPr>
          <w:rFonts w:hint="eastAsia" w:ascii="宋体" w:hAnsi="宋体"/>
          <w:color w:val="auto"/>
          <w:szCs w:val="21"/>
          <w:highlight w:val="none"/>
        </w:rPr>
        <w:t>联系人：</w:t>
      </w:r>
    </w:p>
    <w:p w14:paraId="14E729C3">
      <w:pPr>
        <w:shd w:val="clea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14:paraId="45377957">
      <w:pPr>
        <w:shd w:val="clear"/>
        <w:spacing w:line="480" w:lineRule="auto"/>
        <w:rPr>
          <w:rFonts w:ascii="宋体" w:hAnsi="宋体"/>
          <w:color w:val="auto"/>
          <w:szCs w:val="21"/>
          <w:highlight w:val="none"/>
        </w:rPr>
      </w:pPr>
      <w:r>
        <w:rPr>
          <w:rFonts w:hint="eastAsia" w:ascii="宋体" w:hAnsi="宋体"/>
          <w:color w:val="auto"/>
          <w:szCs w:val="21"/>
          <w:highlight w:val="none"/>
        </w:rPr>
        <w:t>联系人手机：</w:t>
      </w:r>
    </w:p>
    <w:p w14:paraId="03A530E5">
      <w:pPr>
        <w:shd w:val="clear"/>
        <w:rPr>
          <w:rFonts w:ascii="宋体" w:hAnsi="宋体"/>
          <w:color w:val="auto"/>
          <w:szCs w:val="21"/>
          <w:highlight w:val="none"/>
        </w:rPr>
      </w:pPr>
    </w:p>
    <w:p w14:paraId="11A6589B">
      <w:pPr>
        <w:shd w:val="clea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6627DCBC">
      <w:pPr>
        <w:shd w:val="clea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F175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522" w:type="dxa"/>
            <w:vAlign w:val="center"/>
          </w:tcPr>
          <w:p w14:paraId="5C7BA5FD">
            <w:pPr>
              <w:shd w:val="clea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38465D65">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67B7A743">
      <w:pPr>
        <w:shd w:val="clear"/>
        <w:rPr>
          <w:rFonts w:ascii="宋体" w:hAnsi="宋体"/>
          <w:color w:val="auto"/>
          <w:szCs w:val="21"/>
          <w:highlight w:val="none"/>
        </w:rPr>
      </w:pPr>
    </w:p>
    <w:p w14:paraId="68DB82C6">
      <w:pPr>
        <w:shd w:val="clear"/>
        <w:rPr>
          <w:rFonts w:ascii="宋体" w:hAnsi="宋体"/>
          <w:color w:val="auto"/>
          <w:szCs w:val="21"/>
          <w:highlight w:val="none"/>
        </w:rPr>
      </w:pPr>
    </w:p>
    <w:p w14:paraId="04CE7D69">
      <w:pPr>
        <w:shd w:val="clear"/>
        <w:rPr>
          <w:rFonts w:ascii="宋体" w:hAnsi="宋体"/>
          <w:color w:val="auto"/>
          <w:szCs w:val="21"/>
          <w:highlight w:val="none"/>
        </w:rPr>
      </w:pPr>
    </w:p>
    <w:p w14:paraId="274A2FD8">
      <w:pPr>
        <w:shd w:val="clear"/>
        <w:rPr>
          <w:rFonts w:ascii="宋体" w:hAnsi="宋体"/>
          <w:color w:val="auto"/>
          <w:szCs w:val="21"/>
          <w:highlight w:val="none"/>
        </w:rPr>
      </w:pPr>
    </w:p>
    <w:p w14:paraId="441B8F47">
      <w:pPr>
        <w:shd w:val="clear"/>
        <w:rPr>
          <w:rFonts w:ascii="宋体" w:hAnsi="宋体"/>
          <w:color w:val="auto"/>
          <w:szCs w:val="21"/>
          <w:highlight w:val="none"/>
        </w:rPr>
      </w:pPr>
    </w:p>
    <w:p w14:paraId="2AF4F13B">
      <w:pPr>
        <w:shd w:val="clear"/>
        <w:rPr>
          <w:rFonts w:ascii="宋体" w:hAnsi="宋体"/>
          <w:color w:val="auto"/>
          <w:szCs w:val="21"/>
          <w:highlight w:val="none"/>
        </w:rPr>
      </w:pPr>
    </w:p>
    <w:p w14:paraId="00DD77FB">
      <w:pPr>
        <w:shd w:val="clear"/>
        <w:rPr>
          <w:rFonts w:ascii="宋体" w:hAnsi="宋体"/>
          <w:color w:val="auto"/>
          <w:szCs w:val="21"/>
          <w:highlight w:val="none"/>
        </w:rPr>
      </w:pPr>
    </w:p>
    <w:p w14:paraId="5F84DAB0">
      <w:pPr>
        <w:shd w:val="clear"/>
        <w:rPr>
          <w:rFonts w:ascii="宋体" w:hAnsi="宋体"/>
          <w:color w:val="auto"/>
          <w:szCs w:val="21"/>
          <w:highlight w:val="none"/>
        </w:rPr>
      </w:pPr>
    </w:p>
    <w:p w14:paraId="6DDEAAD2">
      <w:pPr>
        <w:shd w:val="clear"/>
        <w:rPr>
          <w:rFonts w:ascii="宋体" w:hAnsi="宋体"/>
          <w:color w:val="auto"/>
          <w:szCs w:val="21"/>
          <w:highlight w:val="none"/>
        </w:rPr>
      </w:pPr>
    </w:p>
    <w:p w14:paraId="173916B5">
      <w:pPr>
        <w:shd w:val="clear"/>
        <w:rPr>
          <w:rFonts w:ascii="宋体" w:hAnsi="宋体"/>
          <w:color w:val="auto"/>
          <w:szCs w:val="21"/>
          <w:highlight w:val="none"/>
        </w:rPr>
      </w:pPr>
    </w:p>
    <w:p w14:paraId="06399279">
      <w:pPr>
        <w:shd w:val="clear"/>
        <w:rPr>
          <w:rFonts w:ascii="宋体" w:hAnsi="宋体"/>
          <w:color w:val="auto"/>
          <w:szCs w:val="21"/>
          <w:highlight w:val="none"/>
        </w:rPr>
      </w:pPr>
    </w:p>
    <w:p w14:paraId="69872EA8">
      <w:pPr>
        <w:shd w:val="clear"/>
        <w:rPr>
          <w:rFonts w:ascii="宋体" w:hAnsi="宋体"/>
          <w:color w:val="auto"/>
          <w:szCs w:val="21"/>
          <w:highlight w:val="none"/>
        </w:rPr>
      </w:pPr>
    </w:p>
    <w:p w14:paraId="181BCAD4">
      <w:pPr>
        <w:shd w:val="clear"/>
        <w:rPr>
          <w:rFonts w:ascii="宋体" w:hAnsi="宋体"/>
          <w:color w:val="auto"/>
          <w:szCs w:val="21"/>
          <w:highlight w:val="none"/>
        </w:rPr>
      </w:pPr>
    </w:p>
    <w:p w14:paraId="585B87FB">
      <w:pPr>
        <w:shd w:val="clear"/>
        <w:rPr>
          <w:rFonts w:ascii="宋体" w:hAnsi="宋体"/>
          <w:color w:val="auto"/>
          <w:szCs w:val="21"/>
          <w:highlight w:val="none"/>
        </w:rPr>
      </w:pPr>
    </w:p>
    <w:p w14:paraId="6AD02AF5">
      <w:pPr>
        <w:shd w:val="clear"/>
        <w:rPr>
          <w:rFonts w:ascii="宋体" w:hAnsi="宋体"/>
          <w:color w:val="auto"/>
          <w:szCs w:val="21"/>
          <w:highlight w:val="none"/>
        </w:rPr>
      </w:pPr>
    </w:p>
    <w:p w14:paraId="7E9E3F84">
      <w:pPr>
        <w:shd w:val="clear"/>
        <w:rPr>
          <w:rFonts w:ascii="宋体" w:hAnsi="宋体"/>
          <w:color w:val="auto"/>
          <w:szCs w:val="21"/>
          <w:highlight w:val="none"/>
        </w:rPr>
      </w:pPr>
    </w:p>
    <w:p w14:paraId="2130DC21">
      <w:pPr>
        <w:shd w:val="clear"/>
        <w:rPr>
          <w:rFonts w:ascii="宋体" w:hAnsi="宋体"/>
          <w:color w:val="auto"/>
          <w:szCs w:val="21"/>
          <w:highlight w:val="none"/>
        </w:rPr>
      </w:pPr>
    </w:p>
    <w:p w14:paraId="159C9857">
      <w:pPr>
        <w:shd w:val="clear"/>
        <w:rPr>
          <w:rFonts w:ascii="宋体" w:hAnsi="宋体"/>
          <w:color w:val="auto"/>
          <w:szCs w:val="21"/>
          <w:highlight w:val="none"/>
        </w:rPr>
      </w:pPr>
    </w:p>
    <w:p w14:paraId="03AE8494">
      <w:pPr>
        <w:shd w:val="clear"/>
        <w:rPr>
          <w:rFonts w:ascii="宋体" w:hAnsi="宋体"/>
          <w:color w:val="auto"/>
          <w:szCs w:val="21"/>
          <w:highlight w:val="none"/>
        </w:rPr>
      </w:pPr>
    </w:p>
    <w:p w14:paraId="2046BC51">
      <w:pPr>
        <w:shd w:val="clear"/>
        <w:rPr>
          <w:rFonts w:ascii="宋体" w:hAnsi="宋体"/>
          <w:color w:val="auto"/>
          <w:szCs w:val="21"/>
          <w:highlight w:val="none"/>
        </w:rPr>
      </w:pPr>
    </w:p>
    <w:p w14:paraId="15FA7143">
      <w:pPr>
        <w:shd w:val="clear"/>
        <w:rPr>
          <w:rFonts w:ascii="宋体" w:hAnsi="宋体"/>
          <w:color w:val="auto"/>
          <w:szCs w:val="21"/>
          <w:highlight w:val="none"/>
        </w:rPr>
      </w:pPr>
    </w:p>
    <w:p w14:paraId="0661467A">
      <w:pPr>
        <w:pStyle w:val="8"/>
        <w:numPr>
          <w:ilvl w:val="255"/>
          <w:numId w:val="0"/>
        </w:numPr>
        <w:shd w:val="clear"/>
        <w:tabs>
          <w:tab w:val="left" w:pos="720"/>
          <w:tab w:val="left" w:pos="3840"/>
        </w:tabs>
        <w:jc w:val="both"/>
        <w:rPr>
          <w:rFonts w:ascii="宋体" w:hAnsi="宋体"/>
          <w:color w:val="auto"/>
          <w:sz w:val="21"/>
          <w:szCs w:val="21"/>
          <w:highlight w:val="none"/>
        </w:rPr>
      </w:pPr>
      <w:bookmarkStart w:id="160" w:name="_Toc1562"/>
      <w:bookmarkStart w:id="161" w:name="_Toc28623"/>
      <w:bookmarkStart w:id="162" w:name="_Toc17028"/>
      <w:bookmarkStart w:id="163" w:name="_Toc25861"/>
      <w:bookmarkStart w:id="164" w:name="_Toc14605"/>
      <w:bookmarkStart w:id="165" w:name="_Toc2144"/>
      <w:bookmarkStart w:id="166" w:name="_Toc29855"/>
      <w:bookmarkStart w:id="167" w:name="_Toc30291"/>
      <w:bookmarkStart w:id="168" w:name="_Toc18296"/>
      <w:bookmarkStart w:id="169" w:name="_Toc19947"/>
      <w:bookmarkStart w:id="170" w:name="_Toc486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21</w:t>
      </w:r>
      <w:r>
        <w:rPr>
          <w:rFonts w:hint="eastAsia" w:ascii="宋体" w:hAnsi="宋体"/>
          <w:color w:val="auto"/>
          <w:sz w:val="21"/>
          <w:szCs w:val="21"/>
          <w:highlight w:val="none"/>
        </w:rPr>
        <w:t>.不可撤销履约保函</w:t>
      </w:r>
      <w:bookmarkEnd w:id="160"/>
      <w:bookmarkEnd w:id="161"/>
      <w:bookmarkEnd w:id="162"/>
      <w:bookmarkEnd w:id="163"/>
      <w:bookmarkEnd w:id="164"/>
      <w:bookmarkEnd w:id="165"/>
      <w:bookmarkEnd w:id="166"/>
      <w:bookmarkEnd w:id="167"/>
      <w:bookmarkEnd w:id="168"/>
      <w:bookmarkEnd w:id="169"/>
      <w:bookmarkEnd w:id="170"/>
    </w:p>
    <w:p w14:paraId="727A6D7B">
      <w:pPr>
        <w:shd w:val="clear"/>
        <w:jc w:val="center"/>
        <w:rPr>
          <w:rFonts w:ascii="宋体" w:hAnsi="宋体"/>
          <w:color w:val="auto"/>
          <w:highlight w:val="none"/>
        </w:rPr>
      </w:pPr>
      <w:r>
        <w:rPr>
          <w:rFonts w:hint="eastAsia" w:ascii="宋体" w:hAnsi="宋体"/>
          <w:color w:val="auto"/>
          <w:highlight w:val="none"/>
        </w:rPr>
        <w:t>银行编号：</w:t>
      </w:r>
    </w:p>
    <w:p w14:paraId="09AF3248">
      <w:pPr>
        <w:shd w:val="clea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1BAA6F11">
      <w:pPr>
        <w:shd w:val="clea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14:paraId="4A0711F4">
      <w:pPr>
        <w:shd w:val="clea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631F1D29">
      <w:pPr>
        <w:shd w:val="clea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14:paraId="2DF22FF8">
      <w:pPr>
        <w:shd w:val="clea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66E9E124">
      <w:pPr>
        <w:shd w:val="clea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100EF668">
      <w:pPr>
        <w:shd w:val="clear"/>
        <w:ind w:firstLine="2824" w:firstLineChars="1345"/>
        <w:rPr>
          <w:rFonts w:ascii="宋体" w:hAnsi="宋体"/>
          <w:color w:val="auto"/>
          <w:highlight w:val="none"/>
        </w:rPr>
      </w:pPr>
    </w:p>
    <w:p w14:paraId="4309BD1C">
      <w:pPr>
        <w:shd w:val="clea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14:paraId="703E8AA5">
      <w:pPr>
        <w:shd w:val="clea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14:paraId="7A4181DD">
      <w:pPr>
        <w:shd w:val="clea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14:paraId="2CC20949">
      <w:pPr>
        <w:shd w:val="clea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14:paraId="284954D7">
      <w:pPr>
        <w:shd w:val="clea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14:paraId="2BC306C5">
      <w:pPr>
        <w:pStyle w:val="3"/>
        <w:shd w:val="clear"/>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1550D5B0">
      <w:pPr>
        <w:shd w:val="clear"/>
        <w:rPr>
          <w:rFonts w:ascii="宋体" w:hAnsi="宋体"/>
          <w:color w:val="auto"/>
          <w:szCs w:val="21"/>
          <w:highlight w:val="none"/>
        </w:rPr>
      </w:pPr>
    </w:p>
    <w:p w14:paraId="51A93788">
      <w:pPr>
        <w:shd w:val="clear"/>
        <w:rPr>
          <w:rFonts w:ascii="宋体" w:hAnsi="宋体"/>
          <w:color w:val="auto"/>
          <w:szCs w:val="21"/>
          <w:highlight w:val="none"/>
        </w:rPr>
        <w:sectPr>
          <w:pgSz w:w="11906" w:h="16838"/>
          <w:pgMar w:top="1440" w:right="1800" w:bottom="1440" w:left="1800" w:header="708" w:footer="708" w:gutter="0"/>
          <w:pgNumType w:fmt="decimal"/>
          <w:cols w:space="708" w:num="1"/>
          <w:titlePg/>
          <w:docGrid w:type="lines" w:linePitch="360" w:charSpace="0"/>
        </w:sectPr>
      </w:pPr>
    </w:p>
    <w:p w14:paraId="23D95D7B">
      <w:pPr>
        <w:pStyle w:val="8"/>
        <w:numPr>
          <w:ilvl w:val="255"/>
          <w:numId w:val="0"/>
        </w:numPr>
        <w:shd w:val="clear"/>
        <w:tabs>
          <w:tab w:val="left" w:pos="720"/>
          <w:tab w:val="left" w:pos="3840"/>
        </w:tabs>
        <w:ind w:left="283"/>
        <w:jc w:val="both"/>
        <w:rPr>
          <w:rFonts w:ascii="宋体" w:hAnsi="宋体"/>
          <w:color w:val="auto"/>
          <w:sz w:val="21"/>
          <w:szCs w:val="21"/>
          <w:highlight w:val="none"/>
        </w:rPr>
      </w:pPr>
      <w:bookmarkStart w:id="171" w:name="_Toc1313"/>
      <w:bookmarkStart w:id="172" w:name="_Toc16046"/>
      <w:r>
        <w:rPr>
          <w:rFonts w:hint="eastAsia" w:ascii="宋体" w:hAnsi="宋体"/>
          <w:color w:val="auto"/>
          <w:sz w:val="21"/>
          <w:szCs w:val="21"/>
          <w:highlight w:val="none"/>
        </w:rPr>
        <w:t>附件2</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.预付款保函</w:t>
      </w:r>
      <w:bookmarkEnd w:id="171"/>
      <w:r>
        <w:rPr>
          <w:rFonts w:hint="eastAsia" w:ascii="宋体" w:hAnsi="宋体"/>
          <w:color w:val="auto"/>
          <w:sz w:val="21"/>
          <w:szCs w:val="21"/>
          <w:highlight w:val="none"/>
        </w:rPr>
        <w:t>（适用于预付款支付）</w:t>
      </w:r>
      <w:bookmarkEnd w:id="172"/>
    </w:p>
    <w:p w14:paraId="059610F1">
      <w:pPr>
        <w:pStyle w:val="3"/>
        <w:shd w:val="clear"/>
        <w:rPr>
          <w:color w:val="auto"/>
          <w:szCs w:val="24"/>
          <w:highlight w:val="none"/>
        </w:rPr>
      </w:pPr>
    </w:p>
    <w:p w14:paraId="723046CC">
      <w:pPr>
        <w:shd w:val="clear"/>
        <w:jc w:val="center"/>
        <w:rPr>
          <w:rFonts w:ascii="黑体" w:eastAsia="黑体"/>
          <w:color w:val="auto"/>
          <w:sz w:val="28"/>
          <w:szCs w:val="28"/>
          <w:highlight w:val="none"/>
        </w:rPr>
      </w:pPr>
      <w:bookmarkStart w:id="173" w:name="_Toc20669"/>
      <w:bookmarkStart w:id="174" w:name="_Toc27545"/>
      <w:bookmarkStart w:id="175" w:name="_Toc10719"/>
      <w:bookmarkStart w:id="176" w:name="_Toc31418"/>
      <w:bookmarkStart w:id="177" w:name="_Toc10315"/>
      <w:bookmarkStart w:id="178" w:name="_Toc25494"/>
      <w:bookmarkStart w:id="179" w:name="_Toc3295"/>
      <w:bookmarkStart w:id="180" w:name="_Toc6877"/>
      <w:bookmarkStart w:id="181" w:name="_Toc29728"/>
      <w:bookmarkStart w:id="182" w:name="_Toc29054"/>
      <w:bookmarkStart w:id="183" w:name="_Toc7374"/>
      <w:bookmarkStart w:id="184" w:name="_Toc1039"/>
      <w:r>
        <w:rPr>
          <w:rFonts w:hint="eastAsia" w:ascii="黑体" w:eastAsia="黑体"/>
          <w:color w:val="auto"/>
          <w:sz w:val="28"/>
          <w:szCs w:val="28"/>
          <w:highlight w:val="none"/>
        </w:rPr>
        <w:t>不可撤销预付款保函</w:t>
      </w:r>
      <w:bookmarkEnd w:id="173"/>
      <w:bookmarkEnd w:id="174"/>
      <w:bookmarkEnd w:id="175"/>
      <w:bookmarkEnd w:id="176"/>
      <w:bookmarkEnd w:id="177"/>
      <w:bookmarkEnd w:id="178"/>
      <w:bookmarkEnd w:id="179"/>
      <w:bookmarkEnd w:id="180"/>
      <w:bookmarkEnd w:id="181"/>
      <w:bookmarkEnd w:id="182"/>
      <w:bookmarkEnd w:id="183"/>
      <w:bookmarkEnd w:id="184"/>
    </w:p>
    <w:p w14:paraId="143BA55D">
      <w:pPr>
        <w:shd w:val="clea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14:paraId="73EB009F">
      <w:pPr>
        <w:shd w:val="clear"/>
        <w:ind w:firstLine="6300"/>
        <w:rPr>
          <w:color w:val="auto"/>
          <w:szCs w:val="21"/>
          <w:highlight w:val="none"/>
        </w:rPr>
      </w:pPr>
    </w:p>
    <w:p w14:paraId="2F030BA7">
      <w:pPr>
        <w:shd w:val="clea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14:paraId="7C49C7C2">
      <w:pPr>
        <w:shd w:val="clea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14:paraId="2548EF3E">
      <w:pPr>
        <w:shd w:val="clear"/>
        <w:ind w:firstLine="437"/>
        <w:rPr>
          <w:rFonts w:ascii="宋体" w:hAnsi="宋体"/>
          <w:color w:val="auto"/>
          <w:szCs w:val="21"/>
          <w:highlight w:val="none"/>
        </w:rPr>
      </w:pPr>
      <w:r>
        <w:rPr>
          <w:rFonts w:hint="eastAsia" w:ascii="宋体" w:hAnsi="宋体"/>
          <w:color w:val="auto"/>
          <w:szCs w:val="24"/>
          <w:highlight w:val="none"/>
        </w:rPr>
        <w:t>根据上述合同（招标文件）规定，中标人应向采购人提供一份金额为合同总价的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14:paraId="295FD84C">
      <w:pPr>
        <w:shd w:val="clea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522B26B6">
      <w:pPr>
        <w:shd w:val="clea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220F88F0">
      <w:pPr>
        <w:shd w:val="clea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14:paraId="0CF08991">
      <w:pPr>
        <w:shd w:val="clear"/>
        <w:rPr>
          <w:rFonts w:ascii="宋体" w:hAnsi="宋体"/>
          <w:color w:val="auto"/>
          <w:szCs w:val="21"/>
          <w:highlight w:val="none"/>
        </w:rPr>
      </w:pPr>
    </w:p>
    <w:p w14:paraId="664D3DFC">
      <w:pPr>
        <w:shd w:val="clear"/>
        <w:ind w:firstLine="437"/>
        <w:rPr>
          <w:rFonts w:ascii="宋体" w:hAnsi="宋体"/>
          <w:color w:val="auto"/>
          <w:szCs w:val="21"/>
          <w:highlight w:val="none"/>
        </w:rPr>
      </w:pPr>
    </w:p>
    <w:p w14:paraId="125C8B89">
      <w:pPr>
        <w:shd w:val="clea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14:paraId="269EFF57">
      <w:pPr>
        <w:shd w:val="clea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14:paraId="77FC8085">
      <w:pPr>
        <w:shd w:val="clea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14:paraId="6BEB91D2">
      <w:pPr>
        <w:shd w:val="clea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14:paraId="137F04BF">
      <w:pPr>
        <w:shd w:val="clea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14:paraId="1258CD1C">
      <w:pPr>
        <w:pStyle w:val="3"/>
        <w:shd w:val="clear"/>
        <w:rPr>
          <w:color w:val="auto"/>
          <w:szCs w:val="21"/>
          <w:highlight w:val="none"/>
        </w:rPr>
      </w:pPr>
    </w:p>
    <w:p w14:paraId="77D2EC80">
      <w:pPr>
        <w:pStyle w:val="3"/>
        <w:shd w:val="clear"/>
        <w:rPr>
          <w:color w:val="auto"/>
          <w:szCs w:val="21"/>
          <w:highlight w:val="none"/>
        </w:rPr>
      </w:pPr>
    </w:p>
    <w:p w14:paraId="15AB5188">
      <w:pPr>
        <w:shd w:val="clea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14:paraId="3CFF1714">
      <w:pPr>
        <w:shd w:val="clear"/>
        <w:rPr>
          <w:rFonts w:ascii="宋体" w:hAnsi="宋体"/>
          <w:color w:val="auto"/>
          <w:szCs w:val="21"/>
          <w:highlight w:val="none"/>
        </w:rPr>
        <w:sectPr>
          <w:pgSz w:w="11906" w:h="16838"/>
          <w:pgMar w:top="1440" w:right="1800" w:bottom="1440" w:left="1800" w:header="708" w:footer="708" w:gutter="0"/>
          <w:pgNumType w:fmt="decimal"/>
          <w:cols w:space="708" w:num="1"/>
          <w:titlePg/>
          <w:docGrid w:type="lines" w:linePitch="360" w:charSpace="0"/>
        </w:sectPr>
      </w:pPr>
    </w:p>
    <w:p w14:paraId="6D417FDB">
      <w:pPr>
        <w:shd w:val="clear"/>
        <w:jc w:val="center"/>
        <w:outlineLvl w:val="9"/>
        <w:rPr>
          <w:rFonts w:hint="eastAsia" w:eastAsia="黑体"/>
          <w:color w:val="auto"/>
          <w:sz w:val="72"/>
          <w:szCs w:val="72"/>
          <w:highlight w:val="none"/>
        </w:rPr>
      </w:pPr>
    </w:p>
    <w:p w14:paraId="65DEF309">
      <w:pPr>
        <w:shd w:val="clear"/>
        <w:jc w:val="center"/>
        <w:outlineLvl w:val="9"/>
        <w:rPr>
          <w:rFonts w:hint="eastAsia" w:eastAsia="黑体"/>
          <w:color w:val="auto"/>
          <w:sz w:val="72"/>
          <w:szCs w:val="72"/>
          <w:highlight w:val="none"/>
        </w:rPr>
      </w:pPr>
    </w:p>
    <w:p w14:paraId="4522D299">
      <w:pPr>
        <w:shd w:val="clear"/>
        <w:jc w:val="center"/>
        <w:outlineLvl w:val="9"/>
        <w:rPr>
          <w:rFonts w:hint="eastAsia" w:eastAsia="黑体"/>
          <w:color w:val="auto"/>
          <w:sz w:val="72"/>
          <w:szCs w:val="72"/>
          <w:highlight w:val="none"/>
        </w:rPr>
      </w:pPr>
    </w:p>
    <w:p w14:paraId="00BC31C0">
      <w:pPr>
        <w:shd w:val="clear"/>
        <w:jc w:val="center"/>
        <w:outlineLvl w:val="1"/>
        <w:rPr>
          <w:rFonts w:eastAsia="黑体"/>
          <w:color w:val="auto"/>
          <w:sz w:val="72"/>
          <w:szCs w:val="72"/>
          <w:highlight w:val="none"/>
        </w:rPr>
      </w:pPr>
      <w:bookmarkStart w:id="185" w:name="_Toc10893"/>
      <w:r>
        <w:rPr>
          <w:rFonts w:hint="eastAsia" w:eastAsia="黑体"/>
          <w:color w:val="auto"/>
          <w:sz w:val="72"/>
          <w:szCs w:val="72"/>
          <w:highlight w:val="none"/>
        </w:rPr>
        <w:t>唱标信封</w:t>
      </w:r>
      <w:bookmarkEnd w:id="185"/>
    </w:p>
    <w:p w14:paraId="31922821">
      <w:pPr>
        <w:shd w:val="clea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2182CDC5">
      <w:pPr>
        <w:shd w:val="clear"/>
        <w:rPr>
          <w:color w:val="auto"/>
          <w:highlight w:val="none"/>
        </w:rPr>
      </w:pPr>
    </w:p>
    <w:p w14:paraId="2DEDAEC6">
      <w:pPr>
        <w:pStyle w:val="12"/>
        <w:shd w:val="clear"/>
        <w:rPr>
          <w:color w:val="auto"/>
          <w:highlight w:val="none"/>
        </w:rPr>
      </w:pPr>
    </w:p>
    <w:p w14:paraId="49E27AFB">
      <w:pPr>
        <w:shd w:val="clear"/>
        <w:ind w:firstLine="240"/>
        <w:rPr>
          <w:color w:val="auto"/>
          <w:highlight w:val="none"/>
        </w:rPr>
      </w:pPr>
    </w:p>
    <w:p w14:paraId="53423848">
      <w:pPr>
        <w:shd w:val="clear"/>
        <w:ind w:firstLine="240"/>
        <w:rPr>
          <w:color w:val="auto"/>
          <w:highlight w:val="none"/>
        </w:rPr>
      </w:pPr>
    </w:p>
    <w:p w14:paraId="57E4D755">
      <w:pPr>
        <w:shd w:val="clea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035FC17D">
      <w:pPr>
        <w:shd w:val="clea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09458994">
      <w:pPr>
        <w:pStyle w:val="12"/>
        <w:shd w:val="clear"/>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22C0DE75">
      <w:pPr>
        <w:shd w:val="clea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140BDF1C">
      <w:pPr>
        <w:shd w:val="clea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14:paraId="2E550F19">
      <w:pPr>
        <w:shd w:val="clear"/>
        <w:rPr>
          <w:rFonts w:ascii="宋体" w:hAnsi="宋体"/>
          <w:color w:val="auto"/>
          <w:szCs w:val="21"/>
          <w:highlight w:val="none"/>
        </w:rPr>
      </w:pPr>
      <w:r>
        <w:rPr>
          <w:rFonts w:hint="eastAsia" w:ascii="宋体" w:hAnsi="宋体"/>
          <w:color w:val="auto"/>
          <w:szCs w:val="21"/>
          <w:highlight w:val="none"/>
        </w:rPr>
        <w:br w:type="page"/>
      </w:r>
    </w:p>
    <w:p w14:paraId="1DD58F74">
      <w:pPr>
        <w:pStyle w:val="8"/>
        <w:numPr>
          <w:ilvl w:val="255"/>
          <w:numId w:val="0"/>
        </w:numPr>
        <w:shd w:val="clear"/>
        <w:tabs>
          <w:tab w:val="left" w:pos="720"/>
          <w:tab w:val="left" w:pos="3840"/>
        </w:tabs>
        <w:ind w:left="283"/>
        <w:jc w:val="both"/>
        <w:rPr>
          <w:rFonts w:ascii="宋体" w:hAnsi="宋体"/>
          <w:color w:val="auto"/>
          <w:sz w:val="21"/>
          <w:szCs w:val="21"/>
          <w:highlight w:val="none"/>
        </w:rPr>
      </w:pPr>
      <w:bookmarkStart w:id="186" w:name="_Toc20558"/>
      <w:r>
        <w:rPr>
          <w:rFonts w:hint="eastAsia" w:ascii="宋体" w:hAnsi="宋体"/>
          <w:color w:val="auto"/>
          <w:sz w:val="21"/>
          <w:szCs w:val="21"/>
          <w:highlight w:val="none"/>
        </w:rPr>
        <w:t>附件2</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.唱标信封内装（内容务必与投标文件正本一致）</w:t>
      </w:r>
      <w:bookmarkEnd w:id="186"/>
    </w:p>
    <w:p w14:paraId="62DD7F22">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一、</w:t>
      </w:r>
      <w:r>
        <w:rPr>
          <w:rFonts w:hint="eastAsia" w:hAnsi="宋体"/>
          <w:color w:val="auto"/>
          <w:szCs w:val="21"/>
          <w:highlight w:val="none"/>
        </w:rPr>
        <w:t>开标一览表加盖公章；</w:t>
      </w:r>
    </w:p>
    <w:p w14:paraId="21E455D2">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二、</w:t>
      </w:r>
      <w:r>
        <w:rPr>
          <w:rFonts w:hint="eastAsia" w:hAnsi="宋体"/>
          <w:color w:val="auto"/>
          <w:szCs w:val="21"/>
          <w:highlight w:val="none"/>
        </w:rPr>
        <w:t>法定代表人证明书加盖公章；</w:t>
      </w:r>
    </w:p>
    <w:p w14:paraId="724F1C76">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三、</w:t>
      </w:r>
      <w:r>
        <w:rPr>
          <w:rFonts w:hint="eastAsia" w:hAnsi="宋体"/>
          <w:color w:val="auto"/>
          <w:szCs w:val="21"/>
          <w:highlight w:val="none"/>
        </w:rPr>
        <w:t>法定代表人授权委托书加盖公章（法定代表人投标的除外）；</w:t>
      </w:r>
    </w:p>
    <w:p w14:paraId="1A24B48B">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四、</w:t>
      </w:r>
      <w:r>
        <w:rPr>
          <w:rFonts w:hint="eastAsia" w:hAnsi="宋体"/>
          <w:color w:val="auto"/>
          <w:szCs w:val="21"/>
          <w:highlight w:val="none"/>
        </w:rPr>
        <w:t>投标保证金汇入情况说明（含银行汇款凭证）或投标保函加盖公章；</w:t>
      </w:r>
    </w:p>
    <w:p w14:paraId="4E63F880">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五、</w:t>
      </w:r>
      <w:r>
        <w:rPr>
          <w:rFonts w:hint="eastAsia" w:hAnsi="宋体"/>
          <w:color w:val="auto"/>
          <w:szCs w:val="21"/>
          <w:highlight w:val="none"/>
        </w:rPr>
        <w:t>投标文件电子文件（U盘，须含盖章版PDF投标文件和WORD版投标文件各一版，文字采用WORD文档，计算表格采用 EXCEL文档。）</w:t>
      </w:r>
    </w:p>
    <w:p w14:paraId="3622D362">
      <w:pPr>
        <w:shd w:val="clear"/>
        <w:rPr>
          <w:rFonts w:ascii="宋体" w:hAnsi="宋体" w:cs="宋体"/>
          <w:color w:val="auto"/>
          <w:szCs w:val="21"/>
          <w:highlight w:val="none"/>
        </w:rPr>
      </w:pPr>
      <w:bookmarkStart w:id="187" w:name="_GoBack"/>
      <w:bookmarkEnd w:id="187"/>
    </w:p>
    <w:sectPr>
      <w:pgSz w:w="11906" w:h="16838"/>
      <w:pgMar w:top="1440" w:right="1800" w:bottom="1440" w:left="1800" w:header="708" w:footer="708" w:gutter="0"/>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 w:name="Calibri Light">
    <w:panose1 w:val="020F03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8FB15">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F8A36B">
                          <w:pPr>
                            <w:pStyle w:val="1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76F8A36B">
                    <w:pPr>
                      <w:pStyle w:val="1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270A2">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54C2F">
    <w:pPr>
      <w:pStyle w:val="1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DB8EA2">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9DB8EA2">
                    <w:pPr>
                      <w:pStyle w:val="18"/>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AE27C9">
                          <w:pPr>
                            <w:pStyle w:val="1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DAE27C9">
                    <w:pPr>
                      <w:pStyle w:val="18"/>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E98F8">
    <w:pPr>
      <w:pStyle w:val="1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59538E">
                          <w:pPr>
                            <w:pStyle w:val="18"/>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059538E">
                    <w:pPr>
                      <w:pStyle w:val="18"/>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807FD">
    <w:pPr>
      <w:pStyle w:val="18"/>
      <w:framePr w:wrap="around" w:vAnchor="text" w:hAnchor="text" w:xAlign="center" w:y="2"/>
      <w:rPr>
        <w:rStyle w:val="31"/>
      </w:rPr>
    </w:pPr>
    <w:r>
      <w:fldChar w:fldCharType="begin"/>
    </w:r>
    <w:r>
      <w:rPr>
        <w:rStyle w:val="31"/>
      </w:rPr>
      <w:instrText xml:space="preserve">PAGE  </w:instrText>
    </w:r>
    <w:r>
      <w:fldChar w:fldCharType="separate"/>
    </w:r>
    <w:r>
      <w:fldChar w:fldCharType="end"/>
    </w:r>
  </w:p>
  <w:p w14:paraId="78D6F368">
    <w:pPr>
      <w:pStyle w:val="1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DDA69">
    <w:pPr>
      <w:pStyle w:val="18"/>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719B4E">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6E719B4E">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E81B2">
    <w:pPr>
      <w:pStyle w:val="18"/>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913665">
                          <w:pPr>
                            <w:pStyle w:val="18"/>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6D913665">
                    <w:pPr>
                      <w:pStyle w:val="18"/>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93A95">
    <w:pPr>
      <w:pStyle w:val="18"/>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3E0895">
                          <w:pPr>
                            <w:pStyle w:val="18"/>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F3E0895">
                    <w:pPr>
                      <w:pStyle w:val="18"/>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622F9">
    <w:pPr>
      <w:pStyle w:val="18"/>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C9EAC">
                          <w:pPr>
                            <w:pStyle w:val="18"/>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1C3C9EAC">
                    <w:pPr>
                      <w:pStyle w:val="18"/>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458A1">
    <w:pPr>
      <w:pStyle w:val="18"/>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FD76F0">
                          <w:pPr>
                            <w:pStyle w:val="1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28FD76F0">
                    <w:pPr>
                      <w:pStyle w:val="18"/>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06AAE">
    <w:pPr>
      <w:pStyle w:val="1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62255">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19555">
    <w:pPr>
      <w:pStyle w:val="19"/>
      <w:pBdr>
        <w:top w:val="none" w:color="auto" w:sz="0" w:space="0"/>
        <w:left w:val="none" w:color="auto" w:sz="0" w:space="0"/>
        <w:bottom w:val="none" w:color="auto" w:sz="0" w:space="0"/>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878DD">
    <w:pPr>
      <w:pStyle w:val="19"/>
    </w:pPr>
    <w:r>
      <w:t xml:space="preserve">             </w:t>
    </w: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E0436">
    <w:pPr>
      <w:pStyle w:val="19"/>
    </w:pPr>
    <w:r>
      <w:t xml:space="preserve">             </w:t>
    </w:r>
    <w:r>
      <w:rPr>
        <w:rFonts w:hint="eastAsia"/>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5F9B4">
    <w:pPr>
      <w:pStyle w:val="19"/>
      <w:jc w:val="both"/>
      <w:rPr>
        <w:rFonts w:hint="eastAsia" w:eastAsia="宋体"/>
        <w:lang w:eastAsia="zh-CN"/>
      </w:rPr>
    </w:pPr>
    <w:r>
      <w:t xml:space="preserve">             </w:t>
    </w:r>
    <w:r>
      <w:rPr>
        <w:rFonts w:hint="eastAsia"/>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DFF597">
    <w:pPr>
      <w:pStyle w:val="19"/>
      <w:pBdr>
        <w:bottom w:val="none" w:color="auto" w:sz="0" w:space="1"/>
      </w:pBdr>
      <w:jc w:val="lef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FE1ED">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8459C"/>
    <w:multiLevelType w:val="singleLevel"/>
    <w:tmpl w:val="90A8459C"/>
    <w:lvl w:ilvl="0" w:tentative="0">
      <w:start w:val="5"/>
      <w:numFmt w:val="decimal"/>
      <w:suff w:val="nothing"/>
      <w:lvlText w:val="%1、"/>
      <w:lvlJc w:val="left"/>
    </w:lvl>
  </w:abstractNum>
  <w:abstractNum w:abstractNumId="1">
    <w:nsid w:val="917218B6"/>
    <w:multiLevelType w:val="multilevel"/>
    <w:tmpl w:val="917218B6"/>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default" w:ascii="仿宋_GB2312" w:hAnsi="仿宋_GB2312" w:eastAsia="仿宋_GB2312" w:cs="仿宋_GB2312"/>
        <w:sz w:val="24"/>
        <w:szCs w:val="24"/>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2">
    <w:nsid w:val="C9555E15"/>
    <w:multiLevelType w:val="singleLevel"/>
    <w:tmpl w:val="C9555E15"/>
    <w:lvl w:ilvl="0" w:tentative="0">
      <w:start w:val="1"/>
      <w:numFmt w:val="decimal"/>
      <w:lvlText w:val="(%1)"/>
      <w:lvlJc w:val="left"/>
      <w:pPr>
        <w:ind w:left="425" w:hanging="425"/>
      </w:pPr>
      <w:rPr>
        <w:rFonts w:hint="default"/>
      </w:rPr>
    </w:lvl>
  </w:abstractNum>
  <w:abstractNum w:abstractNumId="3">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CFF174A5"/>
    <w:multiLevelType w:val="singleLevel"/>
    <w:tmpl w:val="CFF174A5"/>
    <w:lvl w:ilvl="0" w:tentative="0">
      <w:start w:val="1"/>
      <w:numFmt w:val="decimal"/>
      <w:suff w:val="nothing"/>
      <w:lvlText w:val="%1、"/>
      <w:lvlJc w:val="left"/>
    </w:lvl>
  </w:abstractNum>
  <w:abstractNum w:abstractNumId="5">
    <w:nsid w:val="D0047B7E"/>
    <w:multiLevelType w:val="singleLevel"/>
    <w:tmpl w:val="D0047B7E"/>
    <w:lvl w:ilvl="0" w:tentative="0">
      <w:start w:val="1"/>
      <w:numFmt w:val="decimal"/>
      <w:suff w:val="nothing"/>
      <w:lvlText w:val="%1、"/>
      <w:lvlJc w:val="left"/>
    </w:lvl>
  </w:abstractNum>
  <w:abstractNum w:abstractNumId="6">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8">
    <w:nsid w:val="0F0AA287"/>
    <w:multiLevelType w:val="singleLevel"/>
    <w:tmpl w:val="0F0AA287"/>
    <w:lvl w:ilvl="0" w:tentative="0">
      <w:start w:val="5"/>
      <w:numFmt w:val="decimal"/>
      <w:suff w:val="nothing"/>
      <w:lvlText w:val="%1、"/>
      <w:lvlJc w:val="left"/>
    </w:lvl>
  </w:abstractNum>
  <w:abstractNum w:abstractNumId="9">
    <w:nsid w:val="20D2348B"/>
    <w:multiLevelType w:val="singleLevel"/>
    <w:tmpl w:val="20D2348B"/>
    <w:lvl w:ilvl="0" w:tentative="0">
      <w:start w:val="1"/>
      <w:numFmt w:val="chineseCounting"/>
      <w:suff w:val="nothing"/>
      <w:lvlText w:val="（%1）"/>
      <w:lvlJc w:val="left"/>
      <w:rPr>
        <w:rFonts w:hint="eastAsia"/>
      </w:rPr>
    </w:lvl>
  </w:abstractNum>
  <w:abstractNum w:abstractNumId="10">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1">
    <w:nsid w:val="31167A4C"/>
    <w:multiLevelType w:val="singleLevel"/>
    <w:tmpl w:val="31167A4C"/>
    <w:lvl w:ilvl="0" w:tentative="0">
      <w:start w:val="11"/>
      <w:numFmt w:val="decimal"/>
      <w:lvlText w:val="%1."/>
      <w:lvlJc w:val="left"/>
      <w:pPr>
        <w:tabs>
          <w:tab w:val="left" w:pos="312"/>
        </w:tabs>
      </w:pPr>
    </w:lvl>
  </w:abstractNum>
  <w:abstractNum w:abstractNumId="12">
    <w:nsid w:val="3F88662E"/>
    <w:multiLevelType w:val="singleLevel"/>
    <w:tmpl w:val="3F88662E"/>
    <w:lvl w:ilvl="0" w:tentative="0">
      <w:start w:val="1"/>
      <w:numFmt w:val="decimal"/>
      <w:suff w:val="space"/>
      <w:lvlText w:val="%1)"/>
      <w:lvlJc w:val="left"/>
    </w:lvl>
  </w:abstractNum>
  <w:abstractNum w:abstractNumId="13">
    <w:nsid w:val="4383B5F9"/>
    <w:multiLevelType w:val="singleLevel"/>
    <w:tmpl w:val="4383B5F9"/>
    <w:lvl w:ilvl="0" w:tentative="0">
      <w:start w:val="1"/>
      <w:numFmt w:val="decimal"/>
      <w:suff w:val="nothing"/>
      <w:lvlText w:val="%1、"/>
      <w:lvlJc w:val="left"/>
    </w:lvl>
  </w:abstractNum>
  <w:abstractNum w:abstractNumId="14">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8"/>
  </w:num>
  <w:num w:numId="2">
    <w:abstractNumId w:val="11"/>
  </w:num>
  <w:num w:numId="3">
    <w:abstractNumId w:val="14"/>
  </w:num>
  <w:num w:numId="4">
    <w:abstractNumId w:val="10"/>
  </w:num>
  <w:num w:numId="5">
    <w:abstractNumId w:val="3"/>
  </w:num>
  <w:num w:numId="6">
    <w:abstractNumId w:val="16"/>
  </w:num>
  <w:num w:numId="7">
    <w:abstractNumId w:val="12"/>
  </w:num>
  <w:num w:numId="8">
    <w:abstractNumId w:val="7"/>
  </w:num>
  <w:num w:numId="9">
    <w:abstractNumId w:val="2"/>
  </w:num>
  <w:num w:numId="10">
    <w:abstractNumId w:val="1"/>
  </w:num>
  <w:num w:numId="11">
    <w:abstractNumId w:val="0"/>
  </w:num>
  <w:num w:numId="12">
    <w:abstractNumId w:val="4"/>
  </w:num>
  <w:num w:numId="13">
    <w:abstractNumId w:val="6"/>
  </w:num>
  <w:num w:numId="14">
    <w:abstractNumId w:val="9"/>
  </w:num>
  <w:num w:numId="15">
    <w:abstractNumId w:val="5"/>
  </w:num>
  <w:num w:numId="16">
    <w:abstractNumId w:val="15"/>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xODRmOWQwY2JlNzVlNGZlZDM1ZTI4ZTVmZWUxNTA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15D6"/>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3ACB"/>
    <w:rsid w:val="00475A80"/>
    <w:rsid w:val="00490B9E"/>
    <w:rsid w:val="00494132"/>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0211"/>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30FE2"/>
    <w:rsid w:val="010908A7"/>
    <w:rsid w:val="013C51B0"/>
    <w:rsid w:val="01525581"/>
    <w:rsid w:val="016412A2"/>
    <w:rsid w:val="01651C23"/>
    <w:rsid w:val="018023CE"/>
    <w:rsid w:val="01881AD6"/>
    <w:rsid w:val="019127B6"/>
    <w:rsid w:val="01B71A01"/>
    <w:rsid w:val="01DC03CE"/>
    <w:rsid w:val="01E36F4E"/>
    <w:rsid w:val="020C3478"/>
    <w:rsid w:val="023C5F15"/>
    <w:rsid w:val="023F3FA2"/>
    <w:rsid w:val="028B6D36"/>
    <w:rsid w:val="02985CD5"/>
    <w:rsid w:val="02A741FD"/>
    <w:rsid w:val="02B77F75"/>
    <w:rsid w:val="02C16E5D"/>
    <w:rsid w:val="02D51343"/>
    <w:rsid w:val="02D964CF"/>
    <w:rsid w:val="02DE5ECF"/>
    <w:rsid w:val="02E74073"/>
    <w:rsid w:val="02EF6DB1"/>
    <w:rsid w:val="02F713C2"/>
    <w:rsid w:val="03080482"/>
    <w:rsid w:val="0316681C"/>
    <w:rsid w:val="0367744E"/>
    <w:rsid w:val="03707410"/>
    <w:rsid w:val="039240A3"/>
    <w:rsid w:val="03973E17"/>
    <w:rsid w:val="03A0770F"/>
    <w:rsid w:val="03A448B8"/>
    <w:rsid w:val="03C01631"/>
    <w:rsid w:val="03C656A9"/>
    <w:rsid w:val="03F33148"/>
    <w:rsid w:val="042F3419"/>
    <w:rsid w:val="044566F3"/>
    <w:rsid w:val="044841D6"/>
    <w:rsid w:val="047B4012"/>
    <w:rsid w:val="047F2DDF"/>
    <w:rsid w:val="04815FBF"/>
    <w:rsid w:val="04822497"/>
    <w:rsid w:val="04974587"/>
    <w:rsid w:val="04DF1036"/>
    <w:rsid w:val="0599183C"/>
    <w:rsid w:val="05A97DEC"/>
    <w:rsid w:val="05B23978"/>
    <w:rsid w:val="05C81981"/>
    <w:rsid w:val="05D81EC4"/>
    <w:rsid w:val="060C3203"/>
    <w:rsid w:val="061039F0"/>
    <w:rsid w:val="065A6D82"/>
    <w:rsid w:val="069B4E4A"/>
    <w:rsid w:val="069C642D"/>
    <w:rsid w:val="06BC41F2"/>
    <w:rsid w:val="06EF0ECF"/>
    <w:rsid w:val="06F415CC"/>
    <w:rsid w:val="070E26CD"/>
    <w:rsid w:val="07197D08"/>
    <w:rsid w:val="071E5C55"/>
    <w:rsid w:val="075C1FE5"/>
    <w:rsid w:val="076B4CB0"/>
    <w:rsid w:val="077005AB"/>
    <w:rsid w:val="078270C7"/>
    <w:rsid w:val="078F4581"/>
    <w:rsid w:val="079529C6"/>
    <w:rsid w:val="07AC0471"/>
    <w:rsid w:val="07BF027F"/>
    <w:rsid w:val="07E3403E"/>
    <w:rsid w:val="08031A31"/>
    <w:rsid w:val="08307C7E"/>
    <w:rsid w:val="08420CAE"/>
    <w:rsid w:val="08574B3D"/>
    <w:rsid w:val="0858198D"/>
    <w:rsid w:val="08E0126D"/>
    <w:rsid w:val="08E352B9"/>
    <w:rsid w:val="09061A75"/>
    <w:rsid w:val="09182241"/>
    <w:rsid w:val="095F1030"/>
    <w:rsid w:val="09855177"/>
    <w:rsid w:val="09EE5125"/>
    <w:rsid w:val="0A0001DA"/>
    <w:rsid w:val="0A2522FD"/>
    <w:rsid w:val="0A2C4066"/>
    <w:rsid w:val="0A327478"/>
    <w:rsid w:val="0A462748"/>
    <w:rsid w:val="0A4D0C81"/>
    <w:rsid w:val="0A723E95"/>
    <w:rsid w:val="0A733243"/>
    <w:rsid w:val="0A846743"/>
    <w:rsid w:val="0A873F23"/>
    <w:rsid w:val="0AA534D5"/>
    <w:rsid w:val="0AA650EB"/>
    <w:rsid w:val="0AA7129C"/>
    <w:rsid w:val="0AE26205"/>
    <w:rsid w:val="0AF47339"/>
    <w:rsid w:val="0B22594B"/>
    <w:rsid w:val="0B27506F"/>
    <w:rsid w:val="0B7724E1"/>
    <w:rsid w:val="0B8C04A6"/>
    <w:rsid w:val="0B9610F4"/>
    <w:rsid w:val="0B99757D"/>
    <w:rsid w:val="0BBF77A4"/>
    <w:rsid w:val="0BD16C8D"/>
    <w:rsid w:val="0BDF26F7"/>
    <w:rsid w:val="0C027DB2"/>
    <w:rsid w:val="0C2B4952"/>
    <w:rsid w:val="0C322F8A"/>
    <w:rsid w:val="0C4607E5"/>
    <w:rsid w:val="0C516C55"/>
    <w:rsid w:val="0C560447"/>
    <w:rsid w:val="0C7B2220"/>
    <w:rsid w:val="0C8D493C"/>
    <w:rsid w:val="0CB67D83"/>
    <w:rsid w:val="0CCB3545"/>
    <w:rsid w:val="0CD20599"/>
    <w:rsid w:val="0CE53018"/>
    <w:rsid w:val="0D0B5B12"/>
    <w:rsid w:val="0D10430E"/>
    <w:rsid w:val="0D133046"/>
    <w:rsid w:val="0D153F28"/>
    <w:rsid w:val="0D1C792E"/>
    <w:rsid w:val="0D3A0F98"/>
    <w:rsid w:val="0D423216"/>
    <w:rsid w:val="0D6A4502"/>
    <w:rsid w:val="0D7415CA"/>
    <w:rsid w:val="0D890E47"/>
    <w:rsid w:val="0DC64A00"/>
    <w:rsid w:val="0DEB5FFA"/>
    <w:rsid w:val="0DF67134"/>
    <w:rsid w:val="0DF75C46"/>
    <w:rsid w:val="0DFC60BA"/>
    <w:rsid w:val="0E1C06B2"/>
    <w:rsid w:val="0E69691B"/>
    <w:rsid w:val="0EBB5484"/>
    <w:rsid w:val="0EBD5AA3"/>
    <w:rsid w:val="0F407E8F"/>
    <w:rsid w:val="0F5723EF"/>
    <w:rsid w:val="0F5F5360"/>
    <w:rsid w:val="0F6D029D"/>
    <w:rsid w:val="0F7C5FF6"/>
    <w:rsid w:val="0F7D04FC"/>
    <w:rsid w:val="0F910D13"/>
    <w:rsid w:val="0FC63FBD"/>
    <w:rsid w:val="0FCB2AF3"/>
    <w:rsid w:val="0FD54DCA"/>
    <w:rsid w:val="0FDD003F"/>
    <w:rsid w:val="0FF87EA4"/>
    <w:rsid w:val="0FFF7484"/>
    <w:rsid w:val="10066939"/>
    <w:rsid w:val="100B77ED"/>
    <w:rsid w:val="101D47AD"/>
    <w:rsid w:val="10305890"/>
    <w:rsid w:val="103D5A1A"/>
    <w:rsid w:val="105847E5"/>
    <w:rsid w:val="106C564D"/>
    <w:rsid w:val="106E0AED"/>
    <w:rsid w:val="107B7B8F"/>
    <w:rsid w:val="107C67CE"/>
    <w:rsid w:val="10912D03"/>
    <w:rsid w:val="1092666B"/>
    <w:rsid w:val="109D68CB"/>
    <w:rsid w:val="10A949B8"/>
    <w:rsid w:val="10AB5D61"/>
    <w:rsid w:val="11144AFE"/>
    <w:rsid w:val="11200D07"/>
    <w:rsid w:val="11410632"/>
    <w:rsid w:val="115E03E3"/>
    <w:rsid w:val="11786AB5"/>
    <w:rsid w:val="118049D4"/>
    <w:rsid w:val="118561F8"/>
    <w:rsid w:val="11942D84"/>
    <w:rsid w:val="11B21219"/>
    <w:rsid w:val="11DA73AF"/>
    <w:rsid w:val="11FC1ECD"/>
    <w:rsid w:val="124D097B"/>
    <w:rsid w:val="12511265"/>
    <w:rsid w:val="125F0854"/>
    <w:rsid w:val="126D4818"/>
    <w:rsid w:val="1283614B"/>
    <w:rsid w:val="12856FF3"/>
    <w:rsid w:val="129671FB"/>
    <w:rsid w:val="12A576FF"/>
    <w:rsid w:val="12C60D80"/>
    <w:rsid w:val="130523B3"/>
    <w:rsid w:val="131356D4"/>
    <w:rsid w:val="131F7A3A"/>
    <w:rsid w:val="132645D0"/>
    <w:rsid w:val="133D4061"/>
    <w:rsid w:val="13455ABC"/>
    <w:rsid w:val="1370322B"/>
    <w:rsid w:val="13BA0460"/>
    <w:rsid w:val="13BB41AE"/>
    <w:rsid w:val="13C24F9B"/>
    <w:rsid w:val="13C45A18"/>
    <w:rsid w:val="13C9247B"/>
    <w:rsid w:val="13D6515C"/>
    <w:rsid w:val="13F13CC6"/>
    <w:rsid w:val="143B2E0B"/>
    <w:rsid w:val="14671645"/>
    <w:rsid w:val="14725FF6"/>
    <w:rsid w:val="147C1943"/>
    <w:rsid w:val="148054E9"/>
    <w:rsid w:val="14892735"/>
    <w:rsid w:val="149B68B3"/>
    <w:rsid w:val="14CC769D"/>
    <w:rsid w:val="14D764D5"/>
    <w:rsid w:val="14EF61BF"/>
    <w:rsid w:val="14F43330"/>
    <w:rsid w:val="15004CB2"/>
    <w:rsid w:val="150F7FEC"/>
    <w:rsid w:val="153765DA"/>
    <w:rsid w:val="15436F05"/>
    <w:rsid w:val="15691FE3"/>
    <w:rsid w:val="158B5DDD"/>
    <w:rsid w:val="15B11221"/>
    <w:rsid w:val="15C16EB3"/>
    <w:rsid w:val="15CB76C9"/>
    <w:rsid w:val="15D27D8F"/>
    <w:rsid w:val="15D359D7"/>
    <w:rsid w:val="160E7A2C"/>
    <w:rsid w:val="16317A1A"/>
    <w:rsid w:val="163C77BE"/>
    <w:rsid w:val="164A3F23"/>
    <w:rsid w:val="16573587"/>
    <w:rsid w:val="165C5C7C"/>
    <w:rsid w:val="1679588C"/>
    <w:rsid w:val="168C2855"/>
    <w:rsid w:val="16994962"/>
    <w:rsid w:val="16A233CF"/>
    <w:rsid w:val="16A71041"/>
    <w:rsid w:val="16AA24BF"/>
    <w:rsid w:val="16F871DC"/>
    <w:rsid w:val="17110A80"/>
    <w:rsid w:val="171D3FE1"/>
    <w:rsid w:val="17680CAB"/>
    <w:rsid w:val="176E4128"/>
    <w:rsid w:val="17725CE9"/>
    <w:rsid w:val="1783371F"/>
    <w:rsid w:val="178E48DA"/>
    <w:rsid w:val="17C93012"/>
    <w:rsid w:val="17E62B67"/>
    <w:rsid w:val="180F4499"/>
    <w:rsid w:val="182201B4"/>
    <w:rsid w:val="18221ECE"/>
    <w:rsid w:val="183C3D90"/>
    <w:rsid w:val="1859036F"/>
    <w:rsid w:val="18681814"/>
    <w:rsid w:val="18B0649B"/>
    <w:rsid w:val="18D418FC"/>
    <w:rsid w:val="18E5143F"/>
    <w:rsid w:val="18E83469"/>
    <w:rsid w:val="18FC7745"/>
    <w:rsid w:val="19117D89"/>
    <w:rsid w:val="192F3B7C"/>
    <w:rsid w:val="19353F17"/>
    <w:rsid w:val="19864975"/>
    <w:rsid w:val="19864EEB"/>
    <w:rsid w:val="19961DFC"/>
    <w:rsid w:val="19D1065C"/>
    <w:rsid w:val="19DD405E"/>
    <w:rsid w:val="1A121864"/>
    <w:rsid w:val="1A2D591D"/>
    <w:rsid w:val="1A460CF5"/>
    <w:rsid w:val="1A7F297D"/>
    <w:rsid w:val="1A9D6244"/>
    <w:rsid w:val="1AB16AC1"/>
    <w:rsid w:val="1ABF1CEA"/>
    <w:rsid w:val="1B014DDE"/>
    <w:rsid w:val="1B0320FB"/>
    <w:rsid w:val="1B034A52"/>
    <w:rsid w:val="1B2640F6"/>
    <w:rsid w:val="1B45344E"/>
    <w:rsid w:val="1B5D76FB"/>
    <w:rsid w:val="1B683578"/>
    <w:rsid w:val="1B8C0040"/>
    <w:rsid w:val="1BDE2F66"/>
    <w:rsid w:val="1C4C689B"/>
    <w:rsid w:val="1C750ECE"/>
    <w:rsid w:val="1CA56AF4"/>
    <w:rsid w:val="1CD667CB"/>
    <w:rsid w:val="1CE25AF9"/>
    <w:rsid w:val="1D196139"/>
    <w:rsid w:val="1D372585"/>
    <w:rsid w:val="1D5E02D1"/>
    <w:rsid w:val="1D7F0ED0"/>
    <w:rsid w:val="1D921938"/>
    <w:rsid w:val="1DBB6100"/>
    <w:rsid w:val="1DBE6816"/>
    <w:rsid w:val="1DCB4FF1"/>
    <w:rsid w:val="1DDD432D"/>
    <w:rsid w:val="1DF20D7E"/>
    <w:rsid w:val="1E010AF7"/>
    <w:rsid w:val="1E1C405A"/>
    <w:rsid w:val="1E2E29E0"/>
    <w:rsid w:val="1E2E5F9F"/>
    <w:rsid w:val="1E301173"/>
    <w:rsid w:val="1E884D18"/>
    <w:rsid w:val="1ED8781E"/>
    <w:rsid w:val="1EDD3235"/>
    <w:rsid w:val="1F1102B0"/>
    <w:rsid w:val="1F2F1047"/>
    <w:rsid w:val="1F2F2B69"/>
    <w:rsid w:val="1F43381C"/>
    <w:rsid w:val="1F781224"/>
    <w:rsid w:val="1FA4148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C799E"/>
    <w:rsid w:val="21101BAA"/>
    <w:rsid w:val="21286DA7"/>
    <w:rsid w:val="2134683B"/>
    <w:rsid w:val="21545CAE"/>
    <w:rsid w:val="219068BB"/>
    <w:rsid w:val="21C82E72"/>
    <w:rsid w:val="21DE0801"/>
    <w:rsid w:val="21DE339D"/>
    <w:rsid w:val="21E95CDD"/>
    <w:rsid w:val="2203115E"/>
    <w:rsid w:val="22154DDD"/>
    <w:rsid w:val="22336873"/>
    <w:rsid w:val="22396826"/>
    <w:rsid w:val="22412CD8"/>
    <w:rsid w:val="225471A3"/>
    <w:rsid w:val="225E34DC"/>
    <w:rsid w:val="227D1295"/>
    <w:rsid w:val="229412E0"/>
    <w:rsid w:val="22AB3B7D"/>
    <w:rsid w:val="22AF3A08"/>
    <w:rsid w:val="22F92F75"/>
    <w:rsid w:val="23172FFC"/>
    <w:rsid w:val="23847077"/>
    <w:rsid w:val="23BB4E7D"/>
    <w:rsid w:val="23C172D6"/>
    <w:rsid w:val="23D77537"/>
    <w:rsid w:val="23E6195D"/>
    <w:rsid w:val="23F04F64"/>
    <w:rsid w:val="23FF41EB"/>
    <w:rsid w:val="24087BF9"/>
    <w:rsid w:val="24814CBE"/>
    <w:rsid w:val="24AC168B"/>
    <w:rsid w:val="24BB6664"/>
    <w:rsid w:val="24BD406A"/>
    <w:rsid w:val="24D23A61"/>
    <w:rsid w:val="24F73430"/>
    <w:rsid w:val="250E1318"/>
    <w:rsid w:val="25467247"/>
    <w:rsid w:val="254D0389"/>
    <w:rsid w:val="25884C5D"/>
    <w:rsid w:val="258C3BEC"/>
    <w:rsid w:val="25A03144"/>
    <w:rsid w:val="25B2479F"/>
    <w:rsid w:val="25C15C5D"/>
    <w:rsid w:val="25D329B9"/>
    <w:rsid w:val="25E5427A"/>
    <w:rsid w:val="26276A31"/>
    <w:rsid w:val="26366F9D"/>
    <w:rsid w:val="263B1230"/>
    <w:rsid w:val="2642752B"/>
    <w:rsid w:val="26485508"/>
    <w:rsid w:val="26554808"/>
    <w:rsid w:val="26607D95"/>
    <w:rsid w:val="26700955"/>
    <w:rsid w:val="268166B9"/>
    <w:rsid w:val="26A16AE9"/>
    <w:rsid w:val="26A27AE1"/>
    <w:rsid w:val="26A605D9"/>
    <w:rsid w:val="26AD0500"/>
    <w:rsid w:val="26B121A3"/>
    <w:rsid w:val="26E962CF"/>
    <w:rsid w:val="26F34269"/>
    <w:rsid w:val="272E3097"/>
    <w:rsid w:val="272E6F74"/>
    <w:rsid w:val="27501685"/>
    <w:rsid w:val="277E6655"/>
    <w:rsid w:val="279313E1"/>
    <w:rsid w:val="27933DEA"/>
    <w:rsid w:val="27AF30E6"/>
    <w:rsid w:val="27B36A67"/>
    <w:rsid w:val="27BE6794"/>
    <w:rsid w:val="281E404F"/>
    <w:rsid w:val="28302479"/>
    <w:rsid w:val="28346E3B"/>
    <w:rsid w:val="2846581F"/>
    <w:rsid w:val="284A5CA4"/>
    <w:rsid w:val="286602C8"/>
    <w:rsid w:val="28665C95"/>
    <w:rsid w:val="28716D1C"/>
    <w:rsid w:val="28736F5F"/>
    <w:rsid w:val="28833BE9"/>
    <w:rsid w:val="28851EB4"/>
    <w:rsid w:val="28B01D1E"/>
    <w:rsid w:val="28C2628C"/>
    <w:rsid w:val="28CC3373"/>
    <w:rsid w:val="28F579BA"/>
    <w:rsid w:val="290B3EB9"/>
    <w:rsid w:val="292728C1"/>
    <w:rsid w:val="292C7FA1"/>
    <w:rsid w:val="2940493E"/>
    <w:rsid w:val="2950768C"/>
    <w:rsid w:val="297A5FC4"/>
    <w:rsid w:val="29B41DA5"/>
    <w:rsid w:val="29D639A9"/>
    <w:rsid w:val="29E14657"/>
    <w:rsid w:val="29E474B8"/>
    <w:rsid w:val="29ED574B"/>
    <w:rsid w:val="29FA2D3E"/>
    <w:rsid w:val="29FE5CE6"/>
    <w:rsid w:val="2A323294"/>
    <w:rsid w:val="2A5C784F"/>
    <w:rsid w:val="2A600C13"/>
    <w:rsid w:val="2A633B90"/>
    <w:rsid w:val="2A68500A"/>
    <w:rsid w:val="2A743AE8"/>
    <w:rsid w:val="2A8D4F8F"/>
    <w:rsid w:val="2A901BEE"/>
    <w:rsid w:val="2A917B34"/>
    <w:rsid w:val="2A9308A8"/>
    <w:rsid w:val="2A9475FF"/>
    <w:rsid w:val="2A9F5AB8"/>
    <w:rsid w:val="2AAA0AA2"/>
    <w:rsid w:val="2AD74E8C"/>
    <w:rsid w:val="2AE3766F"/>
    <w:rsid w:val="2AE62D4A"/>
    <w:rsid w:val="2AE74CEF"/>
    <w:rsid w:val="2AEC612E"/>
    <w:rsid w:val="2B0E56AB"/>
    <w:rsid w:val="2B276305"/>
    <w:rsid w:val="2B54704F"/>
    <w:rsid w:val="2B590601"/>
    <w:rsid w:val="2B7E4054"/>
    <w:rsid w:val="2B9B5A44"/>
    <w:rsid w:val="2BA45A85"/>
    <w:rsid w:val="2BB12905"/>
    <w:rsid w:val="2BBA6A76"/>
    <w:rsid w:val="2BCC03D1"/>
    <w:rsid w:val="2C035AE6"/>
    <w:rsid w:val="2C0C6D59"/>
    <w:rsid w:val="2C787BAC"/>
    <w:rsid w:val="2C8903AA"/>
    <w:rsid w:val="2C8E776E"/>
    <w:rsid w:val="2C8E7BB8"/>
    <w:rsid w:val="2C987C56"/>
    <w:rsid w:val="2CA156F3"/>
    <w:rsid w:val="2CC11460"/>
    <w:rsid w:val="2CC15BAA"/>
    <w:rsid w:val="2CDC3153"/>
    <w:rsid w:val="2CDF621C"/>
    <w:rsid w:val="2CE136D7"/>
    <w:rsid w:val="2CFE7A11"/>
    <w:rsid w:val="2CFF149A"/>
    <w:rsid w:val="2D201865"/>
    <w:rsid w:val="2D2F67DA"/>
    <w:rsid w:val="2D4B5CEA"/>
    <w:rsid w:val="2D4C5B4C"/>
    <w:rsid w:val="2D4C6B07"/>
    <w:rsid w:val="2D514661"/>
    <w:rsid w:val="2D6273B2"/>
    <w:rsid w:val="2D652658"/>
    <w:rsid w:val="2D964A56"/>
    <w:rsid w:val="2DC16E0A"/>
    <w:rsid w:val="2DC80C49"/>
    <w:rsid w:val="2DCA6355"/>
    <w:rsid w:val="2DD64894"/>
    <w:rsid w:val="2DD85F0E"/>
    <w:rsid w:val="2E166748"/>
    <w:rsid w:val="2E2054A0"/>
    <w:rsid w:val="2E482374"/>
    <w:rsid w:val="2E556F01"/>
    <w:rsid w:val="2E8345A7"/>
    <w:rsid w:val="2E8E20B4"/>
    <w:rsid w:val="2EAA7BAE"/>
    <w:rsid w:val="2EC0235F"/>
    <w:rsid w:val="2EC1207D"/>
    <w:rsid w:val="2ED06066"/>
    <w:rsid w:val="2ED1223D"/>
    <w:rsid w:val="2F000139"/>
    <w:rsid w:val="2F1B303D"/>
    <w:rsid w:val="2F3925CB"/>
    <w:rsid w:val="2F65799D"/>
    <w:rsid w:val="2F8A2880"/>
    <w:rsid w:val="2F9F42DC"/>
    <w:rsid w:val="2FAC3772"/>
    <w:rsid w:val="2FB62C2F"/>
    <w:rsid w:val="2FBC2844"/>
    <w:rsid w:val="2FBD57BB"/>
    <w:rsid w:val="2FC32F68"/>
    <w:rsid w:val="2FF37AB3"/>
    <w:rsid w:val="30210B8A"/>
    <w:rsid w:val="30224DC7"/>
    <w:rsid w:val="303265F2"/>
    <w:rsid w:val="303B4C3F"/>
    <w:rsid w:val="30476D7A"/>
    <w:rsid w:val="3073310C"/>
    <w:rsid w:val="309D6BE6"/>
    <w:rsid w:val="30AA1790"/>
    <w:rsid w:val="30EE385E"/>
    <w:rsid w:val="30F85AFE"/>
    <w:rsid w:val="31170995"/>
    <w:rsid w:val="31264A30"/>
    <w:rsid w:val="312651F8"/>
    <w:rsid w:val="31884E67"/>
    <w:rsid w:val="31A0275E"/>
    <w:rsid w:val="31A10220"/>
    <w:rsid w:val="31A67308"/>
    <w:rsid w:val="31B91526"/>
    <w:rsid w:val="31EF0041"/>
    <w:rsid w:val="320107F5"/>
    <w:rsid w:val="326A0524"/>
    <w:rsid w:val="32986C45"/>
    <w:rsid w:val="32AB70C5"/>
    <w:rsid w:val="32CA6CAF"/>
    <w:rsid w:val="32F50547"/>
    <w:rsid w:val="330E23C2"/>
    <w:rsid w:val="33247607"/>
    <w:rsid w:val="33487C23"/>
    <w:rsid w:val="335D0AF5"/>
    <w:rsid w:val="3370088C"/>
    <w:rsid w:val="33735C77"/>
    <w:rsid w:val="33807C90"/>
    <w:rsid w:val="339A687B"/>
    <w:rsid w:val="33C14594"/>
    <w:rsid w:val="33DC2F78"/>
    <w:rsid w:val="3428227C"/>
    <w:rsid w:val="343230D5"/>
    <w:rsid w:val="3439428E"/>
    <w:rsid w:val="347918A5"/>
    <w:rsid w:val="349D37D5"/>
    <w:rsid w:val="34A61BDE"/>
    <w:rsid w:val="34BC3BF7"/>
    <w:rsid w:val="3522586C"/>
    <w:rsid w:val="35572473"/>
    <w:rsid w:val="35602226"/>
    <w:rsid w:val="356B72E7"/>
    <w:rsid w:val="356D2AC8"/>
    <w:rsid w:val="3572424F"/>
    <w:rsid w:val="35866014"/>
    <w:rsid w:val="359E5CE0"/>
    <w:rsid w:val="362B215D"/>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A55335"/>
    <w:rsid w:val="38B66D0C"/>
    <w:rsid w:val="38EB6119"/>
    <w:rsid w:val="38ED3021"/>
    <w:rsid w:val="38F10684"/>
    <w:rsid w:val="39083CF2"/>
    <w:rsid w:val="392D500E"/>
    <w:rsid w:val="396678D9"/>
    <w:rsid w:val="39736669"/>
    <w:rsid w:val="397A0ADB"/>
    <w:rsid w:val="39954B2B"/>
    <w:rsid w:val="39DA2245"/>
    <w:rsid w:val="39E66E3B"/>
    <w:rsid w:val="39FD4CC2"/>
    <w:rsid w:val="3A3A7721"/>
    <w:rsid w:val="3A51228C"/>
    <w:rsid w:val="3A545E48"/>
    <w:rsid w:val="3A552E60"/>
    <w:rsid w:val="3A5D642F"/>
    <w:rsid w:val="3A744447"/>
    <w:rsid w:val="3A78219D"/>
    <w:rsid w:val="3A995C5C"/>
    <w:rsid w:val="3AB210FC"/>
    <w:rsid w:val="3B043A1D"/>
    <w:rsid w:val="3B212C76"/>
    <w:rsid w:val="3B793A48"/>
    <w:rsid w:val="3B85393E"/>
    <w:rsid w:val="3BA72D05"/>
    <w:rsid w:val="3BCA4B8A"/>
    <w:rsid w:val="3BCD72F7"/>
    <w:rsid w:val="3BF4153E"/>
    <w:rsid w:val="3C37146A"/>
    <w:rsid w:val="3C3D3625"/>
    <w:rsid w:val="3C414142"/>
    <w:rsid w:val="3C5B725E"/>
    <w:rsid w:val="3C88055A"/>
    <w:rsid w:val="3CAF79B9"/>
    <w:rsid w:val="3CB35097"/>
    <w:rsid w:val="3CEB35AE"/>
    <w:rsid w:val="3CF737A2"/>
    <w:rsid w:val="3CFF7179"/>
    <w:rsid w:val="3D10295A"/>
    <w:rsid w:val="3D184041"/>
    <w:rsid w:val="3D370C2A"/>
    <w:rsid w:val="3D414FC0"/>
    <w:rsid w:val="3D5E329C"/>
    <w:rsid w:val="3D7D049C"/>
    <w:rsid w:val="3DC4250E"/>
    <w:rsid w:val="3DCC0998"/>
    <w:rsid w:val="3DE20EAE"/>
    <w:rsid w:val="3DEC2E9F"/>
    <w:rsid w:val="3DEF3701"/>
    <w:rsid w:val="3E0572FD"/>
    <w:rsid w:val="3E0720FE"/>
    <w:rsid w:val="3E2819F6"/>
    <w:rsid w:val="3E287A22"/>
    <w:rsid w:val="3E5A7FE7"/>
    <w:rsid w:val="3E955A6A"/>
    <w:rsid w:val="3E964D81"/>
    <w:rsid w:val="3EBA1F32"/>
    <w:rsid w:val="3EDE741A"/>
    <w:rsid w:val="3EEF6FFF"/>
    <w:rsid w:val="3EF66B2E"/>
    <w:rsid w:val="3EF908D7"/>
    <w:rsid w:val="3F217914"/>
    <w:rsid w:val="3F5D44A8"/>
    <w:rsid w:val="3FD70BB0"/>
    <w:rsid w:val="3FF1740C"/>
    <w:rsid w:val="3FF542A0"/>
    <w:rsid w:val="3FFB55AC"/>
    <w:rsid w:val="40017152"/>
    <w:rsid w:val="400A057C"/>
    <w:rsid w:val="401C5F9D"/>
    <w:rsid w:val="401C690C"/>
    <w:rsid w:val="401D7195"/>
    <w:rsid w:val="402D6138"/>
    <w:rsid w:val="405C1C05"/>
    <w:rsid w:val="407A652F"/>
    <w:rsid w:val="40825D97"/>
    <w:rsid w:val="409928E7"/>
    <w:rsid w:val="40997CFE"/>
    <w:rsid w:val="409C35A8"/>
    <w:rsid w:val="40A06CB8"/>
    <w:rsid w:val="40C45B55"/>
    <w:rsid w:val="40CE3DC0"/>
    <w:rsid w:val="40D7455A"/>
    <w:rsid w:val="40E743E5"/>
    <w:rsid w:val="40EB4012"/>
    <w:rsid w:val="410A1661"/>
    <w:rsid w:val="41246142"/>
    <w:rsid w:val="412D5EA0"/>
    <w:rsid w:val="416D78C7"/>
    <w:rsid w:val="41734CBA"/>
    <w:rsid w:val="417F4E1A"/>
    <w:rsid w:val="41A82190"/>
    <w:rsid w:val="41DE5999"/>
    <w:rsid w:val="41E1181A"/>
    <w:rsid w:val="41E32A20"/>
    <w:rsid w:val="41FA3241"/>
    <w:rsid w:val="420F7A65"/>
    <w:rsid w:val="4216611A"/>
    <w:rsid w:val="423E300F"/>
    <w:rsid w:val="425656C8"/>
    <w:rsid w:val="4257273C"/>
    <w:rsid w:val="42687ACE"/>
    <w:rsid w:val="4285733F"/>
    <w:rsid w:val="429E6041"/>
    <w:rsid w:val="42BF4B02"/>
    <w:rsid w:val="42C84B75"/>
    <w:rsid w:val="42FD694D"/>
    <w:rsid w:val="43183383"/>
    <w:rsid w:val="43525542"/>
    <w:rsid w:val="437D6687"/>
    <w:rsid w:val="438351F5"/>
    <w:rsid w:val="438D35EA"/>
    <w:rsid w:val="43BC1E57"/>
    <w:rsid w:val="43D23F8D"/>
    <w:rsid w:val="43D43F1D"/>
    <w:rsid w:val="43FA5777"/>
    <w:rsid w:val="44023422"/>
    <w:rsid w:val="44184A2D"/>
    <w:rsid w:val="441A5455"/>
    <w:rsid w:val="441C1611"/>
    <w:rsid w:val="443C440B"/>
    <w:rsid w:val="44506DE3"/>
    <w:rsid w:val="44514F52"/>
    <w:rsid w:val="44761C8F"/>
    <w:rsid w:val="449722E3"/>
    <w:rsid w:val="449D7B09"/>
    <w:rsid w:val="44AE3FD4"/>
    <w:rsid w:val="44D0586F"/>
    <w:rsid w:val="44FA2D53"/>
    <w:rsid w:val="4504751B"/>
    <w:rsid w:val="453C4912"/>
    <w:rsid w:val="45627191"/>
    <w:rsid w:val="45687813"/>
    <w:rsid w:val="456E7B7D"/>
    <w:rsid w:val="4571374F"/>
    <w:rsid w:val="458B1BB0"/>
    <w:rsid w:val="45AD31D6"/>
    <w:rsid w:val="45B93426"/>
    <w:rsid w:val="45E326FD"/>
    <w:rsid w:val="462B6604"/>
    <w:rsid w:val="464C6420"/>
    <w:rsid w:val="46552F9B"/>
    <w:rsid w:val="467A0297"/>
    <w:rsid w:val="468B7125"/>
    <w:rsid w:val="46B506EF"/>
    <w:rsid w:val="46BC1F6E"/>
    <w:rsid w:val="46C4691F"/>
    <w:rsid w:val="46CB53EF"/>
    <w:rsid w:val="46CE645F"/>
    <w:rsid w:val="470F5A71"/>
    <w:rsid w:val="472F2690"/>
    <w:rsid w:val="47685427"/>
    <w:rsid w:val="4779499C"/>
    <w:rsid w:val="479C6284"/>
    <w:rsid w:val="479D1D34"/>
    <w:rsid w:val="47B609C0"/>
    <w:rsid w:val="47EC3B04"/>
    <w:rsid w:val="47EC6277"/>
    <w:rsid w:val="47FA1BD6"/>
    <w:rsid w:val="481A219B"/>
    <w:rsid w:val="482D31EA"/>
    <w:rsid w:val="48594C7C"/>
    <w:rsid w:val="485970A0"/>
    <w:rsid w:val="486503BD"/>
    <w:rsid w:val="48667F79"/>
    <w:rsid w:val="486A6E89"/>
    <w:rsid w:val="48702E73"/>
    <w:rsid w:val="48823516"/>
    <w:rsid w:val="48877686"/>
    <w:rsid w:val="48B176C2"/>
    <w:rsid w:val="48B65C71"/>
    <w:rsid w:val="48C15387"/>
    <w:rsid w:val="48DD391D"/>
    <w:rsid w:val="48FB1909"/>
    <w:rsid w:val="48FC17C6"/>
    <w:rsid w:val="49140AE3"/>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25154A"/>
    <w:rsid w:val="4A484D41"/>
    <w:rsid w:val="4A6D15F8"/>
    <w:rsid w:val="4A8C4FB8"/>
    <w:rsid w:val="4A9A25BD"/>
    <w:rsid w:val="4A9E0551"/>
    <w:rsid w:val="4AA03D78"/>
    <w:rsid w:val="4AAB17DF"/>
    <w:rsid w:val="4AB542AE"/>
    <w:rsid w:val="4ABA7AB3"/>
    <w:rsid w:val="4AF72FEA"/>
    <w:rsid w:val="4AFA1299"/>
    <w:rsid w:val="4B243D9D"/>
    <w:rsid w:val="4B2C1752"/>
    <w:rsid w:val="4B5B54F0"/>
    <w:rsid w:val="4B645524"/>
    <w:rsid w:val="4B8C2DEB"/>
    <w:rsid w:val="4BC423D3"/>
    <w:rsid w:val="4BE01954"/>
    <w:rsid w:val="4BFA3C9F"/>
    <w:rsid w:val="4C042674"/>
    <w:rsid w:val="4C107F48"/>
    <w:rsid w:val="4C3277BC"/>
    <w:rsid w:val="4C5C442D"/>
    <w:rsid w:val="4C6D42A9"/>
    <w:rsid w:val="4C716A38"/>
    <w:rsid w:val="4CC0351C"/>
    <w:rsid w:val="4CC353EB"/>
    <w:rsid w:val="4CDB65A8"/>
    <w:rsid w:val="4CE64E14"/>
    <w:rsid w:val="4CF36F3C"/>
    <w:rsid w:val="4D00189F"/>
    <w:rsid w:val="4D007BC8"/>
    <w:rsid w:val="4D143EC2"/>
    <w:rsid w:val="4D1470BD"/>
    <w:rsid w:val="4D154882"/>
    <w:rsid w:val="4D1C3C50"/>
    <w:rsid w:val="4D603399"/>
    <w:rsid w:val="4D664F64"/>
    <w:rsid w:val="4D6A7284"/>
    <w:rsid w:val="4D867EE1"/>
    <w:rsid w:val="4DB07591"/>
    <w:rsid w:val="4DBC4C65"/>
    <w:rsid w:val="4DE2009B"/>
    <w:rsid w:val="4E0F235E"/>
    <w:rsid w:val="4E157689"/>
    <w:rsid w:val="4E533FA5"/>
    <w:rsid w:val="4E550010"/>
    <w:rsid w:val="4E5964E9"/>
    <w:rsid w:val="4E5C0392"/>
    <w:rsid w:val="4E5F14CB"/>
    <w:rsid w:val="4E6808B0"/>
    <w:rsid w:val="4EC00DDD"/>
    <w:rsid w:val="4EE334F2"/>
    <w:rsid w:val="4EF265BE"/>
    <w:rsid w:val="4EFB1C45"/>
    <w:rsid w:val="4F0C2A48"/>
    <w:rsid w:val="4F26273B"/>
    <w:rsid w:val="4F2D3A8A"/>
    <w:rsid w:val="4F32478A"/>
    <w:rsid w:val="4F3705F8"/>
    <w:rsid w:val="4F542EE9"/>
    <w:rsid w:val="4F785B69"/>
    <w:rsid w:val="4F920D5A"/>
    <w:rsid w:val="4F9714A0"/>
    <w:rsid w:val="4FAC3540"/>
    <w:rsid w:val="4FC56ABD"/>
    <w:rsid w:val="4FC97CE0"/>
    <w:rsid w:val="4FCF1583"/>
    <w:rsid w:val="4FD23E66"/>
    <w:rsid w:val="4FD44D1B"/>
    <w:rsid w:val="4FDC066D"/>
    <w:rsid w:val="4FFA7625"/>
    <w:rsid w:val="50453E7E"/>
    <w:rsid w:val="50485BA4"/>
    <w:rsid w:val="507D2599"/>
    <w:rsid w:val="508F08E7"/>
    <w:rsid w:val="5096229D"/>
    <w:rsid w:val="509E157D"/>
    <w:rsid w:val="50DA3350"/>
    <w:rsid w:val="50DC4184"/>
    <w:rsid w:val="50FB6146"/>
    <w:rsid w:val="512F4CA0"/>
    <w:rsid w:val="51323DB9"/>
    <w:rsid w:val="51361FFF"/>
    <w:rsid w:val="513723D1"/>
    <w:rsid w:val="514C3EA7"/>
    <w:rsid w:val="51551AFE"/>
    <w:rsid w:val="516D33BA"/>
    <w:rsid w:val="51D965DE"/>
    <w:rsid w:val="51FF3C99"/>
    <w:rsid w:val="52363D4D"/>
    <w:rsid w:val="52521A20"/>
    <w:rsid w:val="525261E1"/>
    <w:rsid w:val="52AC4ABC"/>
    <w:rsid w:val="52BA7493"/>
    <w:rsid w:val="52C201B9"/>
    <w:rsid w:val="52C3633F"/>
    <w:rsid w:val="52E57A12"/>
    <w:rsid w:val="52F20B62"/>
    <w:rsid w:val="538152F3"/>
    <w:rsid w:val="53827E49"/>
    <w:rsid w:val="538A6BB9"/>
    <w:rsid w:val="539964FD"/>
    <w:rsid w:val="539C1B81"/>
    <w:rsid w:val="53A447B1"/>
    <w:rsid w:val="53AE750F"/>
    <w:rsid w:val="53BB2A61"/>
    <w:rsid w:val="53D00C67"/>
    <w:rsid w:val="53D224B3"/>
    <w:rsid w:val="53DF06D8"/>
    <w:rsid w:val="53F81D96"/>
    <w:rsid w:val="544B5214"/>
    <w:rsid w:val="546B0405"/>
    <w:rsid w:val="549A6BFA"/>
    <w:rsid w:val="54B36A7C"/>
    <w:rsid w:val="54D933CD"/>
    <w:rsid w:val="55244D7F"/>
    <w:rsid w:val="55362287"/>
    <w:rsid w:val="55432F3C"/>
    <w:rsid w:val="555016D2"/>
    <w:rsid w:val="556D2820"/>
    <w:rsid w:val="55C3227E"/>
    <w:rsid w:val="55C83E39"/>
    <w:rsid w:val="55FA2961"/>
    <w:rsid w:val="5602250F"/>
    <w:rsid w:val="564220BA"/>
    <w:rsid w:val="565E7F4F"/>
    <w:rsid w:val="565F3DA6"/>
    <w:rsid w:val="56914056"/>
    <w:rsid w:val="56C36589"/>
    <w:rsid w:val="570D55B0"/>
    <w:rsid w:val="57293C95"/>
    <w:rsid w:val="572A6381"/>
    <w:rsid w:val="572B41B4"/>
    <w:rsid w:val="572E079D"/>
    <w:rsid w:val="57365868"/>
    <w:rsid w:val="573C1959"/>
    <w:rsid w:val="574520B1"/>
    <w:rsid w:val="57A65E71"/>
    <w:rsid w:val="57F12ED6"/>
    <w:rsid w:val="57F65317"/>
    <w:rsid w:val="57FC2169"/>
    <w:rsid w:val="58024015"/>
    <w:rsid w:val="58096275"/>
    <w:rsid w:val="5819544F"/>
    <w:rsid w:val="582E6EF7"/>
    <w:rsid w:val="584E30E6"/>
    <w:rsid w:val="58546EFD"/>
    <w:rsid w:val="58E26731"/>
    <w:rsid w:val="590E4A97"/>
    <w:rsid w:val="591250FF"/>
    <w:rsid w:val="5920012C"/>
    <w:rsid w:val="592B1244"/>
    <w:rsid w:val="594714AD"/>
    <w:rsid w:val="594D06B4"/>
    <w:rsid w:val="59512BEE"/>
    <w:rsid w:val="595578DE"/>
    <w:rsid w:val="597B384D"/>
    <w:rsid w:val="59996DA8"/>
    <w:rsid w:val="599C05DE"/>
    <w:rsid w:val="59C30F1B"/>
    <w:rsid w:val="5A8C20D0"/>
    <w:rsid w:val="5AC7121C"/>
    <w:rsid w:val="5AD90B8D"/>
    <w:rsid w:val="5AE12927"/>
    <w:rsid w:val="5AE35472"/>
    <w:rsid w:val="5AF41CF3"/>
    <w:rsid w:val="5AF87CC9"/>
    <w:rsid w:val="5B19477F"/>
    <w:rsid w:val="5B4E1A44"/>
    <w:rsid w:val="5B774ED6"/>
    <w:rsid w:val="5B873201"/>
    <w:rsid w:val="5B967767"/>
    <w:rsid w:val="5B9D1624"/>
    <w:rsid w:val="5C0C2FF6"/>
    <w:rsid w:val="5C1241CC"/>
    <w:rsid w:val="5C286807"/>
    <w:rsid w:val="5C370E72"/>
    <w:rsid w:val="5C446BC8"/>
    <w:rsid w:val="5C4529E1"/>
    <w:rsid w:val="5C4B56E1"/>
    <w:rsid w:val="5C630689"/>
    <w:rsid w:val="5C7146B1"/>
    <w:rsid w:val="5C7C2768"/>
    <w:rsid w:val="5C7E1834"/>
    <w:rsid w:val="5CB23AE6"/>
    <w:rsid w:val="5CDC0A42"/>
    <w:rsid w:val="5CED5863"/>
    <w:rsid w:val="5D0D6DF5"/>
    <w:rsid w:val="5D436E81"/>
    <w:rsid w:val="5D580A8A"/>
    <w:rsid w:val="5D893B14"/>
    <w:rsid w:val="5DA950C9"/>
    <w:rsid w:val="5DB42C29"/>
    <w:rsid w:val="5DC24941"/>
    <w:rsid w:val="5E291636"/>
    <w:rsid w:val="5E6F64A1"/>
    <w:rsid w:val="5E7E7421"/>
    <w:rsid w:val="5E8B0770"/>
    <w:rsid w:val="5EA06921"/>
    <w:rsid w:val="5EA902B4"/>
    <w:rsid w:val="5EBA259F"/>
    <w:rsid w:val="5EE97BB4"/>
    <w:rsid w:val="5F085DDA"/>
    <w:rsid w:val="5F2E2D52"/>
    <w:rsid w:val="5F54198B"/>
    <w:rsid w:val="5F546D2C"/>
    <w:rsid w:val="5F9D1350"/>
    <w:rsid w:val="5FBE370A"/>
    <w:rsid w:val="5FC83407"/>
    <w:rsid w:val="5FD56E87"/>
    <w:rsid w:val="5FDA624B"/>
    <w:rsid w:val="5FF0558C"/>
    <w:rsid w:val="601A27F4"/>
    <w:rsid w:val="60292845"/>
    <w:rsid w:val="604D2644"/>
    <w:rsid w:val="605238CF"/>
    <w:rsid w:val="6053694F"/>
    <w:rsid w:val="607921FE"/>
    <w:rsid w:val="608F62AE"/>
    <w:rsid w:val="60B9251B"/>
    <w:rsid w:val="60E236C1"/>
    <w:rsid w:val="611911B1"/>
    <w:rsid w:val="61260B6B"/>
    <w:rsid w:val="612B3ABB"/>
    <w:rsid w:val="612E1A5D"/>
    <w:rsid w:val="6149320C"/>
    <w:rsid w:val="614E5D7E"/>
    <w:rsid w:val="61560892"/>
    <w:rsid w:val="61770BF8"/>
    <w:rsid w:val="61816046"/>
    <w:rsid w:val="619438A2"/>
    <w:rsid w:val="61C81AB1"/>
    <w:rsid w:val="61D417B9"/>
    <w:rsid w:val="620B0059"/>
    <w:rsid w:val="62391564"/>
    <w:rsid w:val="623F0B7F"/>
    <w:rsid w:val="624A22BE"/>
    <w:rsid w:val="626E235A"/>
    <w:rsid w:val="626F60D5"/>
    <w:rsid w:val="62816669"/>
    <w:rsid w:val="6282086D"/>
    <w:rsid w:val="62B36CD7"/>
    <w:rsid w:val="62BA0953"/>
    <w:rsid w:val="62C36595"/>
    <w:rsid w:val="62D03A7C"/>
    <w:rsid w:val="62D8790F"/>
    <w:rsid w:val="62F42FAE"/>
    <w:rsid w:val="62F648FE"/>
    <w:rsid w:val="63063775"/>
    <w:rsid w:val="63167A4F"/>
    <w:rsid w:val="631D2BD6"/>
    <w:rsid w:val="635356F3"/>
    <w:rsid w:val="635D6064"/>
    <w:rsid w:val="637D5B70"/>
    <w:rsid w:val="63825E77"/>
    <w:rsid w:val="63A10995"/>
    <w:rsid w:val="63C23EFA"/>
    <w:rsid w:val="63D255DA"/>
    <w:rsid w:val="64076B79"/>
    <w:rsid w:val="640B7654"/>
    <w:rsid w:val="643A070A"/>
    <w:rsid w:val="64402337"/>
    <w:rsid w:val="64410A96"/>
    <w:rsid w:val="644C573D"/>
    <w:rsid w:val="64507EFB"/>
    <w:rsid w:val="64B97A50"/>
    <w:rsid w:val="65032F85"/>
    <w:rsid w:val="651304A7"/>
    <w:rsid w:val="65136B50"/>
    <w:rsid w:val="657E2A35"/>
    <w:rsid w:val="65A94E9D"/>
    <w:rsid w:val="65B96B3F"/>
    <w:rsid w:val="65BE1071"/>
    <w:rsid w:val="65C60A92"/>
    <w:rsid w:val="65D35142"/>
    <w:rsid w:val="660451CE"/>
    <w:rsid w:val="660B02F6"/>
    <w:rsid w:val="662D2630"/>
    <w:rsid w:val="665346B7"/>
    <w:rsid w:val="66705A4E"/>
    <w:rsid w:val="667C7CCE"/>
    <w:rsid w:val="669C56BF"/>
    <w:rsid w:val="669F19B6"/>
    <w:rsid w:val="66A12460"/>
    <w:rsid w:val="66A20C1E"/>
    <w:rsid w:val="66BE2423"/>
    <w:rsid w:val="66DD6702"/>
    <w:rsid w:val="671B1623"/>
    <w:rsid w:val="671E6EBA"/>
    <w:rsid w:val="672C0ACD"/>
    <w:rsid w:val="675352AA"/>
    <w:rsid w:val="6759400B"/>
    <w:rsid w:val="675E528D"/>
    <w:rsid w:val="676C598C"/>
    <w:rsid w:val="67702665"/>
    <w:rsid w:val="67962635"/>
    <w:rsid w:val="67966EFB"/>
    <w:rsid w:val="679E7FA1"/>
    <w:rsid w:val="67A32389"/>
    <w:rsid w:val="67B768D0"/>
    <w:rsid w:val="67C779FD"/>
    <w:rsid w:val="682A2352"/>
    <w:rsid w:val="682E7AFD"/>
    <w:rsid w:val="683E65A5"/>
    <w:rsid w:val="68707071"/>
    <w:rsid w:val="687A4379"/>
    <w:rsid w:val="687B015C"/>
    <w:rsid w:val="687E3889"/>
    <w:rsid w:val="6884222C"/>
    <w:rsid w:val="68AD17BB"/>
    <w:rsid w:val="68D94D22"/>
    <w:rsid w:val="692B2E4A"/>
    <w:rsid w:val="696A0B34"/>
    <w:rsid w:val="69821807"/>
    <w:rsid w:val="698D6A17"/>
    <w:rsid w:val="69D37590"/>
    <w:rsid w:val="69F954C1"/>
    <w:rsid w:val="69FA2750"/>
    <w:rsid w:val="6A1E1E73"/>
    <w:rsid w:val="6A2031B6"/>
    <w:rsid w:val="6A26299B"/>
    <w:rsid w:val="6A276275"/>
    <w:rsid w:val="6A2F57D7"/>
    <w:rsid w:val="6A3C1D40"/>
    <w:rsid w:val="6A6432E1"/>
    <w:rsid w:val="6A6A5005"/>
    <w:rsid w:val="6A8D5833"/>
    <w:rsid w:val="6A9A1B5C"/>
    <w:rsid w:val="6AA23DFF"/>
    <w:rsid w:val="6AC61F6F"/>
    <w:rsid w:val="6AD34E53"/>
    <w:rsid w:val="6AD83EA1"/>
    <w:rsid w:val="6ADE74F0"/>
    <w:rsid w:val="6B167F73"/>
    <w:rsid w:val="6B1D62E8"/>
    <w:rsid w:val="6B513AF9"/>
    <w:rsid w:val="6B723594"/>
    <w:rsid w:val="6B805156"/>
    <w:rsid w:val="6B945E48"/>
    <w:rsid w:val="6BD50977"/>
    <w:rsid w:val="6BE450D3"/>
    <w:rsid w:val="6BE60C84"/>
    <w:rsid w:val="6C587C0E"/>
    <w:rsid w:val="6C6C32E1"/>
    <w:rsid w:val="6C6E3E15"/>
    <w:rsid w:val="6C8B1F5D"/>
    <w:rsid w:val="6CAA3931"/>
    <w:rsid w:val="6CCF3BFB"/>
    <w:rsid w:val="6D290C8C"/>
    <w:rsid w:val="6D325918"/>
    <w:rsid w:val="6D370B82"/>
    <w:rsid w:val="6D3933CA"/>
    <w:rsid w:val="6D6261FE"/>
    <w:rsid w:val="6D7B61EC"/>
    <w:rsid w:val="6D8E03AA"/>
    <w:rsid w:val="6D97152A"/>
    <w:rsid w:val="6DBB089F"/>
    <w:rsid w:val="6DC63038"/>
    <w:rsid w:val="6DE30DE0"/>
    <w:rsid w:val="6DE6130A"/>
    <w:rsid w:val="6DE839B9"/>
    <w:rsid w:val="6DFF0AD3"/>
    <w:rsid w:val="6E09491E"/>
    <w:rsid w:val="6E0D3655"/>
    <w:rsid w:val="6E0D4393"/>
    <w:rsid w:val="6E1A437E"/>
    <w:rsid w:val="6E2B14A0"/>
    <w:rsid w:val="6E3A144E"/>
    <w:rsid w:val="6E5F4465"/>
    <w:rsid w:val="6E6D5DC5"/>
    <w:rsid w:val="6E8421A4"/>
    <w:rsid w:val="6E8B1663"/>
    <w:rsid w:val="6E8C54DA"/>
    <w:rsid w:val="6E9F01EE"/>
    <w:rsid w:val="6EF11E03"/>
    <w:rsid w:val="6EF1241D"/>
    <w:rsid w:val="6EF82916"/>
    <w:rsid w:val="6F0B2DE7"/>
    <w:rsid w:val="6F111C62"/>
    <w:rsid w:val="6F2176E5"/>
    <w:rsid w:val="6F2D79CC"/>
    <w:rsid w:val="6F3A2A5F"/>
    <w:rsid w:val="6F4F7F03"/>
    <w:rsid w:val="6F592303"/>
    <w:rsid w:val="6F5F5B74"/>
    <w:rsid w:val="6F98032D"/>
    <w:rsid w:val="6F9B1C65"/>
    <w:rsid w:val="6FA44937"/>
    <w:rsid w:val="6FCD78C9"/>
    <w:rsid w:val="6FE82C9C"/>
    <w:rsid w:val="6FFB146E"/>
    <w:rsid w:val="6FFC3AA6"/>
    <w:rsid w:val="70160742"/>
    <w:rsid w:val="7030610F"/>
    <w:rsid w:val="70612DB4"/>
    <w:rsid w:val="706516C3"/>
    <w:rsid w:val="70896E68"/>
    <w:rsid w:val="708A4844"/>
    <w:rsid w:val="70C94717"/>
    <w:rsid w:val="70E05E9D"/>
    <w:rsid w:val="71073061"/>
    <w:rsid w:val="7119633D"/>
    <w:rsid w:val="711A201F"/>
    <w:rsid w:val="71396ACC"/>
    <w:rsid w:val="715B60E9"/>
    <w:rsid w:val="716F0EE9"/>
    <w:rsid w:val="7196674D"/>
    <w:rsid w:val="71CD6D08"/>
    <w:rsid w:val="71EA1FED"/>
    <w:rsid w:val="72165C6B"/>
    <w:rsid w:val="722021E3"/>
    <w:rsid w:val="722C6DDA"/>
    <w:rsid w:val="72345748"/>
    <w:rsid w:val="72A64192"/>
    <w:rsid w:val="72B37E1B"/>
    <w:rsid w:val="72E661B1"/>
    <w:rsid w:val="72F90C18"/>
    <w:rsid w:val="730313F6"/>
    <w:rsid w:val="730E4732"/>
    <w:rsid w:val="732A6AD8"/>
    <w:rsid w:val="73370D24"/>
    <w:rsid w:val="73472C84"/>
    <w:rsid w:val="7359268C"/>
    <w:rsid w:val="7366631C"/>
    <w:rsid w:val="736C263C"/>
    <w:rsid w:val="73723640"/>
    <w:rsid w:val="737311F5"/>
    <w:rsid w:val="73761585"/>
    <w:rsid w:val="737711C2"/>
    <w:rsid w:val="739503EB"/>
    <w:rsid w:val="73A05B28"/>
    <w:rsid w:val="73C07D69"/>
    <w:rsid w:val="73DC335B"/>
    <w:rsid w:val="73EF4A19"/>
    <w:rsid w:val="740B60EC"/>
    <w:rsid w:val="744C4A5B"/>
    <w:rsid w:val="74717AE5"/>
    <w:rsid w:val="749E16A8"/>
    <w:rsid w:val="74B42AE4"/>
    <w:rsid w:val="74C54993"/>
    <w:rsid w:val="74D75699"/>
    <w:rsid w:val="750A429D"/>
    <w:rsid w:val="75474B47"/>
    <w:rsid w:val="75614792"/>
    <w:rsid w:val="75761866"/>
    <w:rsid w:val="75784473"/>
    <w:rsid w:val="7582466D"/>
    <w:rsid w:val="75B161B3"/>
    <w:rsid w:val="75C055BD"/>
    <w:rsid w:val="75C46B63"/>
    <w:rsid w:val="75DC6C44"/>
    <w:rsid w:val="7601057E"/>
    <w:rsid w:val="762770AC"/>
    <w:rsid w:val="762F6A19"/>
    <w:rsid w:val="76341B33"/>
    <w:rsid w:val="766A6A22"/>
    <w:rsid w:val="76736B32"/>
    <w:rsid w:val="76793892"/>
    <w:rsid w:val="768811B6"/>
    <w:rsid w:val="76AF35EE"/>
    <w:rsid w:val="76C27A74"/>
    <w:rsid w:val="76E3765E"/>
    <w:rsid w:val="76EA66BD"/>
    <w:rsid w:val="76F302A9"/>
    <w:rsid w:val="76FC2AFA"/>
    <w:rsid w:val="77382E02"/>
    <w:rsid w:val="77527424"/>
    <w:rsid w:val="77653671"/>
    <w:rsid w:val="778546CC"/>
    <w:rsid w:val="778B6B46"/>
    <w:rsid w:val="77A96931"/>
    <w:rsid w:val="77B105D5"/>
    <w:rsid w:val="77B551B3"/>
    <w:rsid w:val="77B56730"/>
    <w:rsid w:val="77B92EBE"/>
    <w:rsid w:val="77BF1E80"/>
    <w:rsid w:val="77C04A8B"/>
    <w:rsid w:val="77D85DB3"/>
    <w:rsid w:val="77EB1B74"/>
    <w:rsid w:val="782A3EA3"/>
    <w:rsid w:val="78A50513"/>
    <w:rsid w:val="78D37FAF"/>
    <w:rsid w:val="78EF7AB5"/>
    <w:rsid w:val="790A4A06"/>
    <w:rsid w:val="790D6849"/>
    <w:rsid w:val="79252148"/>
    <w:rsid w:val="79434BEE"/>
    <w:rsid w:val="794C61E0"/>
    <w:rsid w:val="795767E3"/>
    <w:rsid w:val="79586707"/>
    <w:rsid w:val="796518DD"/>
    <w:rsid w:val="79724BEF"/>
    <w:rsid w:val="797264AC"/>
    <w:rsid w:val="799008E5"/>
    <w:rsid w:val="79AA0532"/>
    <w:rsid w:val="79AB2CDA"/>
    <w:rsid w:val="79C370A4"/>
    <w:rsid w:val="79D23A3D"/>
    <w:rsid w:val="79FE1DDD"/>
    <w:rsid w:val="7A075767"/>
    <w:rsid w:val="7A0C15B3"/>
    <w:rsid w:val="7A212062"/>
    <w:rsid w:val="7A2522C9"/>
    <w:rsid w:val="7A282A11"/>
    <w:rsid w:val="7A3A59B8"/>
    <w:rsid w:val="7A5752EE"/>
    <w:rsid w:val="7A5D0F75"/>
    <w:rsid w:val="7A715CD2"/>
    <w:rsid w:val="7A921E9A"/>
    <w:rsid w:val="7ABF2475"/>
    <w:rsid w:val="7AC21562"/>
    <w:rsid w:val="7AD474A4"/>
    <w:rsid w:val="7AD91F5A"/>
    <w:rsid w:val="7AF55544"/>
    <w:rsid w:val="7AFC38DE"/>
    <w:rsid w:val="7B165244"/>
    <w:rsid w:val="7B217A1E"/>
    <w:rsid w:val="7B2965AD"/>
    <w:rsid w:val="7B303E8C"/>
    <w:rsid w:val="7B39121D"/>
    <w:rsid w:val="7B865D50"/>
    <w:rsid w:val="7B87547C"/>
    <w:rsid w:val="7B8D34C3"/>
    <w:rsid w:val="7B971D84"/>
    <w:rsid w:val="7BAB0CB7"/>
    <w:rsid w:val="7BB4028F"/>
    <w:rsid w:val="7BE85BAB"/>
    <w:rsid w:val="7BF32F03"/>
    <w:rsid w:val="7BF50D2C"/>
    <w:rsid w:val="7C066F4E"/>
    <w:rsid w:val="7C1724A5"/>
    <w:rsid w:val="7C241E55"/>
    <w:rsid w:val="7C273CFF"/>
    <w:rsid w:val="7C52568F"/>
    <w:rsid w:val="7C5C0312"/>
    <w:rsid w:val="7CA54112"/>
    <w:rsid w:val="7CA553D9"/>
    <w:rsid w:val="7CAB27F5"/>
    <w:rsid w:val="7CAF438A"/>
    <w:rsid w:val="7CCE726D"/>
    <w:rsid w:val="7CD71EA3"/>
    <w:rsid w:val="7CE50CE4"/>
    <w:rsid w:val="7CF877E9"/>
    <w:rsid w:val="7D134762"/>
    <w:rsid w:val="7D2E5ABF"/>
    <w:rsid w:val="7D4A45B8"/>
    <w:rsid w:val="7D642BD6"/>
    <w:rsid w:val="7D924F14"/>
    <w:rsid w:val="7E007625"/>
    <w:rsid w:val="7E0737C8"/>
    <w:rsid w:val="7E131C51"/>
    <w:rsid w:val="7E176B90"/>
    <w:rsid w:val="7E2142A2"/>
    <w:rsid w:val="7E240411"/>
    <w:rsid w:val="7E5148A6"/>
    <w:rsid w:val="7E6A046F"/>
    <w:rsid w:val="7E797DE5"/>
    <w:rsid w:val="7E7B0BF2"/>
    <w:rsid w:val="7E8D75B6"/>
    <w:rsid w:val="7E8E672B"/>
    <w:rsid w:val="7EB16167"/>
    <w:rsid w:val="7EF760EE"/>
    <w:rsid w:val="7F193E37"/>
    <w:rsid w:val="7F2536B5"/>
    <w:rsid w:val="7F383117"/>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5">
    <w:name w:val="heading 1"/>
    <w:basedOn w:val="1"/>
    <w:next w:val="1"/>
    <w:link w:val="74"/>
    <w:qFormat/>
    <w:uiPriority w:val="9"/>
    <w:pPr>
      <w:keepNext/>
      <w:keepLines/>
      <w:spacing w:before="340" w:after="330" w:line="576" w:lineRule="auto"/>
      <w:outlineLvl w:val="0"/>
    </w:pPr>
    <w:rPr>
      <w:b/>
      <w:kern w:val="44"/>
      <w:sz w:val="44"/>
    </w:rPr>
  </w:style>
  <w:style w:type="paragraph" w:styleId="6">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41"/>
    <w:unhideWhenUsed/>
    <w:qFormat/>
    <w:uiPriority w:val="9"/>
    <w:pPr>
      <w:keepNext/>
      <w:keepLines/>
      <w:spacing w:before="260" w:after="260" w:line="416" w:lineRule="auto"/>
      <w:outlineLvl w:val="2"/>
    </w:pPr>
    <w:rPr>
      <w:b/>
      <w:bCs/>
      <w:sz w:val="32"/>
      <w:szCs w:val="32"/>
    </w:rPr>
  </w:style>
  <w:style w:type="paragraph" w:styleId="8">
    <w:name w:val="heading 4"/>
    <w:basedOn w:val="1"/>
    <w:next w:val="1"/>
    <w:link w:val="43"/>
    <w:unhideWhenUsed/>
    <w:qFormat/>
    <w:uiPriority w:val="9"/>
    <w:pPr>
      <w:keepNext/>
      <w:keepLines/>
      <w:outlineLvl w:val="3"/>
    </w:pPr>
    <w:rPr>
      <w:rFonts w:asciiTheme="majorHAnsi" w:hAnsiTheme="majorHAnsi" w:cstheme="majorBidi"/>
      <w:b/>
      <w:bCs/>
      <w:sz w:val="24"/>
      <w:szCs w:val="28"/>
    </w:rPr>
  </w:style>
  <w:style w:type="paragraph" w:styleId="9">
    <w:name w:val="heading 5"/>
    <w:basedOn w:val="1"/>
    <w:next w:val="1"/>
    <w:link w:val="73"/>
    <w:semiHidden/>
    <w:unhideWhenUsed/>
    <w:qFormat/>
    <w:uiPriority w:val="9"/>
    <w:pPr>
      <w:keepNext/>
      <w:keepLines/>
      <w:spacing w:before="280" w:after="290" w:line="372" w:lineRule="auto"/>
      <w:outlineLvl w:val="4"/>
    </w:pPr>
    <w:rPr>
      <w:b/>
      <w:sz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left="0" w:leftChars="0" w:firstLine="420" w:firstLineChars="200"/>
    </w:pPr>
    <w:rPr>
      <w:rFonts w:ascii="Tahoma" w:hAnsi="Tahoma"/>
      <w:sz w:val="28"/>
    </w:rPr>
  </w:style>
  <w:style w:type="paragraph" w:styleId="3">
    <w:name w:val="Body Text Indent"/>
    <w:basedOn w:val="4"/>
    <w:qFormat/>
    <w:uiPriority w:val="0"/>
    <w:pPr>
      <w:ind w:left="359" w:leftChars="171" w:firstLine="179" w:firstLineChars="85"/>
    </w:pPr>
    <w:rPr>
      <w:rFonts w:ascii="宋体" w:hAnsi="宋体"/>
      <w:b/>
      <w:bCs/>
      <w:szCs w:val="26"/>
    </w:rPr>
  </w:style>
  <w:style w:type="paragraph" w:customStyle="1" w:styleId="4">
    <w:name w:val="Normal_7_0"/>
    <w:qFormat/>
    <w:uiPriority w:val="0"/>
    <w:pPr>
      <w:widowControl w:val="0"/>
      <w:jc w:val="both"/>
    </w:pPr>
    <w:rPr>
      <w:rFonts w:ascii="宋体" w:hAnsi="宋体" w:eastAsia="宋体" w:cs="宋体"/>
      <w:lang w:val="en-US" w:eastAsia="zh-CN" w:bidi="ar-SA"/>
    </w:rPr>
  </w:style>
  <w:style w:type="paragraph" w:styleId="10">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1">
    <w:name w:val="annotation text"/>
    <w:basedOn w:val="1"/>
    <w:link w:val="62"/>
    <w:unhideWhenUsed/>
    <w:qFormat/>
    <w:uiPriority w:val="99"/>
  </w:style>
  <w:style w:type="paragraph" w:styleId="12">
    <w:name w:val="Body Text"/>
    <w:basedOn w:val="1"/>
    <w:link w:val="65"/>
    <w:qFormat/>
    <w:uiPriority w:val="1"/>
    <w:pPr>
      <w:spacing w:before="161"/>
      <w:ind w:left="120"/>
    </w:pPr>
    <w:rPr>
      <w:rFonts w:ascii="宋体" w:hAnsi="宋体" w:cs="宋体"/>
      <w:sz w:val="24"/>
      <w:lang w:val="zh-CN" w:bidi="zh-CN"/>
    </w:rPr>
  </w:style>
  <w:style w:type="paragraph" w:styleId="13">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4">
    <w:name w:val="toc 3"/>
    <w:basedOn w:val="1"/>
    <w:next w:val="1"/>
    <w:unhideWhenUsed/>
    <w:qFormat/>
    <w:uiPriority w:val="39"/>
    <w:pPr>
      <w:tabs>
        <w:tab w:val="right" w:leader="dot" w:pos="8296"/>
      </w:tabs>
      <w:ind w:left="838" w:leftChars="381"/>
    </w:pPr>
    <w:rPr>
      <w:szCs w:val="21"/>
    </w:rPr>
  </w:style>
  <w:style w:type="paragraph" w:styleId="15">
    <w:name w:val="Plain Text"/>
    <w:basedOn w:val="1"/>
    <w:link w:val="54"/>
    <w:qFormat/>
    <w:uiPriority w:val="0"/>
    <w:pPr>
      <w:widowControl w:val="0"/>
      <w:adjustRightInd/>
      <w:snapToGrid/>
      <w:jc w:val="both"/>
    </w:pPr>
    <w:rPr>
      <w:rFonts w:ascii="宋体" w:hAnsi="Courier New" w:cs="Times New Roman"/>
      <w:b/>
      <w:kern w:val="2"/>
      <w:szCs w:val="20"/>
    </w:rPr>
  </w:style>
  <w:style w:type="paragraph" w:styleId="16">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7">
    <w:name w:val="Balloon Text"/>
    <w:basedOn w:val="1"/>
    <w:link w:val="57"/>
    <w:semiHidden/>
    <w:unhideWhenUsed/>
    <w:qFormat/>
    <w:uiPriority w:val="99"/>
    <w:rPr>
      <w:sz w:val="18"/>
      <w:szCs w:val="18"/>
    </w:rPr>
  </w:style>
  <w:style w:type="paragraph" w:styleId="18">
    <w:name w:val="footer"/>
    <w:basedOn w:val="1"/>
    <w:link w:val="56"/>
    <w:unhideWhenUsed/>
    <w:qFormat/>
    <w:uiPriority w:val="99"/>
    <w:pPr>
      <w:tabs>
        <w:tab w:val="center" w:pos="4153"/>
        <w:tab w:val="right" w:pos="8306"/>
      </w:tabs>
    </w:pPr>
    <w:rPr>
      <w:sz w:val="18"/>
      <w:szCs w:val="18"/>
    </w:rPr>
  </w:style>
  <w:style w:type="paragraph" w:styleId="19">
    <w:name w:val="header"/>
    <w:basedOn w:val="1"/>
    <w:link w:val="55"/>
    <w:unhideWhenUsed/>
    <w:qFormat/>
    <w:uiPriority w:val="99"/>
    <w:pPr>
      <w:pBdr>
        <w:bottom w:val="single" w:color="auto" w:sz="6" w:space="1"/>
      </w:pBdr>
      <w:tabs>
        <w:tab w:val="center" w:pos="4153"/>
        <w:tab w:val="right" w:pos="8306"/>
      </w:tabs>
      <w:jc w:val="center"/>
    </w:pPr>
    <w:rPr>
      <w:sz w:val="18"/>
      <w:szCs w:val="18"/>
    </w:rPr>
  </w:style>
  <w:style w:type="paragraph" w:styleId="20">
    <w:name w:val="toc 1"/>
    <w:basedOn w:val="1"/>
    <w:next w:val="1"/>
    <w:unhideWhenUsed/>
    <w:qFormat/>
    <w:uiPriority w:val="39"/>
  </w:style>
  <w:style w:type="paragraph" w:styleId="21">
    <w:name w:val="toc 4"/>
    <w:basedOn w:val="1"/>
    <w:next w:val="1"/>
    <w:unhideWhenUsed/>
    <w:qFormat/>
    <w:uiPriority w:val="39"/>
    <w:pPr>
      <w:tabs>
        <w:tab w:val="right" w:leader="dot" w:pos="8296"/>
      </w:tabs>
      <w:spacing w:after="120"/>
      <w:ind w:left="1320" w:leftChars="600"/>
    </w:pPr>
  </w:style>
  <w:style w:type="paragraph" w:styleId="22">
    <w:name w:val="footnote text"/>
    <w:basedOn w:val="1"/>
    <w:semiHidden/>
    <w:unhideWhenUsed/>
    <w:qFormat/>
    <w:uiPriority w:val="99"/>
    <w:rPr>
      <w:sz w:val="18"/>
    </w:rPr>
  </w:style>
  <w:style w:type="paragraph" w:styleId="23">
    <w:name w:val="toc 6"/>
    <w:basedOn w:val="1"/>
    <w:next w:val="1"/>
    <w:qFormat/>
    <w:uiPriority w:val="39"/>
    <w:pPr>
      <w:ind w:left="1200"/>
    </w:pPr>
    <w:rPr>
      <w:rFonts w:ascii="Calibri" w:cs="Calibri"/>
      <w:sz w:val="18"/>
      <w:szCs w:val="18"/>
    </w:rPr>
  </w:style>
  <w:style w:type="paragraph" w:styleId="24">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5">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6">
    <w:name w:val="Normal (Web)"/>
    <w:basedOn w:val="1"/>
    <w:link w:val="59"/>
    <w:qFormat/>
    <w:uiPriority w:val="0"/>
    <w:pPr>
      <w:widowControl w:val="0"/>
      <w:adjustRightInd/>
      <w:snapToGrid/>
      <w:jc w:val="both"/>
    </w:pPr>
    <w:rPr>
      <w:rFonts w:asciiTheme="minorHAnsi" w:hAnsiTheme="minorHAnsi"/>
      <w:kern w:val="2"/>
      <w:sz w:val="24"/>
      <w:szCs w:val="24"/>
    </w:rPr>
  </w:style>
  <w:style w:type="paragraph" w:styleId="27">
    <w:name w:val="annotation subject"/>
    <w:basedOn w:val="11"/>
    <w:next w:val="11"/>
    <w:link w:val="63"/>
    <w:semiHidden/>
    <w:unhideWhenUsed/>
    <w:qFormat/>
    <w:uiPriority w:val="99"/>
    <w:rPr>
      <w:b/>
      <w:bCs/>
    </w:rPr>
  </w:style>
  <w:style w:type="table" w:styleId="29">
    <w:name w:val="Table Grid"/>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qFormat/>
    <w:uiPriority w:val="0"/>
  </w:style>
  <w:style w:type="character" w:styleId="32">
    <w:name w:val="Emphasis"/>
    <w:basedOn w:val="30"/>
    <w:qFormat/>
    <w:uiPriority w:val="20"/>
    <w:rPr>
      <w:i/>
      <w:iCs/>
    </w:rPr>
  </w:style>
  <w:style w:type="character" w:styleId="33">
    <w:name w:val="Hyperlink"/>
    <w:qFormat/>
    <w:uiPriority w:val="99"/>
    <w:rPr>
      <w:rFonts w:hint="eastAsia" w:ascii="宋体" w:hAnsi="宋体" w:eastAsia="宋体" w:cs="宋体"/>
      <w:b/>
      <w:color w:val="0031C1"/>
      <w:kern w:val="0"/>
      <w:sz w:val="18"/>
      <w:szCs w:val="18"/>
      <w:u w:val="none"/>
      <w:lang w:eastAsia="en-US"/>
    </w:rPr>
  </w:style>
  <w:style w:type="character" w:styleId="34">
    <w:name w:val="annotation reference"/>
    <w:basedOn w:val="30"/>
    <w:semiHidden/>
    <w:unhideWhenUsed/>
    <w:qFormat/>
    <w:uiPriority w:val="99"/>
    <w:rPr>
      <w:sz w:val="21"/>
      <w:szCs w:val="21"/>
    </w:rPr>
  </w:style>
  <w:style w:type="character" w:styleId="35">
    <w:name w:val="footnote reference"/>
    <w:basedOn w:val="30"/>
    <w:semiHidden/>
    <w:unhideWhenUsed/>
    <w:qFormat/>
    <w:uiPriority w:val="99"/>
    <w:rPr>
      <w:vertAlign w:val="superscript"/>
    </w:rPr>
  </w:style>
  <w:style w:type="paragraph" w:customStyle="1" w:styleId="36">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37">
    <w:name w:val="Body Text First Indent1"/>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38">
    <w:name w:val="样式 正文首行缩进 + 首行缩进:  1 字符"/>
    <w:basedOn w:val="1"/>
    <w:next w:val="1"/>
    <w:qFormat/>
    <w:uiPriority w:val="0"/>
    <w:pPr>
      <w:ind w:firstLine="200" w:firstLineChars="200"/>
    </w:pPr>
    <w:rPr>
      <w:rFonts w:cs="宋体"/>
      <w:szCs w:val="20"/>
    </w:rPr>
  </w:style>
  <w:style w:type="paragraph" w:customStyle="1" w:styleId="39">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0">
    <w:name w:val="标题 2 字符"/>
    <w:basedOn w:val="30"/>
    <w:link w:val="6"/>
    <w:qFormat/>
    <w:uiPriority w:val="9"/>
    <w:rPr>
      <w:rFonts w:asciiTheme="majorHAnsi" w:hAnsiTheme="majorHAnsi" w:eastAsiaTheme="majorEastAsia" w:cstheme="majorBidi"/>
      <w:b/>
      <w:bCs/>
      <w:sz w:val="32"/>
      <w:szCs w:val="32"/>
    </w:rPr>
  </w:style>
  <w:style w:type="character" w:customStyle="1" w:styleId="41">
    <w:name w:val="标题 3 字符"/>
    <w:basedOn w:val="30"/>
    <w:link w:val="7"/>
    <w:qFormat/>
    <w:uiPriority w:val="9"/>
    <w:rPr>
      <w:rFonts w:ascii="Tahoma" w:hAnsi="Tahoma"/>
      <w:b/>
      <w:bCs/>
      <w:sz w:val="32"/>
      <w:szCs w:val="32"/>
    </w:rPr>
  </w:style>
  <w:style w:type="paragraph" w:styleId="42">
    <w:name w:val="List Paragraph"/>
    <w:basedOn w:val="1"/>
    <w:link w:val="64"/>
    <w:qFormat/>
    <w:uiPriority w:val="0"/>
    <w:pPr>
      <w:ind w:firstLine="420" w:firstLineChars="200"/>
    </w:pPr>
  </w:style>
  <w:style w:type="character" w:customStyle="1" w:styleId="43">
    <w:name w:val="标题 4 字符"/>
    <w:basedOn w:val="30"/>
    <w:link w:val="8"/>
    <w:qFormat/>
    <w:uiPriority w:val="9"/>
    <w:rPr>
      <w:rFonts w:eastAsia="宋体" w:asciiTheme="majorHAnsi" w:hAnsiTheme="majorHAnsi" w:cstheme="majorBidi"/>
      <w:b/>
      <w:bCs/>
      <w:sz w:val="24"/>
      <w:szCs w:val="28"/>
    </w:rPr>
  </w:style>
  <w:style w:type="character" w:customStyle="1" w:styleId="44">
    <w:name w:val="正文缩进2格 Char"/>
    <w:link w:val="45"/>
    <w:qFormat/>
    <w:uiPriority w:val="0"/>
    <w:rPr>
      <w:rFonts w:ascii="仿宋_GB2312" w:hAnsi="宋体" w:eastAsia="仿宋_GB2312"/>
      <w:kern w:val="2"/>
      <w:sz w:val="31"/>
    </w:rPr>
  </w:style>
  <w:style w:type="paragraph" w:customStyle="1" w:styleId="45">
    <w:name w:val="正文缩进2格"/>
    <w:basedOn w:val="1"/>
    <w:link w:val="44"/>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6">
    <w:name w:val="正文缩进4格"/>
    <w:basedOn w:val="45"/>
    <w:qFormat/>
    <w:uiPriority w:val="0"/>
    <w:pPr>
      <w:ind w:left="2" w:firstLine="538" w:firstLineChars="192"/>
    </w:pPr>
    <w:rPr>
      <w:color w:val="0000FF"/>
      <w:sz w:val="28"/>
    </w:rPr>
  </w:style>
  <w:style w:type="character" w:customStyle="1" w:styleId="47">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8">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49">
    <w:name w:val="标题1"/>
    <w:qFormat/>
    <w:uiPriority w:val="0"/>
    <w:rPr>
      <w:rFonts w:ascii="Times New Roman" w:hAnsi="Times New Roman" w:eastAsia="宋体" w:cs="Times New Roman"/>
      <w:b/>
      <w:kern w:val="0"/>
      <w:sz w:val="24"/>
      <w:szCs w:val="20"/>
      <w:lang w:eastAsia="en-US"/>
    </w:rPr>
  </w:style>
  <w:style w:type="character" w:customStyle="1" w:styleId="50">
    <w:name w:val="标题 3.1 Char"/>
    <w:link w:val="51"/>
    <w:qFormat/>
    <w:uiPriority w:val="0"/>
    <w:rPr>
      <w:rFonts w:ascii="宋体" w:hAnsi="宋体" w:eastAsia="宋体"/>
      <w:b/>
      <w:color w:val="FF0000"/>
      <w:kern w:val="2"/>
      <w:sz w:val="32"/>
    </w:rPr>
  </w:style>
  <w:style w:type="paragraph" w:customStyle="1" w:styleId="51">
    <w:name w:val="标题 3.1"/>
    <w:basedOn w:val="7"/>
    <w:link w:val="50"/>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2">
    <w:name w:val="样式 楷体_GB2312 小四"/>
    <w:qFormat/>
    <w:uiPriority w:val="0"/>
    <w:rPr>
      <w:rFonts w:ascii="楷体_GB2312" w:hAnsi="楷体_GB2312" w:eastAsia="仿宋_GB2312"/>
      <w:sz w:val="24"/>
    </w:rPr>
  </w:style>
  <w:style w:type="character" w:customStyle="1" w:styleId="53">
    <w:name w:val="纯文本 Char"/>
    <w:qFormat/>
    <w:uiPriority w:val="0"/>
    <w:rPr>
      <w:rFonts w:ascii="宋体" w:hAnsi="Courier New" w:eastAsia="宋体" w:cs="Times New Roman"/>
      <w:b/>
      <w:kern w:val="2"/>
      <w:sz w:val="21"/>
      <w:szCs w:val="20"/>
    </w:rPr>
  </w:style>
  <w:style w:type="character" w:customStyle="1" w:styleId="54">
    <w:name w:val="纯文本 字符"/>
    <w:basedOn w:val="30"/>
    <w:link w:val="15"/>
    <w:semiHidden/>
    <w:qFormat/>
    <w:uiPriority w:val="99"/>
    <w:rPr>
      <w:rFonts w:ascii="宋体" w:hAnsi="Courier New" w:eastAsia="宋体" w:cs="Courier New"/>
      <w:sz w:val="21"/>
      <w:szCs w:val="21"/>
    </w:rPr>
  </w:style>
  <w:style w:type="character" w:customStyle="1" w:styleId="55">
    <w:name w:val="页眉 字符"/>
    <w:basedOn w:val="30"/>
    <w:link w:val="19"/>
    <w:qFormat/>
    <w:uiPriority w:val="99"/>
    <w:rPr>
      <w:rFonts w:ascii="Tahoma" w:hAnsi="Tahoma"/>
      <w:sz w:val="18"/>
      <w:szCs w:val="18"/>
    </w:rPr>
  </w:style>
  <w:style w:type="character" w:customStyle="1" w:styleId="56">
    <w:name w:val="页脚 字符"/>
    <w:basedOn w:val="30"/>
    <w:link w:val="18"/>
    <w:qFormat/>
    <w:uiPriority w:val="99"/>
    <w:rPr>
      <w:rFonts w:ascii="Tahoma" w:hAnsi="Tahoma"/>
      <w:sz w:val="18"/>
      <w:szCs w:val="18"/>
    </w:rPr>
  </w:style>
  <w:style w:type="character" w:customStyle="1" w:styleId="57">
    <w:name w:val="批注框文本 字符"/>
    <w:basedOn w:val="30"/>
    <w:link w:val="17"/>
    <w:semiHidden/>
    <w:qFormat/>
    <w:uiPriority w:val="99"/>
    <w:rPr>
      <w:rFonts w:ascii="Tahoma" w:hAnsi="Tahoma"/>
      <w:sz w:val="18"/>
      <w:szCs w:val="18"/>
    </w:rPr>
  </w:style>
  <w:style w:type="paragraph" w:customStyle="1" w:styleId="58">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59">
    <w:name w:val="普通(网站) 字符"/>
    <w:link w:val="26"/>
    <w:qFormat/>
    <w:uiPriority w:val="0"/>
    <w:rPr>
      <w:rFonts w:eastAsia="宋体"/>
      <w:kern w:val="2"/>
      <w:sz w:val="24"/>
      <w:szCs w:val="24"/>
    </w:rPr>
  </w:style>
  <w:style w:type="paragraph" w:customStyle="1" w:styleId="60">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1">
    <w:name w:val="p141"/>
    <w:qFormat/>
    <w:uiPriority w:val="0"/>
    <w:rPr>
      <w:sz w:val="21"/>
      <w:szCs w:val="21"/>
    </w:rPr>
  </w:style>
  <w:style w:type="character" w:customStyle="1" w:styleId="62">
    <w:name w:val="批注文字 字符"/>
    <w:basedOn w:val="30"/>
    <w:link w:val="11"/>
    <w:qFormat/>
    <w:uiPriority w:val="99"/>
    <w:rPr>
      <w:rFonts w:ascii="Tahoma" w:hAnsi="Tahoma" w:eastAsia="微软雅黑" w:cstheme="minorBidi"/>
      <w:sz w:val="22"/>
      <w:szCs w:val="22"/>
    </w:rPr>
  </w:style>
  <w:style w:type="character" w:customStyle="1" w:styleId="63">
    <w:name w:val="批注主题 字符"/>
    <w:basedOn w:val="62"/>
    <w:link w:val="27"/>
    <w:semiHidden/>
    <w:qFormat/>
    <w:uiPriority w:val="99"/>
    <w:rPr>
      <w:rFonts w:ascii="Tahoma" w:hAnsi="Tahoma" w:eastAsia="微软雅黑" w:cstheme="minorBidi"/>
      <w:b/>
      <w:bCs/>
      <w:sz w:val="22"/>
      <w:szCs w:val="22"/>
    </w:rPr>
  </w:style>
  <w:style w:type="character" w:customStyle="1" w:styleId="64">
    <w:name w:val="列表段落 字符"/>
    <w:link w:val="42"/>
    <w:qFormat/>
    <w:uiPriority w:val="0"/>
    <w:rPr>
      <w:rFonts w:ascii="Tahoma" w:hAnsi="Tahoma" w:eastAsia="微软雅黑" w:cstheme="minorBidi"/>
      <w:sz w:val="22"/>
      <w:szCs w:val="22"/>
    </w:rPr>
  </w:style>
  <w:style w:type="character" w:customStyle="1" w:styleId="65">
    <w:name w:val="正文文本 字符"/>
    <w:basedOn w:val="30"/>
    <w:link w:val="12"/>
    <w:qFormat/>
    <w:uiPriority w:val="1"/>
    <w:rPr>
      <w:rFonts w:ascii="宋体" w:hAnsi="宋体" w:cs="宋体"/>
      <w:sz w:val="24"/>
      <w:szCs w:val="22"/>
      <w:lang w:val="zh-CN" w:bidi="zh-CN"/>
    </w:rPr>
  </w:style>
  <w:style w:type="paragraph" w:customStyle="1" w:styleId="6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7">
    <w:name w:val="_Style 1"/>
    <w:basedOn w:val="1"/>
    <w:qFormat/>
    <w:uiPriority w:val="0"/>
    <w:pPr>
      <w:ind w:firstLine="420" w:firstLineChars="200"/>
    </w:pPr>
  </w:style>
  <w:style w:type="paragraph" w:customStyle="1" w:styleId="68">
    <w:name w:val="列出段落2"/>
    <w:basedOn w:val="1"/>
    <w:qFormat/>
    <w:uiPriority w:val="0"/>
    <w:pPr>
      <w:ind w:firstLine="420" w:firstLineChars="200"/>
    </w:pPr>
  </w:style>
  <w:style w:type="paragraph" w:customStyle="1" w:styleId="69">
    <w:name w:val="p0"/>
    <w:basedOn w:val="1"/>
    <w:qFormat/>
    <w:uiPriority w:val="0"/>
    <w:rPr>
      <w:szCs w:val="21"/>
    </w:rPr>
  </w:style>
  <w:style w:type="paragraph" w:customStyle="1" w:styleId="70">
    <w:name w:val="正文文本缩进 21"/>
    <w:basedOn w:val="1"/>
    <w:qFormat/>
    <w:uiPriority w:val="0"/>
    <w:pPr>
      <w:spacing w:line="480" w:lineRule="auto"/>
      <w:ind w:firstLine="540"/>
    </w:pPr>
    <w:rPr>
      <w:rFonts w:ascii="Calibri" w:hAnsi="Calibri"/>
      <w:sz w:val="20"/>
      <w:szCs w:val="20"/>
    </w:rPr>
  </w:style>
  <w:style w:type="paragraph" w:customStyle="1" w:styleId="71">
    <w:name w:val="_Style 2"/>
    <w:basedOn w:val="1"/>
    <w:qFormat/>
    <w:uiPriority w:val="0"/>
    <w:pPr>
      <w:ind w:firstLine="420" w:firstLineChars="200"/>
    </w:pPr>
  </w:style>
  <w:style w:type="paragraph" w:customStyle="1" w:styleId="72">
    <w:name w:val="msolistparagraph"/>
    <w:basedOn w:val="1"/>
    <w:qFormat/>
    <w:uiPriority w:val="0"/>
    <w:pPr>
      <w:ind w:firstLine="420" w:firstLineChars="200"/>
    </w:pPr>
    <w:rPr>
      <w:rFonts w:hint="eastAsia" w:hAnsi="宋体"/>
    </w:rPr>
  </w:style>
  <w:style w:type="character" w:customStyle="1" w:styleId="73">
    <w:name w:val="标题 5 字符"/>
    <w:link w:val="9"/>
    <w:qFormat/>
    <w:uiPriority w:val="0"/>
    <w:rPr>
      <w:b/>
      <w:sz w:val="28"/>
    </w:rPr>
  </w:style>
  <w:style w:type="character" w:customStyle="1" w:styleId="74">
    <w:name w:val="标题 1 字符"/>
    <w:link w:val="5"/>
    <w:qFormat/>
    <w:uiPriority w:val="9"/>
    <w:rPr>
      <w:b/>
      <w:kern w:val="44"/>
      <w:sz w:val="44"/>
    </w:rPr>
  </w:style>
  <w:style w:type="paragraph" w:customStyle="1" w:styleId="75">
    <w:name w:val="修订1"/>
    <w:hidden/>
    <w:semiHidden/>
    <w:qFormat/>
    <w:uiPriority w:val="99"/>
    <w:rPr>
      <w:rFonts w:ascii="Tahoma" w:hAnsi="Tahoma" w:eastAsia="宋体" w:cstheme="minorBidi"/>
      <w:sz w:val="21"/>
      <w:szCs w:val="22"/>
      <w:lang w:val="en-US" w:eastAsia="zh-CN" w:bidi="ar-SA"/>
    </w:rPr>
  </w:style>
  <w:style w:type="paragraph" w:customStyle="1" w:styleId="76">
    <w:name w:val="表格文字"/>
    <w:basedOn w:val="1"/>
    <w:qFormat/>
    <w:uiPriority w:val="0"/>
    <w:pPr>
      <w:adjustRightInd/>
      <w:spacing w:before="25" w:after="25"/>
    </w:pPr>
    <w:rPr>
      <w:rFonts w:ascii="Times New Roman"/>
      <w:bCs/>
      <w:spacing w:val="10"/>
      <w:szCs w:val="20"/>
    </w:rPr>
  </w:style>
  <w:style w:type="paragraph" w:customStyle="1" w:styleId="77">
    <w:name w:val="纯文本1"/>
    <w:basedOn w:val="78"/>
    <w:qFormat/>
    <w:uiPriority w:val="0"/>
    <w:rPr>
      <w:rFonts w:ascii="宋体" w:hAnsi="Courier New"/>
      <w:szCs w:val="20"/>
    </w:rPr>
  </w:style>
  <w:style w:type="paragraph" w:customStyle="1" w:styleId="78">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79">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0">
    <w:name w:val="Table Normal"/>
    <w:semiHidden/>
    <w:unhideWhenUsed/>
    <w:qFormat/>
    <w:uiPriority w:val="2"/>
    <w:tblPr>
      <w:tblCellMar>
        <w:top w:w="0" w:type="dxa"/>
        <w:left w:w="0" w:type="dxa"/>
        <w:bottom w:w="0" w:type="dxa"/>
        <w:right w:w="0" w:type="dxa"/>
      </w:tblCellMar>
    </w:tblPr>
  </w:style>
  <w:style w:type="paragraph" w:customStyle="1" w:styleId="81">
    <w:name w:val="Table Paragraph"/>
    <w:basedOn w:val="1"/>
    <w:qFormat/>
    <w:uiPriority w:val="1"/>
  </w:style>
  <w:style w:type="paragraph" w:customStyle="1" w:styleId="82">
    <w:name w:val="正文文本缩进1"/>
    <w:basedOn w:val="78"/>
    <w:qFormat/>
    <w:uiPriority w:val="0"/>
    <w:pPr>
      <w:spacing w:after="120"/>
      <w:ind w:left="420" w:leftChars="200"/>
    </w:pPr>
  </w:style>
  <w:style w:type="paragraph" w:customStyle="1" w:styleId="83">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4">
    <w:name w:val="纯文本2"/>
    <w:basedOn w:val="78"/>
    <w:qFormat/>
    <w:uiPriority w:val="0"/>
    <w:rPr>
      <w:rFonts w:ascii="宋体" w:hAnsi="Courier New"/>
      <w:szCs w:val="20"/>
    </w:rPr>
  </w:style>
  <w:style w:type="character" w:customStyle="1" w:styleId="85">
    <w:name w:val="font141"/>
    <w:qFormat/>
    <w:uiPriority w:val="0"/>
    <w:rPr>
      <w:rFonts w:hint="default" w:ascii="Times New Roman" w:hAnsi="Times New Roman" w:cs="Times New Roman"/>
      <w:color w:val="000000"/>
      <w:sz w:val="18"/>
      <w:szCs w:val="18"/>
      <w:u w:val="none"/>
    </w:rPr>
  </w:style>
  <w:style w:type="character" w:customStyle="1" w:styleId="86">
    <w:name w:val="font71"/>
    <w:qFormat/>
    <w:uiPriority w:val="0"/>
    <w:rPr>
      <w:rFonts w:hint="eastAsia" w:ascii="宋体" w:hAnsi="宋体" w:eastAsia="宋体" w:cs="宋体"/>
      <w:color w:val="000000"/>
      <w:sz w:val="18"/>
      <w:szCs w:val="18"/>
      <w:u w:val="none"/>
    </w:rPr>
  </w:style>
  <w:style w:type="paragraph" w:customStyle="1" w:styleId="87">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88">
    <w:name w:val="table"/>
    <w:qFormat/>
    <w:uiPriority w:val="0"/>
    <w:pPr>
      <w:adjustRightInd w:val="0"/>
      <w:snapToGrid w:val="0"/>
    </w:pPr>
    <w:rPr>
      <w:rFonts w:hint="default" w:ascii="宋体"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3.png"/><Relationship Id="rId25" Type="http://schemas.openxmlformats.org/officeDocument/2006/relationships/image" Target="media/image2.png"/><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10.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128</Pages>
  <Words>10108</Words>
  <Characters>10951</Characters>
  <Lines>67</Lines>
  <Paragraphs>66</Paragraphs>
  <TotalTime>0</TotalTime>
  <ScaleCrop>false</ScaleCrop>
  <LinksUpToDate>false</LinksUpToDate>
  <CharactersWithSpaces>11263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HM</cp:lastModifiedBy>
  <cp:lastPrinted>2025-09-29T10:34:00Z</cp:lastPrinted>
  <dcterms:modified xsi:type="dcterms:W3CDTF">2025-09-30T06:41:16Z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AC60154F674741D6833D181B1A462136_13</vt:lpwstr>
  </property>
  <property fmtid="{D5CDD505-2E9C-101B-9397-08002B2CF9AE}" pid="4" name="KSOTemplateDocerSaveRecord">
    <vt:lpwstr>eyJoZGlkIjoiMmFiMDU3Y2U1Zjg3MjM0NTQwZTA0MDhjZjU3NDlkYWIiLCJ1c2VySWQiOiIxMTM0Mjg2OTExIn0=</vt:lpwstr>
  </property>
</Properties>
</file>