
<file path=[Content_Types].xml><?xml version="1.0" encoding="utf-8"?>
<Types xmlns="http://schemas.openxmlformats.org/package/2006/content-types">
  <Default Extension="xml" ContentType="application/xml"/>
  <Default Extension="bin" ContentType="application/vnd.openxmlformats-officedocument.oleObject"/>
  <Default Extension="jpeg" ContentType="image/jpeg"/>
  <Default Extension="JPG" ContentType="image/.jpg"/>
  <Default Extension="emf" ContentType="image/x-emf"/>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052CBB5">
      <w:pPr>
        <w:pStyle w:val="19"/>
        <w:ind w:firstLine="400"/>
        <w:rPr>
          <w:color w:val="auto"/>
          <w:highlight w:val="none"/>
        </w:rPr>
      </w:pPr>
      <w:r>
        <w:rPr>
          <w:rFonts w:hint="eastAsia" w:eastAsia="宋体"/>
          <w:color w:val="auto"/>
          <w:sz w:val="40"/>
          <w:szCs w:val="40"/>
          <w:highlight w:val="none"/>
          <w:lang w:eastAsia="zh-CN"/>
        </w:rPr>
        <w:drawing>
          <wp:anchor distT="0" distB="0" distL="114300" distR="114300" simplePos="0" relativeHeight="251660288" behindDoc="0" locked="0" layoutInCell="1" allowOverlap="1">
            <wp:simplePos x="0" y="0"/>
            <wp:positionH relativeFrom="column">
              <wp:posOffset>-1133475</wp:posOffset>
            </wp:positionH>
            <wp:positionV relativeFrom="paragraph">
              <wp:posOffset>-923925</wp:posOffset>
            </wp:positionV>
            <wp:extent cx="7566660" cy="10695305"/>
            <wp:effectExtent l="0" t="0" r="15240" b="10795"/>
            <wp:wrapNone/>
            <wp:docPr id="5" name="图片 5" descr="2025093010083720100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202509301008372010000"/>
                    <pic:cNvPicPr>
                      <a:picLocks noChangeAspect="1"/>
                    </pic:cNvPicPr>
                  </pic:nvPicPr>
                  <pic:blipFill>
                    <a:blip r:embed="rId11"/>
                    <a:stretch>
                      <a:fillRect/>
                    </a:stretch>
                  </pic:blipFill>
                  <pic:spPr>
                    <a:xfrm>
                      <a:off x="0" y="0"/>
                      <a:ext cx="7566660" cy="10695305"/>
                    </a:xfrm>
                    <a:prstGeom prst="rect">
                      <a:avLst/>
                    </a:prstGeom>
                  </pic:spPr>
                </pic:pic>
              </a:graphicData>
            </a:graphic>
          </wp:anchor>
        </w:drawing>
      </w:r>
    </w:p>
    <w:p w14:paraId="70C252AD">
      <w:pPr>
        <w:rPr>
          <w:rFonts w:hint="eastAsia" w:eastAsia="宋体"/>
          <w:color w:val="auto"/>
          <w:sz w:val="40"/>
          <w:szCs w:val="40"/>
          <w:highlight w:val="none"/>
          <w:lang w:eastAsia="zh-CN"/>
        </w:rPr>
      </w:pPr>
      <w:r>
        <w:rPr>
          <w:rFonts w:hint="eastAsia"/>
          <w:color w:val="auto"/>
          <w:sz w:val="40"/>
          <w:szCs w:val="40"/>
          <w:highlight w:val="none"/>
        </w:rPr>
        <w:br w:type="page"/>
      </w:r>
    </w:p>
    <w:p w14:paraId="0E365220">
      <w:pPr>
        <w:pStyle w:val="13"/>
        <w:ind w:left="0" w:leftChars="0"/>
        <w:rPr>
          <w:color w:val="auto"/>
          <w:sz w:val="40"/>
          <w:szCs w:val="40"/>
          <w:highlight w:val="none"/>
        </w:rPr>
      </w:pPr>
      <w:r>
        <w:rPr>
          <w:rFonts w:hint="eastAsia"/>
          <w:color w:val="auto"/>
          <w:sz w:val="40"/>
          <w:szCs w:val="40"/>
          <w:highlight w:val="none"/>
        </w:rPr>
        <w:t>目录</w:t>
      </w:r>
    </w:p>
    <w:p w14:paraId="4426A813">
      <w:pPr>
        <w:pStyle w:val="13"/>
        <w:tabs>
          <w:tab w:val="right" w:leader="dot" w:pos="8306"/>
          <w:tab w:val="clear" w:pos="8296"/>
        </w:tabs>
        <w:rPr>
          <w:rFonts w:hint="eastAsia" w:ascii="宋体" w:hAnsi="宋体" w:eastAsia="宋体" w:cs="宋体"/>
          <w:sz w:val="21"/>
          <w:szCs w:val="21"/>
        </w:rPr>
      </w:pPr>
      <w:r>
        <w:rPr>
          <w:rFonts w:hint="eastAsia" w:ascii="宋体" w:hAnsi="宋体" w:eastAsia="宋体" w:cs="宋体"/>
          <w:color w:val="auto"/>
          <w:sz w:val="21"/>
          <w:szCs w:val="21"/>
          <w:highlight w:val="none"/>
        </w:rPr>
        <w:fldChar w:fldCharType="begin"/>
      </w:r>
      <w:r>
        <w:rPr>
          <w:rFonts w:hint="eastAsia" w:ascii="宋体" w:hAnsi="宋体" w:eastAsia="宋体" w:cs="宋体"/>
          <w:color w:val="auto"/>
          <w:sz w:val="21"/>
          <w:szCs w:val="21"/>
          <w:highlight w:val="none"/>
        </w:rPr>
        <w:instrText xml:space="preserve"> TOC \o "1-4" \h \z \u </w:instrText>
      </w:r>
      <w:r>
        <w:rPr>
          <w:rFonts w:hint="eastAsia" w:ascii="宋体" w:hAnsi="宋体" w:eastAsia="宋体" w:cs="宋体"/>
          <w:color w:val="auto"/>
          <w:sz w:val="21"/>
          <w:szCs w:val="21"/>
          <w:highlight w:val="none"/>
        </w:rPr>
        <w:fldChar w:fldCharType="separate"/>
      </w:r>
      <w:r>
        <w:rPr>
          <w:rFonts w:hint="eastAsia" w:ascii="宋体" w:hAnsi="宋体" w:eastAsia="宋体" w:cs="宋体"/>
          <w:color w:val="auto"/>
          <w:sz w:val="21"/>
          <w:szCs w:val="21"/>
          <w:highlight w:val="none"/>
        </w:rPr>
        <w:fldChar w:fldCharType="begin"/>
      </w:r>
      <w:r>
        <w:rPr>
          <w:rFonts w:hint="eastAsia" w:ascii="宋体" w:hAnsi="宋体" w:eastAsia="宋体" w:cs="宋体"/>
          <w:sz w:val="21"/>
          <w:szCs w:val="21"/>
          <w:highlight w:val="none"/>
        </w:rPr>
        <w:instrText xml:space="preserve"> HYPERLINK \l _Toc9813 </w:instrText>
      </w:r>
      <w:r>
        <w:rPr>
          <w:rFonts w:hint="eastAsia" w:ascii="宋体" w:hAnsi="宋体" w:eastAsia="宋体" w:cs="宋体"/>
          <w:sz w:val="21"/>
          <w:szCs w:val="21"/>
          <w:highlight w:val="none"/>
        </w:rPr>
        <w:fldChar w:fldCharType="separate"/>
      </w:r>
      <w:r>
        <w:rPr>
          <w:rFonts w:hint="eastAsia" w:ascii="宋体" w:hAnsi="宋体" w:eastAsia="宋体" w:cs="宋体"/>
          <w:sz w:val="21"/>
          <w:szCs w:val="21"/>
          <w:highlight w:val="none"/>
        </w:rPr>
        <w:t>第一部分投标邀请</w:t>
      </w:r>
      <w:r>
        <w:rPr>
          <w:rFonts w:hint="eastAsia" w:ascii="宋体" w:hAnsi="宋体" w:eastAsia="宋体" w:cs="宋体"/>
          <w:sz w:val="21"/>
          <w:szCs w:val="21"/>
        </w:rPr>
        <w:tab/>
      </w:r>
      <w:r>
        <w:rPr>
          <w:rFonts w:hint="eastAsia" w:ascii="宋体" w:hAnsi="宋体" w:eastAsia="宋体" w:cs="宋体"/>
          <w:sz w:val="21"/>
          <w:szCs w:val="21"/>
        </w:rPr>
        <w:fldChar w:fldCharType="begin"/>
      </w:r>
      <w:r>
        <w:rPr>
          <w:rFonts w:hint="eastAsia" w:ascii="宋体" w:hAnsi="宋体" w:eastAsia="宋体" w:cs="宋体"/>
          <w:sz w:val="21"/>
          <w:szCs w:val="21"/>
        </w:rPr>
        <w:instrText xml:space="preserve"> PAGEREF _Toc9813 \h </w:instrText>
      </w:r>
      <w:r>
        <w:rPr>
          <w:rFonts w:hint="eastAsia" w:ascii="宋体" w:hAnsi="宋体" w:eastAsia="宋体" w:cs="宋体"/>
          <w:sz w:val="21"/>
          <w:szCs w:val="21"/>
        </w:rPr>
        <w:fldChar w:fldCharType="separate"/>
      </w:r>
      <w:r>
        <w:rPr>
          <w:rFonts w:hint="eastAsia" w:ascii="宋体" w:hAnsi="宋体" w:eastAsia="宋体" w:cs="宋体"/>
          <w:sz w:val="21"/>
          <w:szCs w:val="21"/>
        </w:rPr>
        <w:t>5</w:t>
      </w:r>
      <w:r>
        <w:rPr>
          <w:rFonts w:hint="eastAsia" w:ascii="宋体" w:hAnsi="宋体" w:eastAsia="宋体" w:cs="宋体"/>
          <w:sz w:val="21"/>
          <w:szCs w:val="21"/>
        </w:rPr>
        <w:fldChar w:fldCharType="end"/>
      </w:r>
      <w:r>
        <w:rPr>
          <w:rFonts w:hint="eastAsia" w:ascii="宋体" w:hAnsi="宋体" w:eastAsia="宋体" w:cs="宋体"/>
          <w:color w:val="auto"/>
          <w:sz w:val="21"/>
          <w:szCs w:val="21"/>
          <w:highlight w:val="none"/>
        </w:rPr>
        <w:fldChar w:fldCharType="end"/>
      </w:r>
    </w:p>
    <w:p w14:paraId="208C30D6">
      <w:pPr>
        <w:pStyle w:val="8"/>
        <w:tabs>
          <w:tab w:val="right" w:leader="dot" w:pos="8306"/>
          <w:tab w:val="clear" w:pos="8296"/>
        </w:tabs>
        <w:rPr>
          <w:rFonts w:hint="eastAsia" w:ascii="宋体" w:hAnsi="宋体" w:eastAsia="宋体" w:cs="宋体"/>
          <w:sz w:val="21"/>
          <w:szCs w:val="21"/>
        </w:rPr>
      </w:pPr>
      <w:r>
        <w:rPr>
          <w:rFonts w:hint="eastAsia" w:ascii="宋体" w:hAnsi="宋体" w:eastAsia="宋体" w:cs="宋体"/>
          <w:color w:val="auto"/>
          <w:sz w:val="21"/>
          <w:szCs w:val="21"/>
          <w:highlight w:val="none"/>
        </w:rPr>
        <w:fldChar w:fldCharType="begin"/>
      </w:r>
      <w:r>
        <w:rPr>
          <w:rFonts w:hint="eastAsia" w:ascii="宋体" w:hAnsi="宋体" w:eastAsia="宋体" w:cs="宋体"/>
          <w:sz w:val="21"/>
          <w:szCs w:val="21"/>
          <w:highlight w:val="none"/>
        </w:rPr>
        <w:instrText xml:space="preserve"> HYPERLINK \l _Toc14365 </w:instrText>
      </w:r>
      <w:r>
        <w:rPr>
          <w:rFonts w:hint="eastAsia" w:ascii="宋体" w:hAnsi="宋体" w:eastAsia="宋体" w:cs="宋体"/>
          <w:sz w:val="21"/>
          <w:szCs w:val="21"/>
          <w:highlight w:val="none"/>
        </w:rPr>
        <w:fldChar w:fldCharType="separate"/>
      </w:r>
      <w:r>
        <w:rPr>
          <w:rFonts w:hint="eastAsia" w:ascii="宋体" w:hAnsi="宋体" w:eastAsia="宋体" w:cs="宋体"/>
          <w:sz w:val="21"/>
          <w:szCs w:val="21"/>
          <w:highlight w:val="none"/>
        </w:rPr>
        <w:t>投标邀请书</w:t>
      </w:r>
      <w:r>
        <w:rPr>
          <w:rFonts w:hint="eastAsia" w:ascii="宋体" w:hAnsi="宋体" w:eastAsia="宋体" w:cs="宋体"/>
          <w:sz w:val="21"/>
          <w:szCs w:val="21"/>
        </w:rPr>
        <w:tab/>
      </w:r>
      <w:r>
        <w:rPr>
          <w:rFonts w:hint="eastAsia" w:ascii="宋体" w:hAnsi="宋体" w:eastAsia="宋体" w:cs="宋体"/>
          <w:sz w:val="21"/>
          <w:szCs w:val="21"/>
        </w:rPr>
        <w:fldChar w:fldCharType="begin"/>
      </w:r>
      <w:r>
        <w:rPr>
          <w:rFonts w:hint="eastAsia" w:ascii="宋体" w:hAnsi="宋体" w:eastAsia="宋体" w:cs="宋体"/>
          <w:sz w:val="21"/>
          <w:szCs w:val="21"/>
        </w:rPr>
        <w:instrText xml:space="preserve"> PAGEREF _Toc14365 \h </w:instrText>
      </w:r>
      <w:r>
        <w:rPr>
          <w:rFonts w:hint="eastAsia" w:ascii="宋体" w:hAnsi="宋体" w:eastAsia="宋体" w:cs="宋体"/>
          <w:sz w:val="21"/>
          <w:szCs w:val="21"/>
        </w:rPr>
        <w:fldChar w:fldCharType="separate"/>
      </w:r>
      <w:r>
        <w:rPr>
          <w:rFonts w:hint="eastAsia" w:ascii="宋体" w:hAnsi="宋体" w:eastAsia="宋体" w:cs="宋体"/>
          <w:sz w:val="21"/>
          <w:szCs w:val="21"/>
        </w:rPr>
        <w:t>5</w:t>
      </w:r>
      <w:r>
        <w:rPr>
          <w:rFonts w:hint="eastAsia" w:ascii="宋体" w:hAnsi="宋体" w:eastAsia="宋体" w:cs="宋体"/>
          <w:sz w:val="21"/>
          <w:szCs w:val="21"/>
        </w:rPr>
        <w:fldChar w:fldCharType="end"/>
      </w:r>
      <w:r>
        <w:rPr>
          <w:rFonts w:hint="eastAsia" w:ascii="宋体" w:hAnsi="宋体" w:eastAsia="宋体" w:cs="宋体"/>
          <w:color w:val="auto"/>
          <w:sz w:val="21"/>
          <w:szCs w:val="21"/>
          <w:highlight w:val="none"/>
        </w:rPr>
        <w:fldChar w:fldCharType="end"/>
      </w:r>
    </w:p>
    <w:p w14:paraId="50EFE28C">
      <w:pPr>
        <w:pStyle w:val="13"/>
        <w:tabs>
          <w:tab w:val="right" w:leader="dot" w:pos="8306"/>
          <w:tab w:val="clear" w:pos="8296"/>
        </w:tabs>
        <w:rPr>
          <w:rFonts w:hint="eastAsia" w:ascii="宋体" w:hAnsi="宋体" w:eastAsia="宋体" w:cs="宋体"/>
          <w:sz w:val="21"/>
          <w:szCs w:val="21"/>
        </w:rPr>
      </w:pPr>
      <w:r>
        <w:rPr>
          <w:rFonts w:hint="eastAsia" w:ascii="宋体" w:hAnsi="宋体" w:eastAsia="宋体" w:cs="宋体"/>
          <w:color w:val="auto"/>
          <w:sz w:val="21"/>
          <w:szCs w:val="21"/>
          <w:highlight w:val="none"/>
        </w:rPr>
        <w:fldChar w:fldCharType="begin"/>
      </w:r>
      <w:r>
        <w:rPr>
          <w:rFonts w:hint="eastAsia" w:ascii="宋体" w:hAnsi="宋体" w:eastAsia="宋体" w:cs="宋体"/>
          <w:sz w:val="21"/>
          <w:szCs w:val="21"/>
          <w:highlight w:val="none"/>
        </w:rPr>
        <w:instrText xml:space="preserve"> HYPERLINK \l _Toc13792 </w:instrText>
      </w:r>
      <w:r>
        <w:rPr>
          <w:rFonts w:hint="eastAsia" w:ascii="宋体" w:hAnsi="宋体" w:eastAsia="宋体" w:cs="宋体"/>
          <w:sz w:val="21"/>
          <w:szCs w:val="21"/>
          <w:highlight w:val="none"/>
        </w:rPr>
        <w:fldChar w:fldCharType="separate"/>
      </w:r>
      <w:r>
        <w:rPr>
          <w:rFonts w:hint="eastAsia" w:ascii="宋体" w:hAnsi="宋体" w:eastAsia="宋体" w:cs="宋体"/>
          <w:sz w:val="21"/>
          <w:szCs w:val="21"/>
          <w:highlight w:val="none"/>
        </w:rPr>
        <w:t>第二部分相关资料表格</w:t>
      </w:r>
      <w:r>
        <w:rPr>
          <w:rFonts w:hint="eastAsia" w:ascii="宋体" w:hAnsi="宋体" w:eastAsia="宋体" w:cs="宋体"/>
          <w:sz w:val="21"/>
          <w:szCs w:val="21"/>
        </w:rPr>
        <w:tab/>
      </w:r>
      <w:r>
        <w:rPr>
          <w:rFonts w:hint="eastAsia" w:ascii="宋体" w:hAnsi="宋体" w:eastAsia="宋体" w:cs="宋体"/>
          <w:sz w:val="21"/>
          <w:szCs w:val="21"/>
        </w:rPr>
        <w:fldChar w:fldCharType="begin"/>
      </w:r>
      <w:r>
        <w:rPr>
          <w:rFonts w:hint="eastAsia" w:ascii="宋体" w:hAnsi="宋体" w:eastAsia="宋体" w:cs="宋体"/>
          <w:sz w:val="21"/>
          <w:szCs w:val="21"/>
        </w:rPr>
        <w:instrText xml:space="preserve"> PAGEREF _Toc13792 \h </w:instrText>
      </w:r>
      <w:r>
        <w:rPr>
          <w:rFonts w:hint="eastAsia" w:ascii="宋体" w:hAnsi="宋体" w:eastAsia="宋体" w:cs="宋体"/>
          <w:sz w:val="21"/>
          <w:szCs w:val="21"/>
        </w:rPr>
        <w:fldChar w:fldCharType="separate"/>
      </w:r>
      <w:r>
        <w:rPr>
          <w:rFonts w:hint="eastAsia" w:ascii="宋体" w:hAnsi="宋体" w:eastAsia="宋体" w:cs="宋体"/>
          <w:sz w:val="21"/>
          <w:szCs w:val="21"/>
        </w:rPr>
        <w:t>8</w:t>
      </w:r>
      <w:r>
        <w:rPr>
          <w:rFonts w:hint="eastAsia" w:ascii="宋体" w:hAnsi="宋体" w:eastAsia="宋体" w:cs="宋体"/>
          <w:sz w:val="21"/>
          <w:szCs w:val="21"/>
        </w:rPr>
        <w:fldChar w:fldCharType="end"/>
      </w:r>
      <w:r>
        <w:rPr>
          <w:rFonts w:hint="eastAsia" w:ascii="宋体" w:hAnsi="宋体" w:eastAsia="宋体" w:cs="宋体"/>
          <w:color w:val="auto"/>
          <w:sz w:val="21"/>
          <w:szCs w:val="21"/>
          <w:highlight w:val="none"/>
        </w:rPr>
        <w:fldChar w:fldCharType="end"/>
      </w:r>
    </w:p>
    <w:p w14:paraId="3960CA48">
      <w:pPr>
        <w:pStyle w:val="8"/>
        <w:tabs>
          <w:tab w:val="right" w:leader="dot" w:pos="8306"/>
          <w:tab w:val="clear" w:pos="8296"/>
        </w:tabs>
        <w:rPr>
          <w:rFonts w:hint="eastAsia" w:ascii="宋体" w:hAnsi="宋体" w:eastAsia="宋体" w:cs="宋体"/>
          <w:sz w:val="21"/>
          <w:szCs w:val="21"/>
        </w:rPr>
      </w:pPr>
      <w:r>
        <w:rPr>
          <w:rFonts w:hint="eastAsia" w:ascii="宋体" w:hAnsi="宋体" w:eastAsia="宋体" w:cs="宋体"/>
          <w:color w:val="auto"/>
          <w:sz w:val="21"/>
          <w:szCs w:val="21"/>
          <w:highlight w:val="none"/>
        </w:rPr>
        <w:fldChar w:fldCharType="begin"/>
      </w:r>
      <w:r>
        <w:rPr>
          <w:rFonts w:hint="eastAsia" w:ascii="宋体" w:hAnsi="宋体" w:eastAsia="宋体" w:cs="宋体"/>
          <w:sz w:val="21"/>
          <w:szCs w:val="21"/>
          <w:highlight w:val="none"/>
        </w:rPr>
        <w:instrText xml:space="preserve"> HYPERLINK \l _Toc2931 </w:instrText>
      </w:r>
      <w:r>
        <w:rPr>
          <w:rFonts w:hint="eastAsia" w:ascii="宋体" w:hAnsi="宋体" w:eastAsia="宋体" w:cs="宋体"/>
          <w:sz w:val="21"/>
          <w:szCs w:val="21"/>
          <w:highlight w:val="none"/>
        </w:rPr>
        <w:fldChar w:fldCharType="separate"/>
      </w:r>
      <w:r>
        <w:rPr>
          <w:rFonts w:hint="eastAsia" w:ascii="宋体" w:hAnsi="宋体" w:eastAsia="宋体" w:cs="宋体"/>
          <w:sz w:val="21"/>
          <w:szCs w:val="21"/>
          <w:highlight w:val="none"/>
        </w:rPr>
        <w:t>附表一：投标资料表</w:t>
      </w:r>
      <w:r>
        <w:rPr>
          <w:rFonts w:hint="eastAsia" w:ascii="宋体" w:hAnsi="宋体" w:eastAsia="宋体" w:cs="宋体"/>
          <w:sz w:val="21"/>
          <w:szCs w:val="21"/>
        </w:rPr>
        <w:tab/>
      </w:r>
      <w:r>
        <w:rPr>
          <w:rFonts w:hint="eastAsia" w:ascii="宋体" w:hAnsi="宋体" w:eastAsia="宋体" w:cs="宋体"/>
          <w:sz w:val="21"/>
          <w:szCs w:val="21"/>
        </w:rPr>
        <w:fldChar w:fldCharType="begin"/>
      </w:r>
      <w:r>
        <w:rPr>
          <w:rFonts w:hint="eastAsia" w:ascii="宋体" w:hAnsi="宋体" w:eastAsia="宋体" w:cs="宋体"/>
          <w:sz w:val="21"/>
          <w:szCs w:val="21"/>
        </w:rPr>
        <w:instrText xml:space="preserve"> PAGEREF _Toc2931 \h </w:instrText>
      </w:r>
      <w:r>
        <w:rPr>
          <w:rFonts w:hint="eastAsia" w:ascii="宋体" w:hAnsi="宋体" w:eastAsia="宋体" w:cs="宋体"/>
          <w:sz w:val="21"/>
          <w:szCs w:val="21"/>
        </w:rPr>
        <w:fldChar w:fldCharType="separate"/>
      </w:r>
      <w:r>
        <w:rPr>
          <w:rFonts w:hint="eastAsia" w:ascii="宋体" w:hAnsi="宋体" w:eastAsia="宋体" w:cs="宋体"/>
          <w:sz w:val="21"/>
          <w:szCs w:val="21"/>
        </w:rPr>
        <w:t>8</w:t>
      </w:r>
      <w:r>
        <w:rPr>
          <w:rFonts w:hint="eastAsia" w:ascii="宋体" w:hAnsi="宋体" w:eastAsia="宋体" w:cs="宋体"/>
          <w:sz w:val="21"/>
          <w:szCs w:val="21"/>
        </w:rPr>
        <w:fldChar w:fldCharType="end"/>
      </w:r>
      <w:r>
        <w:rPr>
          <w:rFonts w:hint="eastAsia" w:ascii="宋体" w:hAnsi="宋体" w:eastAsia="宋体" w:cs="宋体"/>
          <w:color w:val="auto"/>
          <w:sz w:val="21"/>
          <w:szCs w:val="21"/>
          <w:highlight w:val="none"/>
        </w:rPr>
        <w:fldChar w:fldCharType="end"/>
      </w:r>
    </w:p>
    <w:p w14:paraId="1D4E7EE6">
      <w:pPr>
        <w:pStyle w:val="8"/>
        <w:tabs>
          <w:tab w:val="right" w:leader="dot" w:pos="8306"/>
          <w:tab w:val="clear" w:pos="8296"/>
        </w:tabs>
        <w:rPr>
          <w:rFonts w:hint="eastAsia" w:ascii="宋体" w:hAnsi="宋体" w:eastAsia="宋体" w:cs="宋体"/>
          <w:sz w:val="21"/>
          <w:szCs w:val="21"/>
        </w:rPr>
      </w:pPr>
      <w:r>
        <w:rPr>
          <w:rFonts w:hint="eastAsia" w:ascii="宋体" w:hAnsi="宋体" w:eastAsia="宋体" w:cs="宋体"/>
          <w:color w:val="auto"/>
          <w:sz w:val="21"/>
          <w:szCs w:val="21"/>
          <w:highlight w:val="none"/>
        </w:rPr>
        <w:fldChar w:fldCharType="begin"/>
      </w:r>
      <w:r>
        <w:rPr>
          <w:rFonts w:hint="eastAsia" w:ascii="宋体" w:hAnsi="宋体" w:eastAsia="宋体" w:cs="宋体"/>
          <w:sz w:val="21"/>
          <w:szCs w:val="21"/>
          <w:highlight w:val="none"/>
        </w:rPr>
        <w:instrText xml:space="preserve"> HYPERLINK \l _Toc9622 </w:instrText>
      </w:r>
      <w:r>
        <w:rPr>
          <w:rFonts w:hint="eastAsia" w:ascii="宋体" w:hAnsi="宋体" w:eastAsia="宋体" w:cs="宋体"/>
          <w:sz w:val="21"/>
          <w:szCs w:val="21"/>
          <w:highlight w:val="none"/>
        </w:rPr>
        <w:fldChar w:fldCharType="separate"/>
      </w:r>
      <w:r>
        <w:rPr>
          <w:rFonts w:hint="eastAsia" w:ascii="宋体" w:hAnsi="宋体" w:eastAsia="宋体" w:cs="宋体"/>
          <w:sz w:val="21"/>
          <w:szCs w:val="21"/>
          <w:highlight w:val="none"/>
        </w:rPr>
        <w:t>附表二：最低评标价法评分因素</w:t>
      </w:r>
      <w:r>
        <w:rPr>
          <w:rFonts w:hint="eastAsia" w:ascii="宋体" w:hAnsi="宋体" w:eastAsia="宋体" w:cs="宋体"/>
          <w:sz w:val="21"/>
          <w:szCs w:val="21"/>
        </w:rPr>
        <w:tab/>
      </w:r>
      <w:r>
        <w:rPr>
          <w:rFonts w:hint="eastAsia" w:ascii="宋体" w:hAnsi="宋体" w:eastAsia="宋体" w:cs="宋体"/>
          <w:sz w:val="21"/>
          <w:szCs w:val="21"/>
        </w:rPr>
        <w:fldChar w:fldCharType="begin"/>
      </w:r>
      <w:r>
        <w:rPr>
          <w:rFonts w:hint="eastAsia" w:ascii="宋体" w:hAnsi="宋体" w:eastAsia="宋体" w:cs="宋体"/>
          <w:sz w:val="21"/>
          <w:szCs w:val="21"/>
        </w:rPr>
        <w:instrText xml:space="preserve"> PAGEREF _Toc9622 \h </w:instrText>
      </w:r>
      <w:r>
        <w:rPr>
          <w:rFonts w:hint="eastAsia" w:ascii="宋体" w:hAnsi="宋体" w:eastAsia="宋体" w:cs="宋体"/>
          <w:sz w:val="21"/>
          <w:szCs w:val="21"/>
        </w:rPr>
        <w:fldChar w:fldCharType="separate"/>
      </w:r>
      <w:r>
        <w:rPr>
          <w:rFonts w:hint="eastAsia" w:ascii="宋体" w:hAnsi="宋体" w:eastAsia="宋体" w:cs="宋体"/>
          <w:sz w:val="21"/>
          <w:szCs w:val="21"/>
        </w:rPr>
        <w:t>12</w:t>
      </w:r>
      <w:r>
        <w:rPr>
          <w:rFonts w:hint="eastAsia" w:ascii="宋体" w:hAnsi="宋体" w:eastAsia="宋体" w:cs="宋体"/>
          <w:sz w:val="21"/>
          <w:szCs w:val="21"/>
        </w:rPr>
        <w:fldChar w:fldCharType="end"/>
      </w:r>
      <w:r>
        <w:rPr>
          <w:rFonts w:hint="eastAsia" w:ascii="宋体" w:hAnsi="宋体" w:eastAsia="宋体" w:cs="宋体"/>
          <w:color w:val="auto"/>
          <w:sz w:val="21"/>
          <w:szCs w:val="21"/>
          <w:highlight w:val="none"/>
        </w:rPr>
        <w:fldChar w:fldCharType="end"/>
      </w:r>
    </w:p>
    <w:p w14:paraId="3571CC5B">
      <w:pPr>
        <w:pStyle w:val="13"/>
        <w:tabs>
          <w:tab w:val="right" w:leader="dot" w:pos="8306"/>
          <w:tab w:val="clear" w:pos="8296"/>
        </w:tabs>
        <w:rPr>
          <w:rFonts w:hint="eastAsia" w:ascii="宋体" w:hAnsi="宋体" w:eastAsia="宋体" w:cs="宋体"/>
          <w:sz w:val="21"/>
          <w:szCs w:val="21"/>
        </w:rPr>
      </w:pPr>
      <w:r>
        <w:rPr>
          <w:rFonts w:hint="eastAsia" w:ascii="宋体" w:hAnsi="宋体" w:eastAsia="宋体" w:cs="宋体"/>
          <w:color w:val="auto"/>
          <w:sz w:val="21"/>
          <w:szCs w:val="21"/>
          <w:highlight w:val="none"/>
        </w:rPr>
        <w:fldChar w:fldCharType="begin"/>
      </w:r>
      <w:r>
        <w:rPr>
          <w:rFonts w:hint="eastAsia" w:ascii="宋体" w:hAnsi="宋体" w:eastAsia="宋体" w:cs="宋体"/>
          <w:sz w:val="21"/>
          <w:szCs w:val="21"/>
          <w:highlight w:val="none"/>
        </w:rPr>
        <w:instrText xml:space="preserve"> HYPERLINK \l _Toc12354 </w:instrText>
      </w:r>
      <w:r>
        <w:rPr>
          <w:rFonts w:hint="eastAsia" w:ascii="宋体" w:hAnsi="宋体" w:eastAsia="宋体" w:cs="宋体"/>
          <w:sz w:val="21"/>
          <w:szCs w:val="21"/>
          <w:highlight w:val="none"/>
        </w:rPr>
        <w:fldChar w:fldCharType="separate"/>
      </w:r>
      <w:r>
        <w:rPr>
          <w:rFonts w:hint="eastAsia" w:ascii="宋体" w:hAnsi="宋体" w:eastAsia="宋体" w:cs="宋体"/>
          <w:sz w:val="21"/>
          <w:szCs w:val="21"/>
          <w:highlight w:val="none"/>
        </w:rPr>
        <w:t>第三部分用户需求书</w:t>
      </w:r>
      <w:r>
        <w:rPr>
          <w:rFonts w:hint="eastAsia" w:ascii="宋体" w:hAnsi="宋体" w:eastAsia="宋体" w:cs="宋体"/>
          <w:sz w:val="21"/>
          <w:szCs w:val="21"/>
        </w:rPr>
        <w:tab/>
      </w:r>
      <w:r>
        <w:rPr>
          <w:rFonts w:hint="eastAsia" w:ascii="宋体" w:hAnsi="宋体" w:eastAsia="宋体" w:cs="宋体"/>
          <w:sz w:val="21"/>
          <w:szCs w:val="21"/>
        </w:rPr>
        <w:fldChar w:fldCharType="begin"/>
      </w:r>
      <w:r>
        <w:rPr>
          <w:rFonts w:hint="eastAsia" w:ascii="宋体" w:hAnsi="宋体" w:eastAsia="宋体" w:cs="宋体"/>
          <w:sz w:val="21"/>
          <w:szCs w:val="21"/>
        </w:rPr>
        <w:instrText xml:space="preserve"> PAGEREF _Toc12354 \h </w:instrText>
      </w:r>
      <w:r>
        <w:rPr>
          <w:rFonts w:hint="eastAsia" w:ascii="宋体" w:hAnsi="宋体" w:eastAsia="宋体" w:cs="宋体"/>
          <w:sz w:val="21"/>
          <w:szCs w:val="21"/>
        </w:rPr>
        <w:fldChar w:fldCharType="separate"/>
      </w:r>
      <w:r>
        <w:rPr>
          <w:rFonts w:hint="eastAsia" w:ascii="宋体" w:hAnsi="宋体" w:eastAsia="宋体" w:cs="宋体"/>
          <w:sz w:val="21"/>
          <w:szCs w:val="21"/>
        </w:rPr>
        <w:t>13</w:t>
      </w:r>
      <w:r>
        <w:rPr>
          <w:rFonts w:hint="eastAsia" w:ascii="宋体" w:hAnsi="宋体" w:eastAsia="宋体" w:cs="宋体"/>
          <w:sz w:val="21"/>
          <w:szCs w:val="21"/>
        </w:rPr>
        <w:fldChar w:fldCharType="end"/>
      </w:r>
      <w:r>
        <w:rPr>
          <w:rFonts w:hint="eastAsia" w:ascii="宋体" w:hAnsi="宋体" w:eastAsia="宋体" w:cs="宋体"/>
          <w:color w:val="auto"/>
          <w:sz w:val="21"/>
          <w:szCs w:val="21"/>
          <w:highlight w:val="none"/>
        </w:rPr>
        <w:fldChar w:fldCharType="end"/>
      </w:r>
    </w:p>
    <w:p w14:paraId="1D4B2EFC">
      <w:pPr>
        <w:pStyle w:val="8"/>
        <w:tabs>
          <w:tab w:val="right" w:leader="dot" w:pos="8306"/>
          <w:tab w:val="clear" w:pos="8296"/>
        </w:tabs>
        <w:rPr>
          <w:rFonts w:hint="eastAsia" w:ascii="宋体" w:hAnsi="宋体" w:eastAsia="宋体" w:cs="宋体"/>
          <w:sz w:val="21"/>
          <w:szCs w:val="21"/>
        </w:rPr>
      </w:pPr>
      <w:r>
        <w:rPr>
          <w:rFonts w:hint="eastAsia" w:ascii="宋体" w:hAnsi="宋体" w:eastAsia="宋体" w:cs="宋体"/>
          <w:color w:val="auto"/>
          <w:sz w:val="21"/>
          <w:szCs w:val="21"/>
          <w:highlight w:val="none"/>
        </w:rPr>
        <w:fldChar w:fldCharType="begin"/>
      </w:r>
      <w:r>
        <w:rPr>
          <w:rFonts w:hint="eastAsia" w:ascii="宋体" w:hAnsi="宋体" w:eastAsia="宋体" w:cs="宋体"/>
          <w:sz w:val="21"/>
          <w:szCs w:val="21"/>
          <w:highlight w:val="none"/>
        </w:rPr>
        <w:instrText xml:space="preserve"> HYPERLINK \l _Toc18420 </w:instrText>
      </w:r>
      <w:r>
        <w:rPr>
          <w:rFonts w:hint="eastAsia" w:ascii="宋体" w:hAnsi="宋体" w:eastAsia="宋体" w:cs="宋体"/>
          <w:sz w:val="21"/>
          <w:szCs w:val="21"/>
          <w:highlight w:val="none"/>
        </w:rPr>
        <w:fldChar w:fldCharType="separate"/>
      </w:r>
      <w:r>
        <w:rPr>
          <w:rFonts w:hint="eastAsia" w:ascii="宋体" w:hAnsi="宋体" w:eastAsia="宋体" w:cs="宋体"/>
          <w:sz w:val="21"/>
          <w:szCs w:val="21"/>
          <w:highlight w:val="none"/>
        </w:rPr>
        <w:t>第一章 商务需求书</w:t>
      </w:r>
      <w:r>
        <w:rPr>
          <w:rFonts w:hint="eastAsia" w:ascii="宋体" w:hAnsi="宋体" w:eastAsia="宋体" w:cs="宋体"/>
          <w:sz w:val="21"/>
          <w:szCs w:val="21"/>
        </w:rPr>
        <w:tab/>
      </w:r>
      <w:r>
        <w:rPr>
          <w:rFonts w:hint="eastAsia" w:ascii="宋体" w:hAnsi="宋体" w:eastAsia="宋体" w:cs="宋体"/>
          <w:sz w:val="21"/>
          <w:szCs w:val="21"/>
        </w:rPr>
        <w:fldChar w:fldCharType="begin"/>
      </w:r>
      <w:r>
        <w:rPr>
          <w:rFonts w:hint="eastAsia" w:ascii="宋体" w:hAnsi="宋体" w:eastAsia="宋体" w:cs="宋体"/>
          <w:sz w:val="21"/>
          <w:szCs w:val="21"/>
        </w:rPr>
        <w:instrText xml:space="preserve"> PAGEREF _Toc18420 \h </w:instrText>
      </w:r>
      <w:r>
        <w:rPr>
          <w:rFonts w:hint="eastAsia" w:ascii="宋体" w:hAnsi="宋体" w:eastAsia="宋体" w:cs="宋体"/>
          <w:sz w:val="21"/>
          <w:szCs w:val="21"/>
        </w:rPr>
        <w:fldChar w:fldCharType="separate"/>
      </w:r>
      <w:r>
        <w:rPr>
          <w:rFonts w:hint="eastAsia" w:ascii="宋体" w:hAnsi="宋体" w:eastAsia="宋体" w:cs="宋体"/>
          <w:sz w:val="21"/>
          <w:szCs w:val="21"/>
        </w:rPr>
        <w:t>13</w:t>
      </w:r>
      <w:r>
        <w:rPr>
          <w:rFonts w:hint="eastAsia" w:ascii="宋体" w:hAnsi="宋体" w:eastAsia="宋体" w:cs="宋体"/>
          <w:sz w:val="21"/>
          <w:szCs w:val="21"/>
        </w:rPr>
        <w:fldChar w:fldCharType="end"/>
      </w:r>
      <w:r>
        <w:rPr>
          <w:rFonts w:hint="eastAsia" w:ascii="宋体" w:hAnsi="宋体" w:eastAsia="宋体" w:cs="宋体"/>
          <w:color w:val="auto"/>
          <w:sz w:val="21"/>
          <w:szCs w:val="21"/>
          <w:highlight w:val="none"/>
        </w:rPr>
        <w:fldChar w:fldCharType="end"/>
      </w:r>
    </w:p>
    <w:p w14:paraId="2070215D">
      <w:pPr>
        <w:pStyle w:val="8"/>
        <w:tabs>
          <w:tab w:val="right" w:leader="dot" w:pos="8306"/>
          <w:tab w:val="clear" w:pos="8296"/>
        </w:tabs>
        <w:rPr>
          <w:rFonts w:hint="eastAsia" w:ascii="宋体" w:hAnsi="宋体" w:eastAsia="宋体" w:cs="宋体"/>
          <w:sz w:val="21"/>
          <w:szCs w:val="21"/>
        </w:rPr>
      </w:pPr>
      <w:r>
        <w:rPr>
          <w:rFonts w:hint="eastAsia" w:ascii="宋体" w:hAnsi="宋体" w:eastAsia="宋体" w:cs="宋体"/>
          <w:color w:val="auto"/>
          <w:sz w:val="21"/>
          <w:szCs w:val="21"/>
          <w:highlight w:val="none"/>
        </w:rPr>
        <w:fldChar w:fldCharType="begin"/>
      </w:r>
      <w:r>
        <w:rPr>
          <w:rFonts w:hint="eastAsia" w:ascii="宋体" w:hAnsi="宋体" w:eastAsia="宋体" w:cs="宋体"/>
          <w:sz w:val="21"/>
          <w:szCs w:val="21"/>
          <w:highlight w:val="none"/>
        </w:rPr>
        <w:instrText xml:space="preserve"> HYPERLINK \l _Toc20722 </w:instrText>
      </w:r>
      <w:r>
        <w:rPr>
          <w:rFonts w:hint="eastAsia" w:ascii="宋体" w:hAnsi="宋体" w:eastAsia="宋体" w:cs="宋体"/>
          <w:sz w:val="21"/>
          <w:szCs w:val="21"/>
          <w:highlight w:val="none"/>
        </w:rPr>
        <w:fldChar w:fldCharType="separate"/>
      </w:r>
      <w:r>
        <w:rPr>
          <w:rFonts w:hint="eastAsia" w:ascii="宋体" w:hAnsi="宋体" w:eastAsia="宋体" w:cs="宋体"/>
          <w:sz w:val="21"/>
          <w:szCs w:val="21"/>
          <w:highlight w:val="none"/>
        </w:rPr>
        <w:t>第二章 技术需求书</w:t>
      </w:r>
      <w:r>
        <w:rPr>
          <w:rFonts w:hint="eastAsia" w:ascii="宋体" w:hAnsi="宋体" w:eastAsia="宋体" w:cs="宋体"/>
          <w:sz w:val="21"/>
          <w:szCs w:val="21"/>
        </w:rPr>
        <w:tab/>
      </w:r>
      <w:r>
        <w:rPr>
          <w:rFonts w:hint="eastAsia" w:ascii="宋体" w:hAnsi="宋体" w:eastAsia="宋体" w:cs="宋体"/>
          <w:sz w:val="21"/>
          <w:szCs w:val="21"/>
        </w:rPr>
        <w:fldChar w:fldCharType="begin"/>
      </w:r>
      <w:r>
        <w:rPr>
          <w:rFonts w:hint="eastAsia" w:ascii="宋体" w:hAnsi="宋体" w:eastAsia="宋体" w:cs="宋体"/>
          <w:sz w:val="21"/>
          <w:szCs w:val="21"/>
        </w:rPr>
        <w:instrText xml:space="preserve"> PAGEREF _Toc20722 \h </w:instrText>
      </w:r>
      <w:r>
        <w:rPr>
          <w:rFonts w:hint="eastAsia" w:ascii="宋体" w:hAnsi="宋体" w:eastAsia="宋体" w:cs="宋体"/>
          <w:sz w:val="21"/>
          <w:szCs w:val="21"/>
        </w:rPr>
        <w:fldChar w:fldCharType="separate"/>
      </w:r>
      <w:r>
        <w:rPr>
          <w:rFonts w:hint="eastAsia" w:ascii="宋体" w:hAnsi="宋体" w:eastAsia="宋体" w:cs="宋体"/>
          <w:sz w:val="21"/>
          <w:szCs w:val="21"/>
        </w:rPr>
        <w:t>14</w:t>
      </w:r>
      <w:r>
        <w:rPr>
          <w:rFonts w:hint="eastAsia" w:ascii="宋体" w:hAnsi="宋体" w:eastAsia="宋体" w:cs="宋体"/>
          <w:sz w:val="21"/>
          <w:szCs w:val="21"/>
        </w:rPr>
        <w:fldChar w:fldCharType="end"/>
      </w:r>
      <w:r>
        <w:rPr>
          <w:rFonts w:hint="eastAsia" w:ascii="宋体" w:hAnsi="宋体" w:eastAsia="宋体" w:cs="宋体"/>
          <w:color w:val="auto"/>
          <w:sz w:val="21"/>
          <w:szCs w:val="21"/>
          <w:highlight w:val="none"/>
        </w:rPr>
        <w:fldChar w:fldCharType="end"/>
      </w:r>
    </w:p>
    <w:p w14:paraId="2572A3E6">
      <w:pPr>
        <w:pStyle w:val="13"/>
        <w:tabs>
          <w:tab w:val="right" w:leader="dot" w:pos="8306"/>
          <w:tab w:val="clear" w:pos="8296"/>
        </w:tabs>
        <w:rPr>
          <w:rFonts w:hint="eastAsia" w:ascii="宋体" w:hAnsi="宋体" w:eastAsia="宋体" w:cs="宋体"/>
          <w:sz w:val="21"/>
          <w:szCs w:val="21"/>
        </w:rPr>
      </w:pPr>
      <w:r>
        <w:rPr>
          <w:rFonts w:hint="eastAsia" w:ascii="宋体" w:hAnsi="宋体" w:eastAsia="宋体" w:cs="宋体"/>
          <w:color w:val="auto"/>
          <w:sz w:val="21"/>
          <w:szCs w:val="21"/>
          <w:highlight w:val="none"/>
        </w:rPr>
        <w:fldChar w:fldCharType="begin"/>
      </w:r>
      <w:r>
        <w:rPr>
          <w:rFonts w:hint="eastAsia" w:ascii="宋体" w:hAnsi="宋体" w:eastAsia="宋体" w:cs="宋体"/>
          <w:sz w:val="21"/>
          <w:szCs w:val="21"/>
          <w:highlight w:val="none"/>
        </w:rPr>
        <w:instrText xml:space="preserve"> HYPERLINK \l _Toc8235 </w:instrText>
      </w:r>
      <w:r>
        <w:rPr>
          <w:rFonts w:hint="eastAsia" w:ascii="宋体" w:hAnsi="宋体" w:eastAsia="宋体" w:cs="宋体"/>
          <w:sz w:val="21"/>
          <w:szCs w:val="21"/>
          <w:highlight w:val="none"/>
        </w:rPr>
        <w:fldChar w:fldCharType="separate"/>
      </w:r>
      <w:r>
        <w:rPr>
          <w:rFonts w:hint="eastAsia" w:ascii="宋体" w:hAnsi="宋体" w:eastAsia="宋体" w:cs="宋体"/>
          <w:sz w:val="21"/>
          <w:szCs w:val="21"/>
          <w:highlight w:val="none"/>
        </w:rPr>
        <w:t>第四部分投标人须知</w:t>
      </w:r>
      <w:r>
        <w:rPr>
          <w:rFonts w:hint="eastAsia" w:ascii="宋体" w:hAnsi="宋体" w:eastAsia="宋体" w:cs="宋体"/>
          <w:sz w:val="21"/>
          <w:szCs w:val="21"/>
        </w:rPr>
        <w:tab/>
      </w:r>
      <w:r>
        <w:rPr>
          <w:rFonts w:hint="eastAsia" w:ascii="宋体" w:hAnsi="宋体" w:eastAsia="宋体" w:cs="宋体"/>
          <w:sz w:val="21"/>
          <w:szCs w:val="21"/>
        </w:rPr>
        <w:fldChar w:fldCharType="begin"/>
      </w:r>
      <w:r>
        <w:rPr>
          <w:rFonts w:hint="eastAsia" w:ascii="宋体" w:hAnsi="宋体" w:eastAsia="宋体" w:cs="宋体"/>
          <w:sz w:val="21"/>
          <w:szCs w:val="21"/>
        </w:rPr>
        <w:instrText xml:space="preserve"> PAGEREF _Toc8235 \h </w:instrText>
      </w:r>
      <w:r>
        <w:rPr>
          <w:rFonts w:hint="eastAsia" w:ascii="宋体" w:hAnsi="宋体" w:eastAsia="宋体" w:cs="宋体"/>
          <w:sz w:val="21"/>
          <w:szCs w:val="21"/>
        </w:rPr>
        <w:fldChar w:fldCharType="separate"/>
      </w:r>
      <w:r>
        <w:rPr>
          <w:rFonts w:hint="eastAsia" w:ascii="宋体" w:hAnsi="宋体" w:eastAsia="宋体" w:cs="宋体"/>
          <w:sz w:val="21"/>
          <w:szCs w:val="21"/>
        </w:rPr>
        <w:t>20</w:t>
      </w:r>
      <w:r>
        <w:rPr>
          <w:rFonts w:hint="eastAsia" w:ascii="宋体" w:hAnsi="宋体" w:eastAsia="宋体" w:cs="宋体"/>
          <w:sz w:val="21"/>
          <w:szCs w:val="21"/>
        </w:rPr>
        <w:fldChar w:fldCharType="end"/>
      </w:r>
      <w:r>
        <w:rPr>
          <w:rFonts w:hint="eastAsia" w:ascii="宋体" w:hAnsi="宋体" w:eastAsia="宋体" w:cs="宋体"/>
          <w:color w:val="auto"/>
          <w:sz w:val="21"/>
          <w:szCs w:val="21"/>
          <w:highlight w:val="none"/>
        </w:rPr>
        <w:fldChar w:fldCharType="end"/>
      </w:r>
    </w:p>
    <w:p w14:paraId="12B08CF4">
      <w:pPr>
        <w:pStyle w:val="8"/>
        <w:tabs>
          <w:tab w:val="right" w:leader="dot" w:pos="8306"/>
          <w:tab w:val="clear" w:pos="8296"/>
        </w:tabs>
        <w:rPr>
          <w:rFonts w:hint="eastAsia" w:ascii="宋体" w:hAnsi="宋体" w:eastAsia="宋体" w:cs="宋体"/>
          <w:sz w:val="21"/>
          <w:szCs w:val="21"/>
        </w:rPr>
      </w:pPr>
      <w:r>
        <w:rPr>
          <w:rFonts w:hint="eastAsia" w:ascii="宋体" w:hAnsi="宋体" w:eastAsia="宋体" w:cs="宋体"/>
          <w:color w:val="auto"/>
          <w:sz w:val="21"/>
          <w:szCs w:val="21"/>
          <w:highlight w:val="none"/>
        </w:rPr>
        <w:fldChar w:fldCharType="begin"/>
      </w:r>
      <w:r>
        <w:rPr>
          <w:rFonts w:hint="eastAsia" w:ascii="宋体" w:hAnsi="宋体" w:eastAsia="宋体" w:cs="宋体"/>
          <w:sz w:val="21"/>
          <w:szCs w:val="21"/>
          <w:highlight w:val="none"/>
        </w:rPr>
        <w:instrText xml:space="preserve"> HYPERLINK \l _Toc9362 </w:instrText>
      </w:r>
      <w:r>
        <w:rPr>
          <w:rFonts w:hint="eastAsia" w:ascii="宋体" w:hAnsi="宋体" w:eastAsia="宋体" w:cs="宋体"/>
          <w:sz w:val="21"/>
          <w:szCs w:val="21"/>
          <w:highlight w:val="none"/>
        </w:rPr>
        <w:fldChar w:fldCharType="separate"/>
      </w:r>
      <w:r>
        <w:rPr>
          <w:rFonts w:hint="eastAsia" w:ascii="宋体" w:hAnsi="宋体" w:eastAsia="宋体" w:cs="宋体"/>
          <w:sz w:val="21"/>
          <w:szCs w:val="21"/>
        </w:rPr>
        <w:t xml:space="preserve">一、 </w:t>
      </w:r>
      <w:r>
        <w:rPr>
          <w:rFonts w:hint="eastAsia" w:ascii="宋体" w:hAnsi="宋体" w:eastAsia="宋体" w:cs="宋体"/>
          <w:sz w:val="21"/>
          <w:szCs w:val="21"/>
          <w:highlight w:val="none"/>
        </w:rPr>
        <w:t>说明</w:t>
      </w:r>
      <w:r>
        <w:rPr>
          <w:rFonts w:hint="eastAsia" w:ascii="宋体" w:hAnsi="宋体" w:eastAsia="宋体" w:cs="宋体"/>
          <w:sz w:val="21"/>
          <w:szCs w:val="21"/>
        </w:rPr>
        <w:tab/>
      </w:r>
      <w:r>
        <w:rPr>
          <w:rFonts w:hint="eastAsia" w:ascii="宋体" w:hAnsi="宋体" w:eastAsia="宋体" w:cs="宋体"/>
          <w:sz w:val="21"/>
          <w:szCs w:val="21"/>
        </w:rPr>
        <w:fldChar w:fldCharType="begin"/>
      </w:r>
      <w:r>
        <w:rPr>
          <w:rFonts w:hint="eastAsia" w:ascii="宋体" w:hAnsi="宋体" w:eastAsia="宋体" w:cs="宋体"/>
          <w:sz w:val="21"/>
          <w:szCs w:val="21"/>
        </w:rPr>
        <w:instrText xml:space="preserve"> PAGEREF _Toc9362 \h </w:instrText>
      </w:r>
      <w:r>
        <w:rPr>
          <w:rFonts w:hint="eastAsia" w:ascii="宋体" w:hAnsi="宋体" w:eastAsia="宋体" w:cs="宋体"/>
          <w:sz w:val="21"/>
          <w:szCs w:val="21"/>
        </w:rPr>
        <w:fldChar w:fldCharType="separate"/>
      </w:r>
      <w:r>
        <w:rPr>
          <w:rFonts w:hint="eastAsia" w:ascii="宋体" w:hAnsi="宋体" w:eastAsia="宋体" w:cs="宋体"/>
          <w:sz w:val="21"/>
          <w:szCs w:val="21"/>
        </w:rPr>
        <w:t>20</w:t>
      </w:r>
      <w:r>
        <w:rPr>
          <w:rFonts w:hint="eastAsia" w:ascii="宋体" w:hAnsi="宋体" w:eastAsia="宋体" w:cs="宋体"/>
          <w:sz w:val="21"/>
          <w:szCs w:val="21"/>
        </w:rPr>
        <w:fldChar w:fldCharType="end"/>
      </w:r>
      <w:r>
        <w:rPr>
          <w:rFonts w:hint="eastAsia" w:ascii="宋体" w:hAnsi="宋体" w:eastAsia="宋体" w:cs="宋体"/>
          <w:color w:val="auto"/>
          <w:sz w:val="21"/>
          <w:szCs w:val="21"/>
          <w:highlight w:val="none"/>
        </w:rPr>
        <w:fldChar w:fldCharType="end"/>
      </w:r>
    </w:p>
    <w:p w14:paraId="71B81B0C">
      <w:pPr>
        <w:pStyle w:val="11"/>
        <w:tabs>
          <w:tab w:val="right" w:leader="dot" w:pos="8306"/>
          <w:tab w:val="clear" w:pos="8296"/>
        </w:tabs>
        <w:rPr>
          <w:rFonts w:hint="eastAsia" w:ascii="宋体" w:hAnsi="宋体" w:eastAsia="宋体" w:cs="宋体"/>
          <w:sz w:val="21"/>
          <w:szCs w:val="21"/>
        </w:rPr>
      </w:pPr>
      <w:r>
        <w:rPr>
          <w:rFonts w:hint="eastAsia" w:ascii="宋体" w:hAnsi="宋体" w:eastAsia="宋体" w:cs="宋体"/>
          <w:color w:val="auto"/>
          <w:sz w:val="21"/>
          <w:szCs w:val="21"/>
          <w:highlight w:val="none"/>
        </w:rPr>
        <w:fldChar w:fldCharType="begin"/>
      </w:r>
      <w:r>
        <w:rPr>
          <w:rFonts w:hint="eastAsia" w:ascii="宋体" w:hAnsi="宋体" w:eastAsia="宋体" w:cs="宋体"/>
          <w:sz w:val="21"/>
          <w:szCs w:val="21"/>
          <w:highlight w:val="none"/>
        </w:rPr>
        <w:instrText xml:space="preserve"> HYPERLINK \l _Toc28439 </w:instrText>
      </w:r>
      <w:r>
        <w:rPr>
          <w:rFonts w:hint="eastAsia" w:ascii="宋体" w:hAnsi="宋体" w:eastAsia="宋体" w:cs="宋体"/>
          <w:sz w:val="21"/>
          <w:szCs w:val="21"/>
          <w:highlight w:val="none"/>
        </w:rPr>
        <w:fldChar w:fldCharType="separate"/>
      </w:r>
      <w:r>
        <w:rPr>
          <w:rFonts w:hint="eastAsia" w:ascii="宋体" w:hAnsi="宋体" w:eastAsia="宋体" w:cs="宋体"/>
          <w:sz w:val="21"/>
          <w:szCs w:val="21"/>
        </w:rPr>
        <w:t xml:space="preserve">1. </w:t>
      </w:r>
      <w:r>
        <w:rPr>
          <w:rFonts w:hint="eastAsia" w:ascii="宋体" w:hAnsi="宋体" w:eastAsia="宋体" w:cs="宋体"/>
          <w:sz w:val="21"/>
          <w:szCs w:val="21"/>
          <w:highlight w:val="none"/>
        </w:rPr>
        <w:t>适用范围</w:t>
      </w:r>
      <w:r>
        <w:rPr>
          <w:rFonts w:hint="eastAsia" w:ascii="宋体" w:hAnsi="宋体" w:eastAsia="宋体" w:cs="宋体"/>
          <w:sz w:val="21"/>
          <w:szCs w:val="21"/>
        </w:rPr>
        <w:tab/>
      </w:r>
      <w:r>
        <w:rPr>
          <w:rFonts w:hint="eastAsia" w:ascii="宋体" w:hAnsi="宋体" w:eastAsia="宋体" w:cs="宋体"/>
          <w:sz w:val="21"/>
          <w:szCs w:val="21"/>
        </w:rPr>
        <w:fldChar w:fldCharType="begin"/>
      </w:r>
      <w:r>
        <w:rPr>
          <w:rFonts w:hint="eastAsia" w:ascii="宋体" w:hAnsi="宋体" w:eastAsia="宋体" w:cs="宋体"/>
          <w:sz w:val="21"/>
          <w:szCs w:val="21"/>
        </w:rPr>
        <w:instrText xml:space="preserve"> PAGEREF _Toc28439 \h </w:instrText>
      </w:r>
      <w:r>
        <w:rPr>
          <w:rFonts w:hint="eastAsia" w:ascii="宋体" w:hAnsi="宋体" w:eastAsia="宋体" w:cs="宋体"/>
          <w:sz w:val="21"/>
          <w:szCs w:val="21"/>
        </w:rPr>
        <w:fldChar w:fldCharType="separate"/>
      </w:r>
      <w:r>
        <w:rPr>
          <w:rFonts w:hint="eastAsia" w:ascii="宋体" w:hAnsi="宋体" w:eastAsia="宋体" w:cs="宋体"/>
          <w:sz w:val="21"/>
          <w:szCs w:val="21"/>
        </w:rPr>
        <w:t>20</w:t>
      </w:r>
      <w:r>
        <w:rPr>
          <w:rFonts w:hint="eastAsia" w:ascii="宋体" w:hAnsi="宋体" w:eastAsia="宋体" w:cs="宋体"/>
          <w:sz w:val="21"/>
          <w:szCs w:val="21"/>
        </w:rPr>
        <w:fldChar w:fldCharType="end"/>
      </w:r>
      <w:r>
        <w:rPr>
          <w:rFonts w:hint="eastAsia" w:ascii="宋体" w:hAnsi="宋体" w:eastAsia="宋体" w:cs="宋体"/>
          <w:color w:val="auto"/>
          <w:sz w:val="21"/>
          <w:szCs w:val="21"/>
          <w:highlight w:val="none"/>
        </w:rPr>
        <w:fldChar w:fldCharType="end"/>
      </w:r>
    </w:p>
    <w:p w14:paraId="11809B63">
      <w:pPr>
        <w:pStyle w:val="11"/>
        <w:tabs>
          <w:tab w:val="right" w:leader="dot" w:pos="8306"/>
          <w:tab w:val="clear" w:pos="8296"/>
        </w:tabs>
        <w:rPr>
          <w:rFonts w:hint="eastAsia" w:ascii="宋体" w:hAnsi="宋体" w:eastAsia="宋体" w:cs="宋体"/>
          <w:sz w:val="21"/>
          <w:szCs w:val="21"/>
        </w:rPr>
      </w:pPr>
      <w:r>
        <w:rPr>
          <w:rFonts w:hint="eastAsia" w:ascii="宋体" w:hAnsi="宋体" w:eastAsia="宋体" w:cs="宋体"/>
          <w:color w:val="auto"/>
          <w:sz w:val="21"/>
          <w:szCs w:val="21"/>
          <w:highlight w:val="none"/>
        </w:rPr>
        <w:fldChar w:fldCharType="begin"/>
      </w:r>
      <w:r>
        <w:rPr>
          <w:rFonts w:hint="eastAsia" w:ascii="宋体" w:hAnsi="宋体" w:eastAsia="宋体" w:cs="宋体"/>
          <w:sz w:val="21"/>
          <w:szCs w:val="21"/>
          <w:highlight w:val="none"/>
        </w:rPr>
        <w:instrText xml:space="preserve"> HYPERLINK \l _Toc16015 </w:instrText>
      </w:r>
      <w:r>
        <w:rPr>
          <w:rFonts w:hint="eastAsia" w:ascii="宋体" w:hAnsi="宋体" w:eastAsia="宋体" w:cs="宋体"/>
          <w:sz w:val="21"/>
          <w:szCs w:val="21"/>
          <w:highlight w:val="none"/>
        </w:rPr>
        <w:fldChar w:fldCharType="separate"/>
      </w:r>
      <w:r>
        <w:rPr>
          <w:rFonts w:hint="eastAsia" w:ascii="宋体" w:hAnsi="宋体" w:eastAsia="宋体" w:cs="宋体"/>
          <w:sz w:val="21"/>
          <w:szCs w:val="21"/>
        </w:rPr>
        <w:t xml:space="preserve">2. </w:t>
      </w:r>
      <w:r>
        <w:rPr>
          <w:rFonts w:hint="eastAsia" w:ascii="宋体" w:hAnsi="宋体" w:eastAsia="宋体" w:cs="宋体"/>
          <w:sz w:val="21"/>
          <w:szCs w:val="21"/>
          <w:highlight w:val="none"/>
        </w:rPr>
        <w:t>定义</w:t>
      </w:r>
      <w:r>
        <w:rPr>
          <w:rFonts w:hint="eastAsia" w:ascii="宋体" w:hAnsi="宋体" w:eastAsia="宋体" w:cs="宋体"/>
          <w:sz w:val="21"/>
          <w:szCs w:val="21"/>
        </w:rPr>
        <w:tab/>
      </w:r>
      <w:r>
        <w:rPr>
          <w:rFonts w:hint="eastAsia" w:ascii="宋体" w:hAnsi="宋体" w:eastAsia="宋体" w:cs="宋体"/>
          <w:sz w:val="21"/>
          <w:szCs w:val="21"/>
        </w:rPr>
        <w:fldChar w:fldCharType="begin"/>
      </w:r>
      <w:r>
        <w:rPr>
          <w:rFonts w:hint="eastAsia" w:ascii="宋体" w:hAnsi="宋体" w:eastAsia="宋体" w:cs="宋体"/>
          <w:sz w:val="21"/>
          <w:szCs w:val="21"/>
        </w:rPr>
        <w:instrText xml:space="preserve"> PAGEREF _Toc16015 \h </w:instrText>
      </w:r>
      <w:r>
        <w:rPr>
          <w:rFonts w:hint="eastAsia" w:ascii="宋体" w:hAnsi="宋体" w:eastAsia="宋体" w:cs="宋体"/>
          <w:sz w:val="21"/>
          <w:szCs w:val="21"/>
        </w:rPr>
        <w:fldChar w:fldCharType="separate"/>
      </w:r>
      <w:r>
        <w:rPr>
          <w:rFonts w:hint="eastAsia" w:ascii="宋体" w:hAnsi="宋体" w:eastAsia="宋体" w:cs="宋体"/>
          <w:sz w:val="21"/>
          <w:szCs w:val="21"/>
        </w:rPr>
        <w:t>20</w:t>
      </w:r>
      <w:r>
        <w:rPr>
          <w:rFonts w:hint="eastAsia" w:ascii="宋体" w:hAnsi="宋体" w:eastAsia="宋体" w:cs="宋体"/>
          <w:sz w:val="21"/>
          <w:szCs w:val="21"/>
        </w:rPr>
        <w:fldChar w:fldCharType="end"/>
      </w:r>
      <w:r>
        <w:rPr>
          <w:rFonts w:hint="eastAsia" w:ascii="宋体" w:hAnsi="宋体" w:eastAsia="宋体" w:cs="宋体"/>
          <w:color w:val="auto"/>
          <w:sz w:val="21"/>
          <w:szCs w:val="21"/>
          <w:highlight w:val="none"/>
        </w:rPr>
        <w:fldChar w:fldCharType="end"/>
      </w:r>
    </w:p>
    <w:p w14:paraId="36343EB3">
      <w:pPr>
        <w:pStyle w:val="11"/>
        <w:tabs>
          <w:tab w:val="right" w:leader="dot" w:pos="8306"/>
          <w:tab w:val="clear" w:pos="8296"/>
        </w:tabs>
        <w:rPr>
          <w:rFonts w:hint="eastAsia" w:ascii="宋体" w:hAnsi="宋体" w:eastAsia="宋体" w:cs="宋体"/>
          <w:sz w:val="21"/>
          <w:szCs w:val="21"/>
        </w:rPr>
      </w:pPr>
      <w:r>
        <w:rPr>
          <w:rFonts w:hint="eastAsia" w:ascii="宋体" w:hAnsi="宋体" w:eastAsia="宋体" w:cs="宋体"/>
          <w:color w:val="auto"/>
          <w:sz w:val="21"/>
          <w:szCs w:val="21"/>
          <w:highlight w:val="none"/>
        </w:rPr>
        <w:fldChar w:fldCharType="begin"/>
      </w:r>
      <w:r>
        <w:rPr>
          <w:rFonts w:hint="eastAsia" w:ascii="宋体" w:hAnsi="宋体" w:eastAsia="宋体" w:cs="宋体"/>
          <w:sz w:val="21"/>
          <w:szCs w:val="21"/>
          <w:highlight w:val="none"/>
        </w:rPr>
        <w:instrText xml:space="preserve"> HYPERLINK \l _Toc24701 </w:instrText>
      </w:r>
      <w:r>
        <w:rPr>
          <w:rFonts w:hint="eastAsia" w:ascii="宋体" w:hAnsi="宋体" w:eastAsia="宋体" w:cs="宋体"/>
          <w:sz w:val="21"/>
          <w:szCs w:val="21"/>
          <w:highlight w:val="none"/>
        </w:rPr>
        <w:fldChar w:fldCharType="separate"/>
      </w:r>
      <w:r>
        <w:rPr>
          <w:rFonts w:hint="eastAsia" w:ascii="宋体" w:hAnsi="宋体" w:eastAsia="宋体" w:cs="宋体"/>
          <w:sz w:val="21"/>
          <w:szCs w:val="21"/>
        </w:rPr>
        <w:t xml:space="preserve">3. </w:t>
      </w:r>
      <w:r>
        <w:rPr>
          <w:rFonts w:hint="eastAsia" w:ascii="宋体" w:hAnsi="宋体" w:eastAsia="宋体" w:cs="宋体"/>
          <w:sz w:val="21"/>
          <w:szCs w:val="21"/>
          <w:highlight w:val="none"/>
        </w:rPr>
        <w:t>货物和服务</w:t>
      </w:r>
      <w:r>
        <w:rPr>
          <w:rFonts w:hint="eastAsia" w:ascii="宋体" w:hAnsi="宋体" w:eastAsia="宋体" w:cs="宋体"/>
          <w:sz w:val="21"/>
          <w:szCs w:val="21"/>
        </w:rPr>
        <w:tab/>
      </w:r>
      <w:r>
        <w:rPr>
          <w:rFonts w:hint="eastAsia" w:ascii="宋体" w:hAnsi="宋体" w:eastAsia="宋体" w:cs="宋体"/>
          <w:sz w:val="21"/>
          <w:szCs w:val="21"/>
        </w:rPr>
        <w:fldChar w:fldCharType="begin"/>
      </w:r>
      <w:r>
        <w:rPr>
          <w:rFonts w:hint="eastAsia" w:ascii="宋体" w:hAnsi="宋体" w:eastAsia="宋体" w:cs="宋体"/>
          <w:sz w:val="21"/>
          <w:szCs w:val="21"/>
        </w:rPr>
        <w:instrText xml:space="preserve"> PAGEREF _Toc24701 \h </w:instrText>
      </w:r>
      <w:r>
        <w:rPr>
          <w:rFonts w:hint="eastAsia" w:ascii="宋体" w:hAnsi="宋体" w:eastAsia="宋体" w:cs="宋体"/>
          <w:sz w:val="21"/>
          <w:szCs w:val="21"/>
        </w:rPr>
        <w:fldChar w:fldCharType="separate"/>
      </w:r>
      <w:r>
        <w:rPr>
          <w:rFonts w:hint="eastAsia" w:ascii="宋体" w:hAnsi="宋体" w:eastAsia="宋体" w:cs="宋体"/>
          <w:sz w:val="21"/>
          <w:szCs w:val="21"/>
        </w:rPr>
        <w:t>20</w:t>
      </w:r>
      <w:r>
        <w:rPr>
          <w:rFonts w:hint="eastAsia" w:ascii="宋体" w:hAnsi="宋体" w:eastAsia="宋体" w:cs="宋体"/>
          <w:sz w:val="21"/>
          <w:szCs w:val="21"/>
        </w:rPr>
        <w:fldChar w:fldCharType="end"/>
      </w:r>
      <w:r>
        <w:rPr>
          <w:rFonts w:hint="eastAsia" w:ascii="宋体" w:hAnsi="宋体" w:eastAsia="宋体" w:cs="宋体"/>
          <w:color w:val="auto"/>
          <w:sz w:val="21"/>
          <w:szCs w:val="21"/>
          <w:highlight w:val="none"/>
        </w:rPr>
        <w:fldChar w:fldCharType="end"/>
      </w:r>
    </w:p>
    <w:p w14:paraId="32158885">
      <w:pPr>
        <w:pStyle w:val="11"/>
        <w:tabs>
          <w:tab w:val="right" w:leader="dot" w:pos="8306"/>
          <w:tab w:val="clear" w:pos="8296"/>
        </w:tabs>
        <w:rPr>
          <w:rFonts w:hint="eastAsia" w:ascii="宋体" w:hAnsi="宋体" w:eastAsia="宋体" w:cs="宋体"/>
          <w:sz w:val="21"/>
          <w:szCs w:val="21"/>
        </w:rPr>
      </w:pPr>
      <w:r>
        <w:rPr>
          <w:rFonts w:hint="eastAsia" w:ascii="宋体" w:hAnsi="宋体" w:eastAsia="宋体" w:cs="宋体"/>
          <w:color w:val="auto"/>
          <w:sz w:val="21"/>
          <w:szCs w:val="21"/>
          <w:highlight w:val="none"/>
        </w:rPr>
        <w:fldChar w:fldCharType="begin"/>
      </w:r>
      <w:r>
        <w:rPr>
          <w:rFonts w:hint="eastAsia" w:ascii="宋体" w:hAnsi="宋体" w:eastAsia="宋体" w:cs="宋体"/>
          <w:sz w:val="21"/>
          <w:szCs w:val="21"/>
          <w:highlight w:val="none"/>
        </w:rPr>
        <w:instrText xml:space="preserve"> HYPERLINK \l _Toc12640 </w:instrText>
      </w:r>
      <w:r>
        <w:rPr>
          <w:rFonts w:hint="eastAsia" w:ascii="宋体" w:hAnsi="宋体" w:eastAsia="宋体" w:cs="宋体"/>
          <w:sz w:val="21"/>
          <w:szCs w:val="21"/>
          <w:highlight w:val="none"/>
        </w:rPr>
        <w:fldChar w:fldCharType="separate"/>
      </w:r>
      <w:r>
        <w:rPr>
          <w:rFonts w:hint="eastAsia" w:ascii="宋体" w:hAnsi="宋体" w:eastAsia="宋体" w:cs="宋体"/>
          <w:sz w:val="21"/>
          <w:szCs w:val="21"/>
        </w:rPr>
        <w:t xml:space="preserve">4. </w:t>
      </w:r>
      <w:r>
        <w:rPr>
          <w:rFonts w:hint="eastAsia" w:ascii="宋体" w:hAnsi="宋体" w:eastAsia="宋体" w:cs="宋体"/>
          <w:sz w:val="21"/>
          <w:szCs w:val="21"/>
          <w:highlight w:val="none"/>
        </w:rPr>
        <w:t>投标费用</w:t>
      </w:r>
      <w:r>
        <w:rPr>
          <w:rFonts w:hint="eastAsia" w:ascii="宋体" w:hAnsi="宋体" w:eastAsia="宋体" w:cs="宋体"/>
          <w:sz w:val="21"/>
          <w:szCs w:val="21"/>
        </w:rPr>
        <w:tab/>
      </w:r>
      <w:r>
        <w:rPr>
          <w:rFonts w:hint="eastAsia" w:ascii="宋体" w:hAnsi="宋体" w:eastAsia="宋体" w:cs="宋体"/>
          <w:sz w:val="21"/>
          <w:szCs w:val="21"/>
        </w:rPr>
        <w:fldChar w:fldCharType="begin"/>
      </w:r>
      <w:r>
        <w:rPr>
          <w:rFonts w:hint="eastAsia" w:ascii="宋体" w:hAnsi="宋体" w:eastAsia="宋体" w:cs="宋体"/>
          <w:sz w:val="21"/>
          <w:szCs w:val="21"/>
        </w:rPr>
        <w:instrText xml:space="preserve"> PAGEREF _Toc12640 \h </w:instrText>
      </w:r>
      <w:r>
        <w:rPr>
          <w:rFonts w:hint="eastAsia" w:ascii="宋体" w:hAnsi="宋体" w:eastAsia="宋体" w:cs="宋体"/>
          <w:sz w:val="21"/>
          <w:szCs w:val="21"/>
        </w:rPr>
        <w:fldChar w:fldCharType="separate"/>
      </w:r>
      <w:r>
        <w:rPr>
          <w:rFonts w:hint="eastAsia" w:ascii="宋体" w:hAnsi="宋体" w:eastAsia="宋体" w:cs="宋体"/>
          <w:sz w:val="21"/>
          <w:szCs w:val="21"/>
        </w:rPr>
        <w:t>20</w:t>
      </w:r>
      <w:r>
        <w:rPr>
          <w:rFonts w:hint="eastAsia" w:ascii="宋体" w:hAnsi="宋体" w:eastAsia="宋体" w:cs="宋体"/>
          <w:sz w:val="21"/>
          <w:szCs w:val="21"/>
        </w:rPr>
        <w:fldChar w:fldCharType="end"/>
      </w:r>
      <w:r>
        <w:rPr>
          <w:rFonts w:hint="eastAsia" w:ascii="宋体" w:hAnsi="宋体" w:eastAsia="宋体" w:cs="宋体"/>
          <w:color w:val="auto"/>
          <w:sz w:val="21"/>
          <w:szCs w:val="21"/>
          <w:highlight w:val="none"/>
        </w:rPr>
        <w:fldChar w:fldCharType="end"/>
      </w:r>
    </w:p>
    <w:p w14:paraId="265D9BAE">
      <w:pPr>
        <w:pStyle w:val="11"/>
        <w:tabs>
          <w:tab w:val="right" w:leader="dot" w:pos="8306"/>
          <w:tab w:val="clear" w:pos="8296"/>
        </w:tabs>
        <w:rPr>
          <w:rFonts w:hint="eastAsia" w:ascii="宋体" w:hAnsi="宋体" w:eastAsia="宋体" w:cs="宋体"/>
          <w:sz w:val="21"/>
          <w:szCs w:val="21"/>
        </w:rPr>
      </w:pPr>
      <w:r>
        <w:rPr>
          <w:rFonts w:hint="eastAsia" w:ascii="宋体" w:hAnsi="宋体" w:eastAsia="宋体" w:cs="宋体"/>
          <w:color w:val="auto"/>
          <w:sz w:val="21"/>
          <w:szCs w:val="21"/>
          <w:highlight w:val="none"/>
        </w:rPr>
        <w:fldChar w:fldCharType="begin"/>
      </w:r>
      <w:r>
        <w:rPr>
          <w:rFonts w:hint="eastAsia" w:ascii="宋体" w:hAnsi="宋体" w:eastAsia="宋体" w:cs="宋体"/>
          <w:sz w:val="21"/>
          <w:szCs w:val="21"/>
          <w:highlight w:val="none"/>
        </w:rPr>
        <w:instrText xml:space="preserve"> HYPERLINK \l _Toc9121 </w:instrText>
      </w:r>
      <w:r>
        <w:rPr>
          <w:rFonts w:hint="eastAsia" w:ascii="宋体" w:hAnsi="宋体" w:eastAsia="宋体" w:cs="宋体"/>
          <w:sz w:val="21"/>
          <w:szCs w:val="21"/>
          <w:highlight w:val="none"/>
        </w:rPr>
        <w:fldChar w:fldCharType="separate"/>
      </w:r>
      <w:r>
        <w:rPr>
          <w:rFonts w:hint="eastAsia" w:ascii="宋体" w:hAnsi="宋体" w:eastAsia="宋体" w:cs="宋体"/>
          <w:sz w:val="21"/>
          <w:szCs w:val="21"/>
        </w:rPr>
        <w:t xml:space="preserve">5. </w:t>
      </w:r>
      <w:r>
        <w:rPr>
          <w:rFonts w:hint="eastAsia" w:ascii="宋体" w:hAnsi="宋体" w:eastAsia="宋体" w:cs="宋体"/>
          <w:sz w:val="21"/>
          <w:szCs w:val="21"/>
          <w:highlight w:val="none"/>
        </w:rPr>
        <w:t>知识产权</w:t>
      </w:r>
      <w:r>
        <w:rPr>
          <w:rFonts w:hint="eastAsia" w:ascii="宋体" w:hAnsi="宋体" w:eastAsia="宋体" w:cs="宋体"/>
          <w:sz w:val="21"/>
          <w:szCs w:val="21"/>
        </w:rPr>
        <w:tab/>
      </w:r>
      <w:r>
        <w:rPr>
          <w:rFonts w:hint="eastAsia" w:ascii="宋体" w:hAnsi="宋体" w:eastAsia="宋体" w:cs="宋体"/>
          <w:sz w:val="21"/>
          <w:szCs w:val="21"/>
        </w:rPr>
        <w:fldChar w:fldCharType="begin"/>
      </w:r>
      <w:r>
        <w:rPr>
          <w:rFonts w:hint="eastAsia" w:ascii="宋体" w:hAnsi="宋体" w:eastAsia="宋体" w:cs="宋体"/>
          <w:sz w:val="21"/>
          <w:szCs w:val="21"/>
        </w:rPr>
        <w:instrText xml:space="preserve"> PAGEREF _Toc9121 \h </w:instrText>
      </w:r>
      <w:r>
        <w:rPr>
          <w:rFonts w:hint="eastAsia" w:ascii="宋体" w:hAnsi="宋体" w:eastAsia="宋体" w:cs="宋体"/>
          <w:sz w:val="21"/>
          <w:szCs w:val="21"/>
        </w:rPr>
        <w:fldChar w:fldCharType="separate"/>
      </w:r>
      <w:r>
        <w:rPr>
          <w:rFonts w:hint="eastAsia" w:ascii="宋体" w:hAnsi="宋体" w:eastAsia="宋体" w:cs="宋体"/>
          <w:sz w:val="21"/>
          <w:szCs w:val="21"/>
        </w:rPr>
        <w:t>21</w:t>
      </w:r>
      <w:r>
        <w:rPr>
          <w:rFonts w:hint="eastAsia" w:ascii="宋体" w:hAnsi="宋体" w:eastAsia="宋体" w:cs="宋体"/>
          <w:sz w:val="21"/>
          <w:szCs w:val="21"/>
        </w:rPr>
        <w:fldChar w:fldCharType="end"/>
      </w:r>
      <w:r>
        <w:rPr>
          <w:rFonts w:hint="eastAsia" w:ascii="宋体" w:hAnsi="宋体" w:eastAsia="宋体" w:cs="宋体"/>
          <w:color w:val="auto"/>
          <w:sz w:val="21"/>
          <w:szCs w:val="21"/>
          <w:highlight w:val="none"/>
        </w:rPr>
        <w:fldChar w:fldCharType="end"/>
      </w:r>
    </w:p>
    <w:p w14:paraId="1ACCD273">
      <w:pPr>
        <w:pStyle w:val="11"/>
        <w:tabs>
          <w:tab w:val="right" w:leader="dot" w:pos="8306"/>
          <w:tab w:val="clear" w:pos="8296"/>
        </w:tabs>
        <w:rPr>
          <w:rFonts w:hint="eastAsia" w:ascii="宋体" w:hAnsi="宋体" w:eastAsia="宋体" w:cs="宋体"/>
          <w:sz w:val="21"/>
          <w:szCs w:val="21"/>
        </w:rPr>
      </w:pPr>
      <w:r>
        <w:rPr>
          <w:rFonts w:hint="eastAsia" w:ascii="宋体" w:hAnsi="宋体" w:eastAsia="宋体" w:cs="宋体"/>
          <w:color w:val="auto"/>
          <w:sz w:val="21"/>
          <w:szCs w:val="21"/>
          <w:highlight w:val="none"/>
        </w:rPr>
        <w:fldChar w:fldCharType="begin"/>
      </w:r>
      <w:r>
        <w:rPr>
          <w:rFonts w:hint="eastAsia" w:ascii="宋体" w:hAnsi="宋体" w:eastAsia="宋体" w:cs="宋体"/>
          <w:sz w:val="21"/>
          <w:szCs w:val="21"/>
          <w:highlight w:val="none"/>
        </w:rPr>
        <w:instrText xml:space="preserve"> HYPERLINK \l _Toc17238 </w:instrText>
      </w:r>
      <w:r>
        <w:rPr>
          <w:rFonts w:hint="eastAsia" w:ascii="宋体" w:hAnsi="宋体" w:eastAsia="宋体" w:cs="宋体"/>
          <w:sz w:val="21"/>
          <w:szCs w:val="21"/>
          <w:highlight w:val="none"/>
        </w:rPr>
        <w:fldChar w:fldCharType="separate"/>
      </w:r>
      <w:r>
        <w:rPr>
          <w:rFonts w:hint="eastAsia" w:ascii="宋体" w:hAnsi="宋体" w:eastAsia="宋体" w:cs="宋体"/>
          <w:sz w:val="21"/>
          <w:szCs w:val="21"/>
        </w:rPr>
        <w:t xml:space="preserve">6. </w:t>
      </w:r>
      <w:r>
        <w:rPr>
          <w:rFonts w:hint="eastAsia" w:ascii="宋体" w:hAnsi="宋体" w:eastAsia="宋体" w:cs="宋体"/>
          <w:sz w:val="21"/>
          <w:szCs w:val="21"/>
          <w:highlight w:val="none"/>
        </w:rPr>
        <w:t>关于联合体投标</w:t>
      </w:r>
      <w:r>
        <w:rPr>
          <w:rFonts w:hint="eastAsia" w:ascii="宋体" w:hAnsi="宋体" w:eastAsia="宋体" w:cs="宋体"/>
          <w:sz w:val="21"/>
          <w:szCs w:val="21"/>
        </w:rPr>
        <w:tab/>
      </w:r>
      <w:r>
        <w:rPr>
          <w:rFonts w:hint="eastAsia" w:ascii="宋体" w:hAnsi="宋体" w:eastAsia="宋体" w:cs="宋体"/>
          <w:sz w:val="21"/>
          <w:szCs w:val="21"/>
        </w:rPr>
        <w:fldChar w:fldCharType="begin"/>
      </w:r>
      <w:r>
        <w:rPr>
          <w:rFonts w:hint="eastAsia" w:ascii="宋体" w:hAnsi="宋体" w:eastAsia="宋体" w:cs="宋体"/>
          <w:sz w:val="21"/>
          <w:szCs w:val="21"/>
        </w:rPr>
        <w:instrText xml:space="preserve"> PAGEREF _Toc17238 \h </w:instrText>
      </w:r>
      <w:r>
        <w:rPr>
          <w:rFonts w:hint="eastAsia" w:ascii="宋体" w:hAnsi="宋体" w:eastAsia="宋体" w:cs="宋体"/>
          <w:sz w:val="21"/>
          <w:szCs w:val="21"/>
        </w:rPr>
        <w:fldChar w:fldCharType="separate"/>
      </w:r>
      <w:r>
        <w:rPr>
          <w:rFonts w:hint="eastAsia" w:ascii="宋体" w:hAnsi="宋体" w:eastAsia="宋体" w:cs="宋体"/>
          <w:sz w:val="21"/>
          <w:szCs w:val="21"/>
        </w:rPr>
        <w:t>21</w:t>
      </w:r>
      <w:r>
        <w:rPr>
          <w:rFonts w:hint="eastAsia" w:ascii="宋体" w:hAnsi="宋体" w:eastAsia="宋体" w:cs="宋体"/>
          <w:sz w:val="21"/>
          <w:szCs w:val="21"/>
        </w:rPr>
        <w:fldChar w:fldCharType="end"/>
      </w:r>
      <w:r>
        <w:rPr>
          <w:rFonts w:hint="eastAsia" w:ascii="宋体" w:hAnsi="宋体" w:eastAsia="宋体" w:cs="宋体"/>
          <w:color w:val="auto"/>
          <w:sz w:val="21"/>
          <w:szCs w:val="21"/>
          <w:highlight w:val="none"/>
        </w:rPr>
        <w:fldChar w:fldCharType="end"/>
      </w:r>
    </w:p>
    <w:p w14:paraId="675C2519">
      <w:pPr>
        <w:pStyle w:val="11"/>
        <w:tabs>
          <w:tab w:val="right" w:leader="dot" w:pos="8306"/>
          <w:tab w:val="clear" w:pos="8296"/>
        </w:tabs>
        <w:rPr>
          <w:rFonts w:hint="eastAsia" w:ascii="宋体" w:hAnsi="宋体" w:eastAsia="宋体" w:cs="宋体"/>
          <w:sz w:val="21"/>
          <w:szCs w:val="21"/>
        </w:rPr>
      </w:pPr>
      <w:r>
        <w:rPr>
          <w:rFonts w:hint="eastAsia" w:ascii="宋体" w:hAnsi="宋体" w:eastAsia="宋体" w:cs="宋体"/>
          <w:color w:val="auto"/>
          <w:sz w:val="21"/>
          <w:szCs w:val="21"/>
          <w:highlight w:val="none"/>
        </w:rPr>
        <w:fldChar w:fldCharType="begin"/>
      </w:r>
      <w:r>
        <w:rPr>
          <w:rFonts w:hint="eastAsia" w:ascii="宋体" w:hAnsi="宋体" w:eastAsia="宋体" w:cs="宋体"/>
          <w:sz w:val="21"/>
          <w:szCs w:val="21"/>
          <w:highlight w:val="none"/>
        </w:rPr>
        <w:instrText xml:space="preserve"> HYPERLINK \l _Toc20793 </w:instrText>
      </w:r>
      <w:r>
        <w:rPr>
          <w:rFonts w:hint="eastAsia" w:ascii="宋体" w:hAnsi="宋体" w:eastAsia="宋体" w:cs="宋体"/>
          <w:sz w:val="21"/>
          <w:szCs w:val="21"/>
          <w:highlight w:val="none"/>
        </w:rPr>
        <w:fldChar w:fldCharType="separate"/>
      </w:r>
      <w:r>
        <w:rPr>
          <w:rFonts w:hint="eastAsia" w:ascii="宋体" w:hAnsi="宋体" w:eastAsia="宋体" w:cs="宋体"/>
          <w:sz w:val="21"/>
          <w:szCs w:val="21"/>
        </w:rPr>
        <w:t xml:space="preserve">7. </w:t>
      </w:r>
      <w:r>
        <w:rPr>
          <w:rFonts w:hint="eastAsia" w:ascii="宋体" w:hAnsi="宋体" w:eastAsia="宋体" w:cs="宋体"/>
          <w:sz w:val="21"/>
          <w:szCs w:val="21"/>
          <w:highlight w:val="none"/>
        </w:rPr>
        <w:t>关于分支机构投标</w:t>
      </w:r>
      <w:r>
        <w:rPr>
          <w:rFonts w:hint="eastAsia" w:ascii="宋体" w:hAnsi="宋体" w:eastAsia="宋体" w:cs="宋体"/>
          <w:sz w:val="21"/>
          <w:szCs w:val="21"/>
        </w:rPr>
        <w:tab/>
      </w:r>
      <w:r>
        <w:rPr>
          <w:rFonts w:hint="eastAsia" w:ascii="宋体" w:hAnsi="宋体" w:eastAsia="宋体" w:cs="宋体"/>
          <w:sz w:val="21"/>
          <w:szCs w:val="21"/>
        </w:rPr>
        <w:fldChar w:fldCharType="begin"/>
      </w:r>
      <w:r>
        <w:rPr>
          <w:rFonts w:hint="eastAsia" w:ascii="宋体" w:hAnsi="宋体" w:eastAsia="宋体" w:cs="宋体"/>
          <w:sz w:val="21"/>
          <w:szCs w:val="21"/>
        </w:rPr>
        <w:instrText xml:space="preserve"> PAGEREF _Toc20793 \h </w:instrText>
      </w:r>
      <w:r>
        <w:rPr>
          <w:rFonts w:hint="eastAsia" w:ascii="宋体" w:hAnsi="宋体" w:eastAsia="宋体" w:cs="宋体"/>
          <w:sz w:val="21"/>
          <w:szCs w:val="21"/>
        </w:rPr>
        <w:fldChar w:fldCharType="separate"/>
      </w:r>
      <w:r>
        <w:rPr>
          <w:rFonts w:hint="eastAsia" w:ascii="宋体" w:hAnsi="宋体" w:eastAsia="宋体" w:cs="宋体"/>
          <w:sz w:val="21"/>
          <w:szCs w:val="21"/>
        </w:rPr>
        <w:t>22</w:t>
      </w:r>
      <w:r>
        <w:rPr>
          <w:rFonts w:hint="eastAsia" w:ascii="宋体" w:hAnsi="宋体" w:eastAsia="宋体" w:cs="宋体"/>
          <w:sz w:val="21"/>
          <w:szCs w:val="21"/>
        </w:rPr>
        <w:fldChar w:fldCharType="end"/>
      </w:r>
      <w:r>
        <w:rPr>
          <w:rFonts w:hint="eastAsia" w:ascii="宋体" w:hAnsi="宋体" w:eastAsia="宋体" w:cs="宋体"/>
          <w:color w:val="auto"/>
          <w:sz w:val="21"/>
          <w:szCs w:val="21"/>
          <w:highlight w:val="none"/>
        </w:rPr>
        <w:fldChar w:fldCharType="end"/>
      </w:r>
    </w:p>
    <w:p w14:paraId="7D11C93C">
      <w:pPr>
        <w:pStyle w:val="11"/>
        <w:tabs>
          <w:tab w:val="right" w:leader="dot" w:pos="8306"/>
          <w:tab w:val="clear" w:pos="8296"/>
        </w:tabs>
        <w:rPr>
          <w:rFonts w:hint="eastAsia" w:ascii="宋体" w:hAnsi="宋体" w:eastAsia="宋体" w:cs="宋体"/>
          <w:sz w:val="21"/>
          <w:szCs w:val="21"/>
        </w:rPr>
      </w:pPr>
      <w:r>
        <w:rPr>
          <w:rFonts w:hint="eastAsia" w:ascii="宋体" w:hAnsi="宋体" w:eastAsia="宋体" w:cs="宋体"/>
          <w:color w:val="auto"/>
          <w:sz w:val="21"/>
          <w:szCs w:val="21"/>
          <w:highlight w:val="none"/>
        </w:rPr>
        <w:fldChar w:fldCharType="begin"/>
      </w:r>
      <w:r>
        <w:rPr>
          <w:rFonts w:hint="eastAsia" w:ascii="宋体" w:hAnsi="宋体" w:eastAsia="宋体" w:cs="宋体"/>
          <w:sz w:val="21"/>
          <w:szCs w:val="21"/>
          <w:highlight w:val="none"/>
        </w:rPr>
        <w:instrText xml:space="preserve"> HYPERLINK \l _Toc12085 </w:instrText>
      </w:r>
      <w:r>
        <w:rPr>
          <w:rFonts w:hint="eastAsia" w:ascii="宋体" w:hAnsi="宋体" w:eastAsia="宋体" w:cs="宋体"/>
          <w:sz w:val="21"/>
          <w:szCs w:val="21"/>
          <w:highlight w:val="none"/>
        </w:rPr>
        <w:fldChar w:fldCharType="separate"/>
      </w:r>
      <w:r>
        <w:rPr>
          <w:rFonts w:hint="eastAsia" w:ascii="宋体" w:hAnsi="宋体" w:eastAsia="宋体" w:cs="宋体"/>
          <w:sz w:val="21"/>
          <w:szCs w:val="21"/>
        </w:rPr>
        <w:t xml:space="preserve">8. </w:t>
      </w:r>
      <w:r>
        <w:rPr>
          <w:rFonts w:hint="eastAsia" w:ascii="宋体" w:hAnsi="宋体" w:eastAsia="宋体" w:cs="宋体"/>
          <w:sz w:val="21"/>
          <w:szCs w:val="21"/>
          <w:highlight w:val="none"/>
        </w:rPr>
        <w:t>踏勘现场</w:t>
      </w:r>
      <w:r>
        <w:rPr>
          <w:rFonts w:hint="eastAsia" w:ascii="宋体" w:hAnsi="宋体" w:eastAsia="宋体" w:cs="宋体"/>
          <w:sz w:val="21"/>
          <w:szCs w:val="21"/>
        </w:rPr>
        <w:tab/>
      </w:r>
      <w:r>
        <w:rPr>
          <w:rFonts w:hint="eastAsia" w:ascii="宋体" w:hAnsi="宋体" w:eastAsia="宋体" w:cs="宋体"/>
          <w:sz w:val="21"/>
          <w:szCs w:val="21"/>
        </w:rPr>
        <w:fldChar w:fldCharType="begin"/>
      </w:r>
      <w:r>
        <w:rPr>
          <w:rFonts w:hint="eastAsia" w:ascii="宋体" w:hAnsi="宋体" w:eastAsia="宋体" w:cs="宋体"/>
          <w:sz w:val="21"/>
          <w:szCs w:val="21"/>
        </w:rPr>
        <w:instrText xml:space="preserve"> PAGEREF _Toc12085 \h </w:instrText>
      </w:r>
      <w:r>
        <w:rPr>
          <w:rFonts w:hint="eastAsia" w:ascii="宋体" w:hAnsi="宋体" w:eastAsia="宋体" w:cs="宋体"/>
          <w:sz w:val="21"/>
          <w:szCs w:val="21"/>
        </w:rPr>
        <w:fldChar w:fldCharType="separate"/>
      </w:r>
      <w:r>
        <w:rPr>
          <w:rFonts w:hint="eastAsia" w:ascii="宋体" w:hAnsi="宋体" w:eastAsia="宋体" w:cs="宋体"/>
          <w:sz w:val="21"/>
          <w:szCs w:val="21"/>
        </w:rPr>
        <w:t>22</w:t>
      </w:r>
      <w:r>
        <w:rPr>
          <w:rFonts w:hint="eastAsia" w:ascii="宋体" w:hAnsi="宋体" w:eastAsia="宋体" w:cs="宋体"/>
          <w:sz w:val="21"/>
          <w:szCs w:val="21"/>
        </w:rPr>
        <w:fldChar w:fldCharType="end"/>
      </w:r>
      <w:r>
        <w:rPr>
          <w:rFonts w:hint="eastAsia" w:ascii="宋体" w:hAnsi="宋体" w:eastAsia="宋体" w:cs="宋体"/>
          <w:color w:val="auto"/>
          <w:sz w:val="21"/>
          <w:szCs w:val="21"/>
          <w:highlight w:val="none"/>
        </w:rPr>
        <w:fldChar w:fldCharType="end"/>
      </w:r>
    </w:p>
    <w:p w14:paraId="25168FD0">
      <w:pPr>
        <w:pStyle w:val="8"/>
        <w:tabs>
          <w:tab w:val="right" w:leader="dot" w:pos="8306"/>
          <w:tab w:val="clear" w:pos="8296"/>
        </w:tabs>
        <w:rPr>
          <w:rFonts w:hint="eastAsia" w:ascii="宋体" w:hAnsi="宋体" w:eastAsia="宋体" w:cs="宋体"/>
          <w:sz w:val="21"/>
          <w:szCs w:val="21"/>
        </w:rPr>
      </w:pPr>
      <w:r>
        <w:rPr>
          <w:rFonts w:hint="eastAsia" w:ascii="宋体" w:hAnsi="宋体" w:eastAsia="宋体" w:cs="宋体"/>
          <w:color w:val="auto"/>
          <w:sz w:val="21"/>
          <w:szCs w:val="21"/>
          <w:highlight w:val="none"/>
        </w:rPr>
        <w:fldChar w:fldCharType="begin"/>
      </w:r>
      <w:r>
        <w:rPr>
          <w:rFonts w:hint="eastAsia" w:ascii="宋体" w:hAnsi="宋体" w:eastAsia="宋体" w:cs="宋体"/>
          <w:sz w:val="21"/>
          <w:szCs w:val="21"/>
          <w:highlight w:val="none"/>
        </w:rPr>
        <w:instrText xml:space="preserve"> HYPERLINK \l _Toc21061 </w:instrText>
      </w:r>
      <w:r>
        <w:rPr>
          <w:rFonts w:hint="eastAsia" w:ascii="宋体" w:hAnsi="宋体" w:eastAsia="宋体" w:cs="宋体"/>
          <w:sz w:val="21"/>
          <w:szCs w:val="21"/>
          <w:highlight w:val="none"/>
        </w:rPr>
        <w:fldChar w:fldCharType="separate"/>
      </w:r>
      <w:r>
        <w:rPr>
          <w:rFonts w:hint="eastAsia" w:ascii="宋体" w:hAnsi="宋体" w:eastAsia="宋体" w:cs="宋体"/>
          <w:sz w:val="21"/>
          <w:szCs w:val="21"/>
        </w:rPr>
        <w:t xml:space="preserve">二、 </w:t>
      </w:r>
      <w:r>
        <w:rPr>
          <w:rFonts w:hint="eastAsia" w:ascii="宋体" w:hAnsi="宋体" w:eastAsia="宋体" w:cs="宋体"/>
          <w:sz w:val="21"/>
          <w:szCs w:val="21"/>
          <w:highlight w:val="none"/>
        </w:rPr>
        <w:t>采购文件</w:t>
      </w:r>
      <w:r>
        <w:rPr>
          <w:rFonts w:hint="eastAsia" w:ascii="宋体" w:hAnsi="宋体" w:eastAsia="宋体" w:cs="宋体"/>
          <w:sz w:val="21"/>
          <w:szCs w:val="21"/>
        </w:rPr>
        <w:tab/>
      </w:r>
      <w:r>
        <w:rPr>
          <w:rFonts w:hint="eastAsia" w:ascii="宋体" w:hAnsi="宋体" w:eastAsia="宋体" w:cs="宋体"/>
          <w:sz w:val="21"/>
          <w:szCs w:val="21"/>
        </w:rPr>
        <w:fldChar w:fldCharType="begin"/>
      </w:r>
      <w:r>
        <w:rPr>
          <w:rFonts w:hint="eastAsia" w:ascii="宋体" w:hAnsi="宋体" w:eastAsia="宋体" w:cs="宋体"/>
          <w:sz w:val="21"/>
          <w:szCs w:val="21"/>
        </w:rPr>
        <w:instrText xml:space="preserve"> PAGEREF _Toc21061 \h </w:instrText>
      </w:r>
      <w:r>
        <w:rPr>
          <w:rFonts w:hint="eastAsia" w:ascii="宋体" w:hAnsi="宋体" w:eastAsia="宋体" w:cs="宋体"/>
          <w:sz w:val="21"/>
          <w:szCs w:val="21"/>
        </w:rPr>
        <w:fldChar w:fldCharType="separate"/>
      </w:r>
      <w:r>
        <w:rPr>
          <w:rFonts w:hint="eastAsia" w:ascii="宋体" w:hAnsi="宋体" w:eastAsia="宋体" w:cs="宋体"/>
          <w:sz w:val="21"/>
          <w:szCs w:val="21"/>
        </w:rPr>
        <w:t>22</w:t>
      </w:r>
      <w:r>
        <w:rPr>
          <w:rFonts w:hint="eastAsia" w:ascii="宋体" w:hAnsi="宋体" w:eastAsia="宋体" w:cs="宋体"/>
          <w:sz w:val="21"/>
          <w:szCs w:val="21"/>
        </w:rPr>
        <w:fldChar w:fldCharType="end"/>
      </w:r>
      <w:r>
        <w:rPr>
          <w:rFonts w:hint="eastAsia" w:ascii="宋体" w:hAnsi="宋体" w:eastAsia="宋体" w:cs="宋体"/>
          <w:color w:val="auto"/>
          <w:sz w:val="21"/>
          <w:szCs w:val="21"/>
          <w:highlight w:val="none"/>
        </w:rPr>
        <w:fldChar w:fldCharType="end"/>
      </w:r>
    </w:p>
    <w:p w14:paraId="2B7D5074">
      <w:pPr>
        <w:pStyle w:val="11"/>
        <w:tabs>
          <w:tab w:val="right" w:leader="dot" w:pos="8306"/>
          <w:tab w:val="clear" w:pos="8296"/>
        </w:tabs>
        <w:rPr>
          <w:rFonts w:hint="eastAsia" w:ascii="宋体" w:hAnsi="宋体" w:eastAsia="宋体" w:cs="宋体"/>
          <w:sz w:val="21"/>
          <w:szCs w:val="21"/>
        </w:rPr>
      </w:pPr>
      <w:r>
        <w:rPr>
          <w:rFonts w:hint="eastAsia" w:ascii="宋体" w:hAnsi="宋体" w:eastAsia="宋体" w:cs="宋体"/>
          <w:color w:val="auto"/>
          <w:sz w:val="21"/>
          <w:szCs w:val="21"/>
          <w:highlight w:val="none"/>
        </w:rPr>
        <w:fldChar w:fldCharType="begin"/>
      </w:r>
      <w:r>
        <w:rPr>
          <w:rFonts w:hint="eastAsia" w:ascii="宋体" w:hAnsi="宋体" w:eastAsia="宋体" w:cs="宋体"/>
          <w:sz w:val="21"/>
          <w:szCs w:val="21"/>
          <w:highlight w:val="none"/>
        </w:rPr>
        <w:instrText xml:space="preserve"> HYPERLINK \l _Toc30268 </w:instrText>
      </w:r>
      <w:r>
        <w:rPr>
          <w:rFonts w:hint="eastAsia" w:ascii="宋体" w:hAnsi="宋体" w:eastAsia="宋体" w:cs="宋体"/>
          <w:sz w:val="21"/>
          <w:szCs w:val="21"/>
          <w:highlight w:val="none"/>
        </w:rPr>
        <w:fldChar w:fldCharType="separate"/>
      </w:r>
      <w:r>
        <w:rPr>
          <w:rFonts w:hint="eastAsia" w:ascii="宋体" w:hAnsi="宋体" w:eastAsia="宋体" w:cs="宋体"/>
          <w:sz w:val="21"/>
          <w:szCs w:val="21"/>
        </w:rPr>
        <w:t xml:space="preserve">9. </w:t>
      </w:r>
      <w:r>
        <w:rPr>
          <w:rFonts w:hint="eastAsia" w:ascii="宋体" w:hAnsi="宋体" w:eastAsia="宋体" w:cs="宋体"/>
          <w:sz w:val="21"/>
          <w:szCs w:val="21"/>
          <w:highlight w:val="none"/>
        </w:rPr>
        <w:t>采购文件的组成</w:t>
      </w:r>
      <w:r>
        <w:rPr>
          <w:rFonts w:hint="eastAsia" w:ascii="宋体" w:hAnsi="宋体" w:eastAsia="宋体" w:cs="宋体"/>
          <w:sz w:val="21"/>
          <w:szCs w:val="21"/>
        </w:rPr>
        <w:tab/>
      </w:r>
      <w:r>
        <w:rPr>
          <w:rFonts w:hint="eastAsia" w:ascii="宋体" w:hAnsi="宋体" w:eastAsia="宋体" w:cs="宋体"/>
          <w:sz w:val="21"/>
          <w:szCs w:val="21"/>
        </w:rPr>
        <w:fldChar w:fldCharType="begin"/>
      </w:r>
      <w:r>
        <w:rPr>
          <w:rFonts w:hint="eastAsia" w:ascii="宋体" w:hAnsi="宋体" w:eastAsia="宋体" w:cs="宋体"/>
          <w:sz w:val="21"/>
          <w:szCs w:val="21"/>
        </w:rPr>
        <w:instrText xml:space="preserve"> PAGEREF _Toc30268 \h </w:instrText>
      </w:r>
      <w:r>
        <w:rPr>
          <w:rFonts w:hint="eastAsia" w:ascii="宋体" w:hAnsi="宋体" w:eastAsia="宋体" w:cs="宋体"/>
          <w:sz w:val="21"/>
          <w:szCs w:val="21"/>
        </w:rPr>
        <w:fldChar w:fldCharType="separate"/>
      </w:r>
      <w:r>
        <w:rPr>
          <w:rFonts w:hint="eastAsia" w:ascii="宋体" w:hAnsi="宋体" w:eastAsia="宋体" w:cs="宋体"/>
          <w:sz w:val="21"/>
          <w:szCs w:val="21"/>
        </w:rPr>
        <w:t>22</w:t>
      </w:r>
      <w:r>
        <w:rPr>
          <w:rFonts w:hint="eastAsia" w:ascii="宋体" w:hAnsi="宋体" w:eastAsia="宋体" w:cs="宋体"/>
          <w:sz w:val="21"/>
          <w:szCs w:val="21"/>
        </w:rPr>
        <w:fldChar w:fldCharType="end"/>
      </w:r>
      <w:r>
        <w:rPr>
          <w:rFonts w:hint="eastAsia" w:ascii="宋体" w:hAnsi="宋体" w:eastAsia="宋体" w:cs="宋体"/>
          <w:color w:val="auto"/>
          <w:sz w:val="21"/>
          <w:szCs w:val="21"/>
          <w:highlight w:val="none"/>
        </w:rPr>
        <w:fldChar w:fldCharType="end"/>
      </w:r>
    </w:p>
    <w:p w14:paraId="64355413">
      <w:pPr>
        <w:pStyle w:val="11"/>
        <w:tabs>
          <w:tab w:val="right" w:leader="dot" w:pos="8306"/>
          <w:tab w:val="clear" w:pos="8296"/>
        </w:tabs>
        <w:rPr>
          <w:rFonts w:hint="eastAsia" w:ascii="宋体" w:hAnsi="宋体" w:eastAsia="宋体" w:cs="宋体"/>
          <w:sz w:val="21"/>
          <w:szCs w:val="21"/>
        </w:rPr>
      </w:pPr>
      <w:r>
        <w:rPr>
          <w:rFonts w:hint="eastAsia" w:ascii="宋体" w:hAnsi="宋体" w:eastAsia="宋体" w:cs="宋体"/>
          <w:color w:val="auto"/>
          <w:sz w:val="21"/>
          <w:szCs w:val="21"/>
          <w:highlight w:val="none"/>
        </w:rPr>
        <w:fldChar w:fldCharType="begin"/>
      </w:r>
      <w:r>
        <w:rPr>
          <w:rFonts w:hint="eastAsia" w:ascii="宋体" w:hAnsi="宋体" w:eastAsia="宋体" w:cs="宋体"/>
          <w:sz w:val="21"/>
          <w:szCs w:val="21"/>
          <w:highlight w:val="none"/>
        </w:rPr>
        <w:instrText xml:space="preserve"> HYPERLINK \l _Toc22099 </w:instrText>
      </w:r>
      <w:r>
        <w:rPr>
          <w:rFonts w:hint="eastAsia" w:ascii="宋体" w:hAnsi="宋体" w:eastAsia="宋体" w:cs="宋体"/>
          <w:sz w:val="21"/>
          <w:szCs w:val="21"/>
          <w:highlight w:val="none"/>
        </w:rPr>
        <w:fldChar w:fldCharType="separate"/>
      </w:r>
      <w:r>
        <w:rPr>
          <w:rFonts w:hint="eastAsia" w:ascii="宋体" w:hAnsi="宋体" w:eastAsia="宋体" w:cs="宋体"/>
          <w:sz w:val="21"/>
          <w:szCs w:val="21"/>
        </w:rPr>
        <w:t xml:space="preserve">10. </w:t>
      </w:r>
      <w:r>
        <w:rPr>
          <w:rFonts w:hint="eastAsia" w:ascii="宋体" w:hAnsi="宋体" w:eastAsia="宋体" w:cs="宋体"/>
          <w:sz w:val="21"/>
          <w:szCs w:val="21"/>
          <w:highlight w:val="none"/>
        </w:rPr>
        <w:t>采购文件的澄清或修改</w:t>
      </w:r>
      <w:r>
        <w:rPr>
          <w:rFonts w:hint="eastAsia" w:ascii="宋体" w:hAnsi="宋体" w:eastAsia="宋体" w:cs="宋体"/>
          <w:sz w:val="21"/>
          <w:szCs w:val="21"/>
        </w:rPr>
        <w:tab/>
      </w:r>
      <w:r>
        <w:rPr>
          <w:rFonts w:hint="eastAsia" w:ascii="宋体" w:hAnsi="宋体" w:eastAsia="宋体" w:cs="宋体"/>
          <w:sz w:val="21"/>
          <w:szCs w:val="21"/>
        </w:rPr>
        <w:fldChar w:fldCharType="begin"/>
      </w:r>
      <w:r>
        <w:rPr>
          <w:rFonts w:hint="eastAsia" w:ascii="宋体" w:hAnsi="宋体" w:eastAsia="宋体" w:cs="宋体"/>
          <w:sz w:val="21"/>
          <w:szCs w:val="21"/>
        </w:rPr>
        <w:instrText xml:space="preserve"> PAGEREF _Toc22099 \h </w:instrText>
      </w:r>
      <w:r>
        <w:rPr>
          <w:rFonts w:hint="eastAsia" w:ascii="宋体" w:hAnsi="宋体" w:eastAsia="宋体" w:cs="宋体"/>
          <w:sz w:val="21"/>
          <w:szCs w:val="21"/>
        </w:rPr>
        <w:fldChar w:fldCharType="separate"/>
      </w:r>
      <w:r>
        <w:rPr>
          <w:rFonts w:hint="eastAsia" w:ascii="宋体" w:hAnsi="宋体" w:eastAsia="宋体" w:cs="宋体"/>
          <w:sz w:val="21"/>
          <w:szCs w:val="21"/>
        </w:rPr>
        <w:t>22</w:t>
      </w:r>
      <w:r>
        <w:rPr>
          <w:rFonts w:hint="eastAsia" w:ascii="宋体" w:hAnsi="宋体" w:eastAsia="宋体" w:cs="宋体"/>
          <w:sz w:val="21"/>
          <w:szCs w:val="21"/>
        </w:rPr>
        <w:fldChar w:fldCharType="end"/>
      </w:r>
      <w:r>
        <w:rPr>
          <w:rFonts w:hint="eastAsia" w:ascii="宋体" w:hAnsi="宋体" w:eastAsia="宋体" w:cs="宋体"/>
          <w:color w:val="auto"/>
          <w:sz w:val="21"/>
          <w:szCs w:val="21"/>
          <w:highlight w:val="none"/>
        </w:rPr>
        <w:fldChar w:fldCharType="end"/>
      </w:r>
    </w:p>
    <w:p w14:paraId="129441CE">
      <w:pPr>
        <w:pStyle w:val="8"/>
        <w:tabs>
          <w:tab w:val="right" w:leader="dot" w:pos="8306"/>
          <w:tab w:val="clear" w:pos="8296"/>
        </w:tabs>
        <w:rPr>
          <w:rFonts w:hint="eastAsia" w:ascii="宋体" w:hAnsi="宋体" w:eastAsia="宋体" w:cs="宋体"/>
          <w:sz w:val="21"/>
          <w:szCs w:val="21"/>
        </w:rPr>
      </w:pPr>
      <w:r>
        <w:rPr>
          <w:rFonts w:hint="eastAsia" w:ascii="宋体" w:hAnsi="宋体" w:eastAsia="宋体" w:cs="宋体"/>
          <w:color w:val="auto"/>
          <w:sz w:val="21"/>
          <w:szCs w:val="21"/>
          <w:highlight w:val="none"/>
        </w:rPr>
        <w:fldChar w:fldCharType="begin"/>
      </w:r>
      <w:r>
        <w:rPr>
          <w:rFonts w:hint="eastAsia" w:ascii="宋体" w:hAnsi="宋体" w:eastAsia="宋体" w:cs="宋体"/>
          <w:sz w:val="21"/>
          <w:szCs w:val="21"/>
          <w:highlight w:val="none"/>
        </w:rPr>
        <w:instrText xml:space="preserve"> HYPERLINK \l _Toc14278 </w:instrText>
      </w:r>
      <w:r>
        <w:rPr>
          <w:rFonts w:hint="eastAsia" w:ascii="宋体" w:hAnsi="宋体" w:eastAsia="宋体" w:cs="宋体"/>
          <w:sz w:val="21"/>
          <w:szCs w:val="21"/>
          <w:highlight w:val="none"/>
        </w:rPr>
        <w:fldChar w:fldCharType="separate"/>
      </w:r>
      <w:r>
        <w:rPr>
          <w:rFonts w:hint="eastAsia" w:ascii="宋体" w:hAnsi="宋体" w:eastAsia="宋体" w:cs="宋体"/>
          <w:sz w:val="21"/>
          <w:szCs w:val="21"/>
        </w:rPr>
        <w:t xml:space="preserve">三、 </w:t>
      </w:r>
      <w:r>
        <w:rPr>
          <w:rFonts w:hint="eastAsia" w:ascii="宋体" w:hAnsi="宋体" w:eastAsia="宋体" w:cs="宋体"/>
          <w:sz w:val="21"/>
          <w:szCs w:val="21"/>
          <w:highlight w:val="none"/>
        </w:rPr>
        <w:t>投标文件的编制</w:t>
      </w:r>
      <w:r>
        <w:rPr>
          <w:rFonts w:hint="eastAsia" w:ascii="宋体" w:hAnsi="宋体" w:eastAsia="宋体" w:cs="宋体"/>
          <w:sz w:val="21"/>
          <w:szCs w:val="21"/>
        </w:rPr>
        <w:tab/>
      </w:r>
      <w:r>
        <w:rPr>
          <w:rFonts w:hint="eastAsia" w:ascii="宋体" w:hAnsi="宋体" w:eastAsia="宋体" w:cs="宋体"/>
          <w:sz w:val="21"/>
          <w:szCs w:val="21"/>
        </w:rPr>
        <w:fldChar w:fldCharType="begin"/>
      </w:r>
      <w:r>
        <w:rPr>
          <w:rFonts w:hint="eastAsia" w:ascii="宋体" w:hAnsi="宋体" w:eastAsia="宋体" w:cs="宋体"/>
          <w:sz w:val="21"/>
          <w:szCs w:val="21"/>
        </w:rPr>
        <w:instrText xml:space="preserve"> PAGEREF _Toc14278 \h </w:instrText>
      </w:r>
      <w:r>
        <w:rPr>
          <w:rFonts w:hint="eastAsia" w:ascii="宋体" w:hAnsi="宋体" w:eastAsia="宋体" w:cs="宋体"/>
          <w:sz w:val="21"/>
          <w:szCs w:val="21"/>
        </w:rPr>
        <w:fldChar w:fldCharType="separate"/>
      </w:r>
      <w:r>
        <w:rPr>
          <w:rFonts w:hint="eastAsia" w:ascii="宋体" w:hAnsi="宋体" w:eastAsia="宋体" w:cs="宋体"/>
          <w:sz w:val="21"/>
          <w:szCs w:val="21"/>
        </w:rPr>
        <w:t>23</w:t>
      </w:r>
      <w:r>
        <w:rPr>
          <w:rFonts w:hint="eastAsia" w:ascii="宋体" w:hAnsi="宋体" w:eastAsia="宋体" w:cs="宋体"/>
          <w:sz w:val="21"/>
          <w:szCs w:val="21"/>
        </w:rPr>
        <w:fldChar w:fldCharType="end"/>
      </w:r>
      <w:r>
        <w:rPr>
          <w:rFonts w:hint="eastAsia" w:ascii="宋体" w:hAnsi="宋体" w:eastAsia="宋体" w:cs="宋体"/>
          <w:color w:val="auto"/>
          <w:sz w:val="21"/>
          <w:szCs w:val="21"/>
          <w:highlight w:val="none"/>
        </w:rPr>
        <w:fldChar w:fldCharType="end"/>
      </w:r>
    </w:p>
    <w:p w14:paraId="5695D9AC">
      <w:pPr>
        <w:pStyle w:val="11"/>
        <w:tabs>
          <w:tab w:val="right" w:leader="dot" w:pos="8306"/>
          <w:tab w:val="clear" w:pos="8296"/>
        </w:tabs>
        <w:rPr>
          <w:rFonts w:hint="eastAsia" w:ascii="宋体" w:hAnsi="宋体" w:eastAsia="宋体" w:cs="宋体"/>
          <w:sz w:val="21"/>
          <w:szCs w:val="21"/>
        </w:rPr>
      </w:pPr>
      <w:r>
        <w:rPr>
          <w:rFonts w:hint="eastAsia" w:ascii="宋体" w:hAnsi="宋体" w:eastAsia="宋体" w:cs="宋体"/>
          <w:color w:val="auto"/>
          <w:sz w:val="21"/>
          <w:szCs w:val="21"/>
          <w:highlight w:val="none"/>
        </w:rPr>
        <w:fldChar w:fldCharType="begin"/>
      </w:r>
      <w:r>
        <w:rPr>
          <w:rFonts w:hint="eastAsia" w:ascii="宋体" w:hAnsi="宋体" w:eastAsia="宋体" w:cs="宋体"/>
          <w:sz w:val="21"/>
          <w:szCs w:val="21"/>
          <w:highlight w:val="none"/>
        </w:rPr>
        <w:instrText xml:space="preserve"> HYPERLINK \l _Toc7480 </w:instrText>
      </w:r>
      <w:r>
        <w:rPr>
          <w:rFonts w:hint="eastAsia" w:ascii="宋体" w:hAnsi="宋体" w:eastAsia="宋体" w:cs="宋体"/>
          <w:sz w:val="21"/>
          <w:szCs w:val="21"/>
          <w:highlight w:val="none"/>
        </w:rPr>
        <w:fldChar w:fldCharType="separate"/>
      </w:r>
      <w:r>
        <w:rPr>
          <w:rFonts w:hint="eastAsia" w:ascii="宋体" w:hAnsi="宋体" w:eastAsia="宋体" w:cs="宋体"/>
          <w:sz w:val="21"/>
          <w:szCs w:val="21"/>
        </w:rPr>
        <w:t xml:space="preserve">11. </w:t>
      </w:r>
      <w:r>
        <w:rPr>
          <w:rFonts w:hint="eastAsia" w:ascii="宋体" w:hAnsi="宋体" w:eastAsia="宋体" w:cs="宋体"/>
          <w:sz w:val="21"/>
          <w:szCs w:val="21"/>
          <w:highlight w:val="none"/>
        </w:rPr>
        <w:t>投标文件的语言及度量衡单位</w:t>
      </w:r>
      <w:r>
        <w:rPr>
          <w:rFonts w:hint="eastAsia" w:ascii="宋体" w:hAnsi="宋体" w:eastAsia="宋体" w:cs="宋体"/>
          <w:sz w:val="21"/>
          <w:szCs w:val="21"/>
        </w:rPr>
        <w:tab/>
      </w:r>
      <w:r>
        <w:rPr>
          <w:rFonts w:hint="eastAsia" w:ascii="宋体" w:hAnsi="宋体" w:eastAsia="宋体" w:cs="宋体"/>
          <w:sz w:val="21"/>
          <w:szCs w:val="21"/>
        </w:rPr>
        <w:fldChar w:fldCharType="begin"/>
      </w:r>
      <w:r>
        <w:rPr>
          <w:rFonts w:hint="eastAsia" w:ascii="宋体" w:hAnsi="宋体" w:eastAsia="宋体" w:cs="宋体"/>
          <w:sz w:val="21"/>
          <w:szCs w:val="21"/>
        </w:rPr>
        <w:instrText xml:space="preserve"> PAGEREF _Toc7480 \h </w:instrText>
      </w:r>
      <w:r>
        <w:rPr>
          <w:rFonts w:hint="eastAsia" w:ascii="宋体" w:hAnsi="宋体" w:eastAsia="宋体" w:cs="宋体"/>
          <w:sz w:val="21"/>
          <w:szCs w:val="21"/>
        </w:rPr>
        <w:fldChar w:fldCharType="separate"/>
      </w:r>
      <w:r>
        <w:rPr>
          <w:rFonts w:hint="eastAsia" w:ascii="宋体" w:hAnsi="宋体" w:eastAsia="宋体" w:cs="宋体"/>
          <w:sz w:val="21"/>
          <w:szCs w:val="21"/>
        </w:rPr>
        <w:t>23</w:t>
      </w:r>
      <w:r>
        <w:rPr>
          <w:rFonts w:hint="eastAsia" w:ascii="宋体" w:hAnsi="宋体" w:eastAsia="宋体" w:cs="宋体"/>
          <w:sz w:val="21"/>
          <w:szCs w:val="21"/>
        </w:rPr>
        <w:fldChar w:fldCharType="end"/>
      </w:r>
      <w:r>
        <w:rPr>
          <w:rFonts w:hint="eastAsia" w:ascii="宋体" w:hAnsi="宋体" w:eastAsia="宋体" w:cs="宋体"/>
          <w:color w:val="auto"/>
          <w:sz w:val="21"/>
          <w:szCs w:val="21"/>
          <w:highlight w:val="none"/>
        </w:rPr>
        <w:fldChar w:fldCharType="end"/>
      </w:r>
    </w:p>
    <w:p w14:paraId="346A5AC8">
      <w:pPr>
        <w:pStyle w:val="11"/>
        <w:tabs>
          <w:tab w:val="right" w:leader="dot" w:pos="8306"/>
          <w:tab w:val="clear" w:pos="8296"/>
        </w:tabs>
        <w:rPr>
          <w:rFonts w:hint="eastAsia" w:ascii="宋体" w:hAnsi="宋体" w:eastAsia="宋体" w:cs="宋体"/>
          <w:sz w:val="21"/>
          <w:szCs w:val="21"/>
        </w:rPr>
      </w:pPr>
      <w:r>
        <w:rPr>
          <w:rFonts w:hint="eastAsia" w:ascii="宋体" w:hAnsi="宋体" w:eastAsia="宋体" w:cs="宋体"/>
          <w:color w:val="auto"/>
          <w:sz w:val="21"/>
          <w:szCs w:val="21"/>
          <w:highlight w:val="none"/>
        </w:rPr>
        <w:fldChar w:fldCharType="begin"/>
      </w:r>
      <w:r>
        <w:rPr>
          <w:rFonts w:hint="eastAsia" w:ascii="宋体" w:hAnsi="宋体" w:eastAsia="宋体" w:cs="宋体"/>
          <w:sz w:val="21"/>
          <w:szCs w:val="21"/>
          <w:highlight w:val="none"/>
        </w:rPr>
        <w:instrText xml:space="preserve"> HYPERLINK \l _Toc25265 </w:instrText>
      </w:r>
      <w:r>
        <w:rPr>
          <w:rFonts w:hint="eastAsia" w:ascii="宋体" w:hAnsi="宋体" w:eastAsia="宋体" w:cs="宋体"/>
          <w:sz w:val="21"/>
          <w:szCs w:val="21"/>
          <w:highlight w:val="none"/>
        </w:rPr>
        <w:fldChar w:fldCharType="separate"/>
      </w:r>
      <w:r>
        <w:rPr>
          <w:rFonts w:hint="eastAsia" w:ascii="宋体" w:hAnsi="宋体" w:eastAsia="宋体" w:cs="宋体"/>
          <w:sz w:val="21"/>
          <w:szCs w:val="21"/>
        </w:rPr>
        <w:t xml:space="preserve">12. </w:t>
      </w:r>
      <w:r>
        <w:rPr>
          <w:rFonts w:hint="eastAsia" w:ascii="宋体" w:hAnsi="宋体" w:eastAsia="宋体" w:cs="宋体"/>
          <w:sz w:val="21"/>
          <w:szCs w:val="21"/>
          <w:highlight w:val="none"/>
        </w:rPr>
        <w:t>投标文件的组成</w:t>
      </w:r>
      <w:r>
        <w:rPr>
          <w:rFonts w:hint="eastAsia" w:ascii="宋体" w:hAnsi="宋体" w:eastAsia="宋体" w:cs="宋体"/>
          <w:sz w:val="21"/>
          <w:szCs w:val="21"/>
        </w:rPr>
        <w:tab/>
      </w:r>
      <w:r>
        <w:rPr>
          <w:rFonts w:hint="eastAsia" w:ascii="宋体" w:hAnsi="宋体" w:eastAsia="宋体" w:cs="宋体"/>
          <w:sz w:val="21"/>
          <w:szCs w:val="21"/>
        </w:rPr>
        <w:fldChar w:fldCharType="begin"/>
      </w:r>
      <w:r>
        <w:rPr>
          <w:rFonts w:hint="eastAsia" w:ascii="宋体" w:hAnsi="宋体" w:eastAsia="宋体" w:cs="宋体"/>
          <w:sz w:val="21"/>
          <w:szCs w:val="21"/>
        </w:rPr>
        <w:instrText xml:space="preserve"> PAGEREF _Toc25265 \h </w:instrText>
      </w:r>
      <w:r>
        <w:rPr>
          <w:rFonts w:hint="eastAsia" w:ascii="宋体" w:hAnsi="宋体" w:eastAsia="宋体" w:cs="宋体"/>
          <w:sz w:val="21"/>
          <w:szCs w:val="21"/>
        </w:rPr>
        <w:fldChar w:fldCharType="separate"/>
      </w:r>
      <w:r>
        <w:rPr>
          <w:rFonts w:hint="eastAsia" w:ascii="宋体" w:hAnsi="宋体" w:eastAsia="宋体" w:cs="宋体"/>
          <w:sz w:val="21"/>
          <w:szCs w:val="21"/>
        </w:rPr>
        <w:t>23</w:t>
      </w:r>
      <w:r>
        <w:rPr>
          <w:rFonts w:hint="eastAsia" w:ascii="宋体" w:hAnsi="宋体" w:eastAsia="宋体" w:cs="宋体"/>
          <w:sz w:val="21"/>
          <w:szCs w:val="21"/>
        </w:rPr>
        <w:fldChar w:fldCharType="end"/>
      </w:r>
      <w:r>
        <w:rPr>
          <w:rFonts w:hint="eastAsia" w:ascii="宋体" w:hAnsi="宋体" w:eastAsia="宋体" w:cs="宋体"/>
          <w:color w:val="auto"/>
          <w:sz w:val="21"/>
          <w:szCs w:val="21"/>
          <w:highlight w:val="none"/>
        </w:rPr>
        <w:fldChar w:fldCharType="end"/>
      </w:r>
    </w:p>
    <w:p w14:paraId="71E2F2DF">
      <w:pPr>
        <w:pStyle w:val="11"/>
        <w:tabs>
          <w:tab w:val="right" w:leader="dot" w:pos="8306"/>
          <w:tab w:val="clear" w:pos="8296"/>
        </w:tabs>
        <w:rPr>
          <w:rFonts w:hint="eastAsia" w:ascii="宋体" w:hAnsi="宋体" w:eastAsia="宋体" w:cs="宋体"/>
          <w:sz w:val="21"/>
          <w:szCs w:val="21"/>
        </w:rPr>
      </w:pPr>
      <w:r>
        <w:rPr>
          <w:rFonts w:hint="eastAsia" w:ascii="宋体" w:hAnsi="宋体" w:eastAsia="宋体" w:cs="宋体"/>
          <w:color w:val="auto"/>
          <w:sz w:val="21"/>
          <w:szCs w:val="21"/>
          <w:highlight w:val="none"/>
        </w:rPr>
        <w:fldChar w:fldCharType="begin"/>
      </w:r>
      <w:r>
        <w:rPr>
          <w:rFonts w:hint="eastAsia" w:ascii="宋体" w:hAnsi="宋体" w:eastAsia="宋体" w:cs="宋体"/>
          <w:sz w:val="21"/>
          <w:szCs w:val="21"/>
          <w:highlight w:val="none"/>
        </w:rPr>
        <w:instrText xml:space="preserve"> HYPERLINK \l _Toc14154 </w:instrText>
      </w:r>
      <w:r>
        <w:rPr>
          <w:rFonts w:hint="eastAsia" w:ascii="宋体" w:hAnsi="宋体" w:eastAsia="宋体" w:cs="宋体"/>
          <w:sz w:val="21"/>
          <w:szCs w:val="21"/>
          <w:highlight w:val="none"/>
        </w:rPr>
        <w:fldChar w:fldCharType="separate"/>
      </w:r>
      <w:r>
        <w:rPr>
          <w:rFonts w:hint="eastAsia" w:ascii="宋体" w:hAnsi="宋体" w:eastAsia="宋体" w:cs="宋体"/>
          <w:sz w:val="21"/>
          <w:szCs w:val="21"/>
        </w:rPr>
        <w:t xml:space="preserve">13. </w:t>
      </w:r>
      <w:r>
        <w:rPr>
          <w:rFonts w:hint="eastAsia" w:ascii="宋体" w:hAnsi="宋体" w:eastAsia="宋体" w:cs="宋体"/>
          <w:sz w:val="21"/>
          <w:szCs w:val="21"/>
          <w:highlight w:val="none"/>
        </w:rPr>
        <w:t>投标文件编制</w:t>
      </w:r>
      <w:r>
        <w:rPr>
          <w:rFonts w:hint="eastAsia" w:ascii="宋体" w:hAnsi="宋体" w:eastAsia="宋体" w:cs="宋体"/>
          <w:sz w:val="21"/>
          <w:szCs w:val="21"/>
        </w:rPr>
        <w:tab/>
      </w:r>
      <w:r>
        <w:rPr>
          <w:rFonts w:hint="eastAsia" w:ascii="宋体" w:hAnsi="宋体" w:eastAsia="宋体" w:cs="宋体"/>
          <w:sz w:val="21"/>
          <w:szCs w:val="21"/>
        </w:rPr>
        <w:fldChar w:fldCharType="begin"/>
      </w:r>
      <w:r>
        <w:rPr>
          <w:rFonts w:hint="eastAsia" w:ascii="宋体" w:hAnsi="宋体" w:eastAsia="宋体" w:cs="宋体"/>
          <w:sz w:val="21"/>
          <w:szCs w:val="21"/>
        </w:rPr>
        <w:instrText xml:space="preserve"> PAGEREF _Toc14154 \h </w:instrText>
      </w:r>
      <w:r>
        <w:rPr>
          <w:rFonts w:hint="eastAsia" w:ascii="宋体" w:hAnsi="宋体" w:eastAsia="宋体" w:cs="宋体"/>
          <w:sz w:val="21"/>
          <w:szCs w:val="21"/>
        </w:rPr>
        <w:fldChar w:fldCharType="separate"/>
      </w:r>
      <w:r>
        <w:rPr>
          <w:rFonts w:hint="eastAsia" w:ascii="宋体" w:hAnsi="宋体" w:eastAsia="宋体" w:cs="宋体"/>
          <w:sz w:val="21"/>
          <w:szCs w:val="21"/>
        </w:rPr>
        <w:t>23</w:t>
      </w:r>
      <w:r>
        <w:rPr>
          <w:rFonts w:hint="eastAsia" w:ascii="宋体" w:hAnsi="宋体" w:eastAsia="宋体" w:cs="宋体"/>
          <w:sz w:val="21"/>
          <w:szCs w:val="21"/>
        </w:rPr>
        <w:fldChar w:fldCharType="end"/>
      </w:r>
      <w:r>
        <w:rPr>
          <w:rFonts w:hint="eastAsia" w:ascii="宋体" w:hAnsi="宋体" w:eastAsia="宋体" w:cs="宋体"/>
          <w:color w:val="auto"/>
          <w:sz w:val="21"/>
          <w:szCs w:val="21"/>
          <w:highlight w:val="none"/>
        </w:rPr>
        <w:fldChar w:fldCharType="end"/>
      </w:r>
    </w:p>
    <w:p w14:paraId="63E0DF15">
      <w:pPr>
        <w:pStyle w:val="11"/>
        <w:tabs>
          <w:tab w:val="right" w:leader="dot" w:pos="8306"/>
          <w:tab w:val="clear" w:pos="8296"/>
        </w:tabs>
        <w:rPr>
          <w:rFonts w:hint="eastAsia" w:ascii="宋体" w:hAnsi="宋体" w:eastAsia="宋体" w:cs="宋体"/>
          <w:sz w:val="21"/>
          <w:szCs w:val="21"/>
        </w:rPr>
      </w:pPr>
      <w:r>
        <w:rPr>
          <w:rFonts w:hint="eastAsia" w:ascii="宋体" w:hAnsi="宋体" w:eastAsia="宋体" w:cs="宋体"/>
          <w:color w:val="auto"/>
          <w:sz w:val="21"/>
          <w:szCs w:val="21"/>
          <w:highlight w:val="none"/>
        </w:rPr>
        <w:fldChar w:fldCharType="begin"/>
      </w:r>
      <w:r>
        <w:rPr>
          <w:rFonts w:hint="eastAsia" w:ascii="宋体" w:hAnsi="宋体" w:eastAsia="宋体" w:cs="宋体"/>
          <w:sz w:val="21"/>
          <w:szCs w:val="21"/>
          <w:highlight w:val="none"/>
        </w:rPr>
        <w:instrText xml:space="preserve"> HYPERLINK \l _Toc30500 </w:instrText>
      </w:r>
      <w:r>
        <w:rPr>
          <w:rFonts w:hint="eastAsia" w:ascii="宋体" w:hAnsi="宋体" w:eastAsia="宋体" w:cs="宋体"/>
          <w:sz w:val="21"/>
          <w:szCs w:val="21"/>
          <w:highlight w:val="none"/>
        </w:rPr>
        <w:fldChar w:fldCharType="separate"/>
      </w:r>
      <w:r>
        <w:rPr>
          <w:rFonts w:hint="eastAsia" w:ascii="宋体" w:hAnsi="宋体" w:eastAsia="宋体" w:cs="宋体"/>
          <w:sz w:val="21"/>
          <w:szCs w:val="21"/>
        </w:rPr>
        <w:t xml:space="preserve">14. </w:t>
      </w:r>
      <w:r>
        <w:rPr>
          <w:rFonts w:hint="eastAsia" w:ascii="宋体" w:hAnsi="宋体" w:eastAsia="宋体" w:cs="宋体"/>
          <w:sz w:val="21"/>
          <w:szCs w:val="21"/>
          <w:highlight w:val="none"/>
        </w:rPr>
        <w:t>投标报价说明</w:t>
      </w:r>
      <w:r>
        <w:rPr>
          <w:rFonts w:hint="eastAsia" w:ascii="宋体" w:hAnsi="宋体" w:eastAsia="宋体" w:cs="宋体"/>
          <w:sz w:val="21"/>
          <w:szCs w:val="21"/>
        </w:rPr>
        <w:tab/>
      </w:r>
      <w:r>
        <w:rPr>
          <w:rFonts w:hint="eastAsia" w:ascii="宋体" w:hAnsi="宋体" w:eastAsia="宋体" w:cs="宋体"/>
          <w:sz w:val="21"/>
          <w:szCs w:val="21"/>
        </w:rPr>
        <w:fldChar w:fldCharType="begin"/>
      </w:r>
      <w:r>
        <w:rPr>
          <w:rFonts w:hint="eastAsia" w:ascii="宋体" w:hAnsi="宋体" w:eastAsia="宋体" w:cs="宋体"/>
          <w:sz w:val="21"/>
          <w:szCs w:val="21"/>
        </w:rPr>
        <w:instrText xml:space="preserve"> PAGEREF _Toc30500 \h </w:instrText>
      </w:r>
      <w:r>
        <w:rPr>
          <w:rFonts w:hint="eastAsia" w:ascii="宋体" w:hAnsi="宋体" w:eastAsia="宋体" w:cs="宋体"/>
          <w:sz w:val="21"/>
          <w:szCs w:val="21"/>
        </w:rPr>
        <w:fldChar w:fldCharType="separate"/>
      </w:r>
      <w:r>
        <w:rPr>
          <w:rFonts w:hint="eastAsia" w:ascii="宋体" w:hAnsi="宋体" w:eastAsia="宋体" w:cs="宋体"/>
          <w:sz w:val="21"/>
          <w:szCs w:val="21"/>
        </w:rPr>
        <w:t>24</w:t>
      </w:r>
      <w:r>
        <w:rPr>
          <w:rFonts w:hint="eastAsia" w:ascii="宋体" w:hAnsi="宋体" w:eastAsia="宋体" w:cs="宋体"/>
          <w:sz w:val="21"/>
          <w:szCs w:val="21"/>
        </w:rPr>
        <w:fldChar w:fldCharType="end"/>
      </w:r>
      <w:r>
        <w:rPr>
          <w:rFonts w:hint="eastAsia" w:ascii="宋体" w:hAnsi="宋体" w:eastAsia="宋体" w:cs="宋体"/>
          <w:color w:val="auto"/>
          <w:sz w:val="21"/>
          <w:szCs w:val="21"/>
          <w:highlight w:val="none"/>
        </w:rPr>
        <w:fldChar w:fldCharType="end"/>
      </w:r>
    </w:p>
    <w:p w14:paraId="3546DA6E">
      <w:pPr>
        <w:pStyle w:val="11"/>
        <w:tabs>
          <w:tab w:val="right" w:leader="dot" w:pos="8306"/>
          <w:tab w:val="clear" w:pos="8296"/>
        </w:tabs>
        <w:rPr>
          <w:rFonts w:hint="eastAsia" w:ascii="宋体" w:hAnsi="宋体" w:eastAsia="宋体" w:cs="宋体"/>
          <w:sz w:val="21"/>
          <w:szCs w:val="21"/>
        </w:rPr>
      </w:pPr>
      <w:r>
        <w:rPr>
          <w:rFonts w:hint="eastAsia" w:ascii="宋体" w:hAnsi="宋体" w:eastAsia="宋体" w:cs="宋体"/>
          <w:color w:val="auto"/>
          <w:sz w:val="21"/>
          <w:szCs w:val="21"/>
          <w:highlight w:val="none"/>
        </w:rPr>
        <w:fldChar w:fldCharType="begin"/>
      </w:r>
      <w:r>
        <w:rPr>
          <w:rFonts w:hint="eastAsia" w:ascii="宋体" w:hAnsi="宋体" w:eastAsia="宋体" w:cs="宋体"/>
          <w:sz w:val="21"/>
          <w:szCs w:val="21"/>
          <w:highlight w:val="none"/>
        </w:rPr>
        <w:instrText xml:space="preserve"> HYPERLINK \l _Toc14485 </w:instrText>
      </w:r>
      <w:r>
        <w:rPr>
          <w:rFonts w:hint="eastAsia" w:ascii="宋体" w:hAnsi="宋体" w:eastAsia="宋体" w:cs="宋体"/>
          <w:sz w:val="21"/>
          <w:szCs w:val="21"/>
          <w:highlight w:val="none"/>
        </w:rPr>
        <w:fldChar w:fldCharType="separate"/>
      </w:r>
      <w:r>
        <w:rPr>
          <w:rFonts w:hint="eastAsia" w:ascii="宋体" w:hAnsi="宋体" w:eastAsia="宋体" w:cs="宋体"/>
          <w:sz w:val="21"/>
          <w:szCs w:val="21"/>
        </w:rPr>
        <w:t xml:space="preserve">15. </w:t>
      </w:r>
      <w:r>
        <w:rPr>
          <w:rFonts w:hint="eastAsia" w:ascii="宋体" w:hAnsi="宋体" w:eastAsia="宋体" w:cs="宋体"/>
          <w:sz w:val="21"/>
          <w:szCs w:val="21"/>
          <w:highlight w:val="none"/>
        </w:rPr>
        <w:t>投标人所提供的服务或货物的证明文件</w:t>
      </w:r>
      <w:r>
        <w:rPr>
          <w:rFonts w:hint="eastAsia" w:ascii="宋体" w:hAnsi="宋体" w:eastAsia="宋体" w:cs="宋体"/>
          <w:sz w:val="21"/>
          <w:szCs w:val="21"/>
        </w:rPr>
        <w:tab/>
      </w:r>
      <w:r>
        <w:rPr>
          <w:rFonts w:hint="eastAsia" w:ascii="宋体" w:hAnsi="宋体" w:eastAsia="宋体" w:cs="宋体"/>
          <w:sz w:val="21"/>
          <w:szCs w:val="21"/>
        </w:rPr>
        <w:fldChar w:fldCharType="begin"/>
      </w:r>
      <w:r>
        <w:rPr>
          <w:rFonts w:hint="eastAsia" w:ascii="宋体" w:hAnsi="宋体" w:eastAsia="宋体" w:cs="宋体"/>
          <w:sz w:val="21"/>
          <w:szCs w:val="21"/>
        </w:rPr>
        <w:instrText xml:space="preserve"> PAGEREF _Toc14485 \h </w:instrText>
      </w:r>
      <w:r>
        <w:rPr>
          <w:rFonts w:hint="eastAsia" w:ascii="宋体" w:hAnsi="宋体" w:eastAsia="宋体" w:cs="宋体"/>
          <w:sz w:val="21"/>
          <w:szCs w:val="21"/>
        </w:rPr>
        <w:fldChar w:fldCharType="separate"/>
      </w:r>
      <w:r>
        <w:rPr>
          <w:rFonts w:hint="eastAsia" w:ascii="宋体" w:hAnsi="宋体" w:eastAsia="宋体" w:cs="宋体"/>
          <w:sz w:val="21"/>
          <w:szCs w:val="21"/>
        </w:rPr>
        <w:t>24</w:t>
      </w:r>
      <w:r>
        <w:rPr>
          <w:rFonts w:hint="eastAsia" w:ascii="宋体" w:hAnsi="宋体" w:eastAsia="宋体" w:cs="宋体"/>
          <w:sz w:val="21"/>
          <w:szCs w:val="21"/>
        </w:rPr>
        <w:fldChar w:fldCharType="end"/>
      </w:r>
      <w:r>
        <w:rPr>
          <w:rFonts w:hint="eastAsia" w:ascii="宋体" w:hAnsi="宋体" w:eastAsia="宋体" w:cs="宋体"/>
          <w:color w:val="auto"/>
          <w:sz w:val="21"/>
          <w:szCs w:val="21"/>
          <w:highlight w:val="none"/>
        </w:rPr>
        <w:fldChar w:fldCharType="end"/>
      </w:r>
    </w:p>
    <w:p w14:paraId="652B7102">
      <w:pPr>
        <w:pStyle w:val="11"/>
        <w:tabs>
          <w:tab w:val="right" w:leader="dot" w:pos="8306"/>
          <w:tab w:val="clear" w:pos="8296"/>
        </w:tabs>
        <w:rPr>
          <w:rFonts w:hint="eastAsia" w:ascii="宋体" w:hAnsi="宋体" w:eastAsia="宋体" w:cs="宋体"/>
          <w:sz w:val="21"/>
          <w:szCs w:val="21"/>
        </w:rPr>
      </w:pPr>
      <w:r>
        <w:rPr>
          <w:rFonts w:hint="eastAsia" w:ascii="宋体" w:hAnsi="宋体" w:eastAsia="宋体" w:cs="宋体"/>
          <w:color w:val="auto"/>
          <w:sz w:val="21"/>
          <w:szCs w:val="21"/>
          <w:highlight w:val="none"/>
        </w:rPr>
        <w:fldChar w:fldCharType="begin"/>
      </w:r>
      <w:r>
        <w:rPr>
          <w:rFonts w:hint="eastAsia" w:ascii="宋体" w:hAnsi="宋体" w:eastAsia="宋体" w:cs="宋体"/>
          <w:sz w:val="21"/>
          <w:szCs w:val="21"/>
          <w:highlight w:val="none"/>
        </w:rPr>
        <w:instrText xml:space="preserve"> HYPERLINK \l _Toc884 </w:instrText>
      </w:r>
      <w:r>
        <w:rPr>
          <w:rFonts w:hint="eastAsia" w:ascii="宋体" w:hAnsi="宋体" w:eastAsia="宋体" w:cs="宋体"/>
          <w:sz w:val="21"/>
          <w:szCs w:val="21"/>
          <w:highlight w:val="none"/>
        </w:rPr>
        <w:fldChar w:fldCharType="separate"/>
      </w:r>
      <w:r>
        <w:rPr>
          <w:rFonts w:hint="eastAsia" w:ascii="宋体" w:hAnsi="宋体" w:eastAsia="宋体" w:cs="宋体"/>
          <w:sz w:val="21"/>
          <w:szCs w:val="21"/>
        </w:rPr>
        <w:t xml:space="preserve">16. </w:t>
      </w:r>
      <w:r>
        <w:rPr>
          <w:rFonts w:hint="eastAsia" w:ascii="宋体" w:hAnsi="宋体" w:eastAsia="宋体" w:cs="宋体"/>
          <w:sz w:val="21"/>
          <w:szCs w:val="21"/>
          <w:highlight w:val="none"/>
        </w:rPr>
        <w:t>投标有效期</w:t>
      </w:r>
      <w:r>
        <w:rPr>
          <w:rFonts w:hint="eastAsia" w:ascii="宋体" w:hAnsi="宋体" w:eastAsia="宋体" w:cs="宋体"/>
          <w:sz w:val="21"/>
          <w:szCs w:val="21"/>
        </w:rPr>
        <w:tab/>
      </w:r>
      <w:r>
        <w:rPr>
          <w:rFonts w:hint="eastAsia" w:ascii="宋体" w:hAnsi="宋体" w:eastAsia="宋体" w:cs="宋体"/>
          <w:sz w:val="21"/>
          <w:szCs w:val="21"/>
        </w:rPr>
        <w:fldChar w:fldCharType="begin"/>
      </w:r>
      <w:r>
        <w:rPr>
          <w:rFonts w:hint="eastAsia" w:ascii="宋体" w:hAnsi="宋体" w:eastAsia="宋体" w:cs="宋体"/>
          <w:sz w:val="21"/>
          <w:szCs w:val="21"/>
        </w:rPr>
        <w:instrText xml:space="preserve"> PAGEREF _Toc884 \h </w:instrText>
      </w:r>
      <w:r>
        <w:rPr>
          <w:rFonts w:hint="eastAsia" w:ascii="宋体" w:hAnsi="宋体" w:eastAsia="宋体" w:cs="宋体"/>
          <w:sz w:val="21"/>
          <w:szCs w:val="21"/>
        </w:rPr>
        <w:fldChar w:fldCharType="separate"/>
      </w:r>
      <w:r>
        <w:rPr>
          <w:rFonts w:hint="eastAsia" w:ascii="宋体" w:hAnsi="宋体" w:eastAsia="宋体" w:cs="宋体"/>
          <w:sz w:val="21"/>
          <w:szCs w:val="21"/>
        </w:rPr>
        <w:t>25</w:t>
      </w:r>
      <w:r>
        <w:rPr>
          <w:rFonts w:hint="eastAsia" w:ascii="宋体" w:hAnsi="宋体" w:eastAsia="宋体" w:cs="宋体"/>
          <w:sz w:val="21"/>
          <w:szCs w:val="21"/>
        </w:rPr>
        <w:fldChar w:fldCharType="end"/>
      </w:r>
      <w:r>
        <w:rPr>
          <w:rFonts w:hint="eastAsia" w:ascii="宋体" w:hAnsi="宋体" w:eastAsia="宋体" w:cs="宋体"/>
          <w:color w:val="auto"/>
          <w:sz w:val="21"/>
          <w:szCs w:val="21"/>
          <w:highlight w:val="none"/>
        </w:rPr>
        <w:fldChar w:fldCharType="end"/>
      </w:r>
    </w:p>
    <w:p w14:paraId="73D26E8A">
      <w:pPr>
        <w:pStyle w:val="11"/>
        <w:tabs>
          <w:tab w:val="right" w:leader="dot" w:pos="8306"/>
          <w:tab w:val="clear" w:pos="8296"/>
        </w:tabs>
        <w:rPr>
          <w:rFonts w:hint="eastAsia" w:ascii="宋体" w:hAnsi="宋体" w:eastAsia="宋体" w:cs="宋体"/>
          <w:sz w:val="21"/>
          <w:szCs w:val="21"/>
        </w:rPr>
      </w:pPr>
      <w:r>
        <w:rPr>
          <w:rFonts w:hint="eastAsia" w:ascii="宋体" w:hAnsi="宋体" w:eastAsia="宋体" w:cs="宋体"/>
          <w:color w:val="auto"/>
          <w:sz w:val="21"/>
          <w:szCs w:val="21"/>
          <w:highlight w:val="none"/>
        </w:rPr>
        <w:fldChar w:fldCharType="begin"/>
      </w:r>
      <w:r>
        <w:rPr>
          <w:rFonts w:hint="eastAsia" w:ascii="宋体" w:hAnsi="宋体" w:eastAsia="宋体" w:cs="宋体"/>
          <w:sz w:val="21"/>
          <w:szCs w:val="21"/>
          <w:highlight w:val="none"/>
        </w:rPr>
        <w:instrText xml:space="preserve"> HYPERLINK \l _Toc32429 </w:instrText>
      </w:r>
      <w:r>
        <w:rPr>
          <w:rFonts w:hint="eastAsia" w:ascii="宋体" w:hAnsi="宋体" w:eastAsia="宋体" w:cs="宋体"/>
          <w:sz w:val="21"/>
          <w:szCs w:val="21"/>
          <w:highlight w:val="none"/>
        </w:rPr>
        <w:fldChar w:fldCharType="separate"/>
      </w:r>
      <w:r>
        <w:rPr>
          <w:rFonts w:hint="eastAsia" w:ascii="宋体" w:hAnsi="宋体" w:eastAsia="宋体" w:cs="宋体"/>
          <w:sz w:val="21"/>
          <w:szCs w:val="21"/>
        </w:rPr>
        <w:t xml:space="preserve">17. </w:t>
      </w:r>
      <w:r>
        <w:rPr>
          <w:rFonts w:hint="eastAsia" w:ascii="宋体" w:hAnsi="宋体" w:eastAsia="宋体" w:cs="宋体"/>
          <w:sz w:val="21"/>
          <w:szCs w:val="21"/>
          <w:highlight w:val="none"/>
        </w:rPr>
        <w:t>投标保证金</w:t>
      </w:r>
      <w:r>
        <w:rPr>
          <w:rFonts w:hint="eastAsia" w:ascii="宋体" w:hAnsi="宋体" w:eastAsia="宋体" w:cs="宋体"/>
          <w:sz w:val="21"/>
          <w:szCs w:val="21"/>
        </w:rPr>
        <w:tab/>
      </w:r>
      <w:r>
        <w:rPr>
          <w:rFonts w:hint="eastAsia" w:ascii="宋体" w:hAnsi="宋体" w:eastAsia="宋体" w:cs="宋体"/>
          <w:sz w:val="21"/>
          <w:szCs w:val="21"/>
        </w:rPr>
        <w:fldChar w:fldCharType="begin"/>
      </w:r>
      <w:r>
        <w:rPr>
          <w:rFonts w:hint="eastAsia" w:ascii="宋体" w:hAnsi="宋体" w:eastAsia="宋体" w:cs="宋体"/>
          <w:sz w:val="21"/>
          <w:szCs w:val="21"/>
        </w:rPr>
        <w:instrText xml:space="preserve"> PAGEREF _Toc32429 \h </w:instrText>
      </w:r>
      <w:r>
        <w:rPr>
          <w:rFonts w:hint="eastAsia" w:ascii="宋体" w:hAnsi="宋体" w:eastAsia="宋体" w:cs="宋体"/>
          <w:sz w:val="21"/>
          <w:szCs w:val="21"/>
        </w:rPr>
        <w:fldChar w:fldCharType="separate"/>
      </w:r>
      <w:r>
        <w:rPr>
          <w:rFonts w:hint="eastAsia" w:ascii="宋体" w:hAnsi="宋体" w:eastAsia="宋体" w:cs="宋体"/>
          <w:sz w:val="21"/>
          <w:szCs w:val="21"/>
        </w:rPr>
        <w:t>25</w:t>
      </w:r>
      <w:r>
        <w:rPr>
          <w:rFonts w:hint="eastAsia" w:ascii="宋体" w:hAnsi="宋体" w:eastAsia="宋体" w:cs="宋体"/>
          <w:sz w:val="21"/>
          <w:szCs w:val="21"/>
        </w:rPr>
        <w:fldChar w:fldCharType="end"/>
      </w:r>
      <w:r>
        <w:rPr>
          <w:rFonts w:hint="eastAsia" w:ascii="宋体" w:hAnsi="宋体" w:eastAsia="宋体" w:cs="宋体"/>
          <w:color w:val="auto"/>
          <w:sz w:val="21"/>
          <w:szCs w:val="21"/>
          <w:highlight w:val="none"/>
        </w:rPr>
        <w:fldChar w:fldCharType="end"/>
      </w:r>
    </w:p>
    <w:p w14:paraId="733CF279">
      <w:pPr>
        <w:pStyle w:val="8"/>
        <w:tabs>
          <w:tab w:val="right" w:leader="dot" w:pos="8306"/>
          <w:tab w:val="clear" w:pos="8296"/>
        </w:tabs>
        <w:rPr>
          <w:rFonts w:hint="eastAsia" w:ascii="宋体" w:hAnsi="宋体" w:eastAsia="宋体" w:cs="宋体"/>
          <w:sz w:val="21"/>
          <w:szCs w:val="21"/>
        </w:rPr>
      </w:pPr>
      <w:r>
        <w:rPr>
          <w:rFonts w:hint="eastAsia" w:ascii="宋体" w:hAnsi="宋体" w:eastAsia="宋体" w:cs="宋体"/>
          <w:color w:val="auto"/>
          <w:sz w:val="21"/>
          <w:szCs w:val="21"/>
          <w:highlight w:val="none"/>
        </w:rPr>
        <w:fldChar w:fldCharType="begin"/>
      </w:r>
      <w:r>
        <w:rPr>
          <w:rFonts w:hint="eastAsia" w:ascii="宋体" w:hAnsi="宋体" w:eastAsia="宋体" w:cs="宋体"/>
          <w:sz w:val="21"/>
          <w:szCs w:val="21"/>
          <w:highlight w:val="none"/>
        </w:rPr>
        <w:instrText xml:space="preserve"> HYPERLINK \l _Toc7475 </w:instrText>
      </w:r>
      <w:r>
        <w:rPr>
          <w:rFonts w:hint="eastAsia" w:ascii="宋体" w:hAnsi="宋体" w:eastAsia="宋体" w:cs="宋体"/>
          <w:sz w:val="21"/>
          <w:szCs w:val="21"/>
          <w:highlight w:val="none"/>
        </w:rPr>
        <w:fldChar w:fldCharType="separate"/>
      </w:r>
      <w:r>
        <w:rPr>
          <w:rFonts w:hint="eastAsia" w:ascii="宋体" w:hAnsi="宋体" w:eastAsia="宋体" w:cs="宋体"/>
          <w:sz w:val="21"/>
          <w:szCs w:val="21"/>
        </w:rPr>
        <w:t xml:space="preserve">四、 </w:t>
      </w:r>
      <w:r>
        <w:rPr>
          <w:rFonts w:hint="eastAsia" w:ascii="宋体" w:hAnsi="宋体" w:eastAsia="宋体" w:cs="宋体"/>
          <w:sz w:val="21"/>
          <w:szCs w:val="21"/>
          <w:highlight w:val="none"/>
        </w:rPr>
        <w:t>投标文件的递交</w:t>
      </w:r>
      <w:r>
        <w:rPr>
          <w:rFonts w:hint="eastAsia" w:ascii="宋体" w:hAnsi="宋体" w:eastAsia="宋体" w:cs="宋体"/>
          <w:sz w:val="21"/>
          <w:szCs w:val="21"/>
        </w:rPr>
        <w:tab/>
      </w:r>
      <w:r>
        <w:rPr>
          <w:rFonts w:hint="eastAsia" w:ascii="宋体" w:hAnsi="宋体" w:eastAsia="宋体" w:cs="宋体"/>
          <w:sz w:val="21"/>
          <w:szCs w:val="21"/>
        </w:rPr>
        <w:fldChar w:fldCharType="begin"/>
      </w:r>
      <w:r>
        <w:rPr>
          <w:rFonts w:hint="eastAsia" w:ascii="宋体" w:hAnsi="宋体" w:eastAsia="宋体" w:cs="宋体"/>
          <w:sz w:val="21"/>
          <w:szCs w:val="21"/>
        </w:rPr>
        <w:instrText xml:space="preserve"> PAGEREF _Toc7475 \h </w:instrText>
      </w:r>
      <w:r>
        <w:rPr>
          <w:rFonts w:hint="eastAsia" w:ascii="宋体" w:hAnsi="宋体" w:eastAsia="宋体" w:cs="宋体"/>
          <w:sz w:val="21"/>
          <w:szCs w:val="21"/>
        </w:rPr>
        <w:fldChar w:fldCharType="separate"/>
      </w:r>
      <w:r>
        <w:rPr>
          <w:rFonts w:hint="eastAsia" w:ascii="宋体" w:hAnsi="宋体" w:eastAsia="宋体" w:cs="宋体"/>
          <w:sz w:val="21"/>
          <w:szCs w:val="21"/>
        </w:rPr>
        <w:t>26</w:t>
      </w:r>
      <w:r>
        <w:rPr>
          <w:rFonts w:hint="eastAsia" w:ascii="宋体" w:hAnsi="宋体" w:eastAsia="宋体" w:cs="宋体"/>
          <w:sz w:val="21"/>
          <w:szCs w:val="21"/>
        </w:rPr>
        <w:fldChar w:fldCharType="end"/>
      </w:r>
      <w:r>
        <w:rPr>
          <w:rFonts w:hint="eastAsia" w:ascii="宋体" w:hAnsi="宋体" w:eastAsia="宋体" w:cs="宋体"/>
          <w:color w:val="auto"/>
          <w:sz w:val="21"/>
          <w:szCs w:val="21"/>
          <w:highlight w:val="none"/>
        </w:rPr>
        <w:fldChar w:fldCharType="end"/>
      </w:r>
    </w:p>
    <w:p w14:paraId="55698620">
      <w:pPr>
        <w:pStyle w:val="11"/>
        <w:tabs>
          <w:tab w:val="right" w:leader="dot" w:pos="8306"/>
          <w:tab w:val="clear" w:pos="8296"/>
        </w:tabs>
        <w:rPr>
          <w:rFonts w:hint="eastAsia" w:ascii="宋体" w:hAnsi="宋体" w:eastAsia="宋体" w:cs="宋体"/>
          <w:sz w:val="21"/>
          <w:szCs w:val="21"/>
        </w:rPr>
      </w:pPr>
      <w:r>
        <w:rPr>
          <w:rFonts w:hint="eastAsia" w:ascii="宋体" w:hAnsi="宋体" w:eastAsia="宋体" w:cs="宋体"/>
          <w:color w:val="auto"/>
          <w:sz w:val="21"/>
          <w:szCs w:val="21"/>
          <w:highlight w:val="none"/>
        </w:rPr>
        <w:fldChar w:fldCharType="begin"/>
      </w:r>
      <w:r>
        <w:rPr>
          <w:rFonts w:hint="eastAsia" w:ascii="宋体" w:hAnsi="宋体" w:eastAsia="宋体" w:cs="宋体"/>
          <w:sz w:val="21"/>
          <w:szCs w:val="21"/>
          <w:highlight w:val="none"/>
        </w:rPr>
        <w:instrText xml:space="preserve"> HYPERLINK \l _Toc26113 </w:instrText>
      </w:r>
      <w:r>
        <w:rPr>
          <w:rFonts w:hint="eastAsia" w:ascii="宋体" w:hAnsi="宋体" w:eastAsia="宋体" w:cs="宋体"/>
          <w:sz w:val="21"/>
          <w:szCs w:val="21"/>
          <w:highlight w:val="none"/>
        </w:rPr>
        <w:fldChar w:fldCharType="separate"/>
      </w:r>
      <w:r>
        <w:rPr>
          <w:rFonts w:hint="eastAsia" w:ascii="宋体" w:hAnsi="宋体" w:eastAsia="宋体" w:cs="宋体"/>
          <w:sz w:val="21"/>
          <w:szCs w:val="21"/>
        </w:rPr>
        <w:t xml:space="preserve">18. </w:t>
      </w:r>
      <w:r>
        <w:rPr>
          <w:rFonts w:hint="eastAsia" w:ascii="宋体" w:hAnsi="宋体" w:eastAsia="宋体" w:cs="宋体"/>
          <w:sz w:val="21"/>
          <w:szCs w:val="21"/>
          <w:highlight w:val="none"/>
        </w:rPr>
        <w:t>投标文件的装订，签署，密封和标记</w:t>
      </w:r>
      <w:r>
        <w:rPr>
          <w:rFonts w:hint="eastAsia" w:ascii="宋体" w:hAnsi="宋体" w:eastAsia="宋体" w:cs="宋体"/>
          <w:sz w:val="21"/>
          <w:szCs w:val="21"/>
        </w:rPr>
        <w:tab/>
      </w:r>
      <w:r>
        <w:rPr>
          <w:rFonts w:hint="eastAsia" w:ascii="宋体" w:hAnsi="宋体" w:eastAsia="宋体" w:cs="宋体"/>
          <w:sz w:val="21"/>
          <w:szCs w:val="21"/>
        </w:rPr>
        <w:fldChar w:fldCharType="begin"/>
      </w:r>
      <w:r>
        <w:rPr>
          <w:rFonts w:hint="eastAsia" w:ascii="宋体" w:hAnsi="宋体" w:eastAsia="宋体" w:cs="宋体"/>
          <w:sz w:val="21"/>
          <w:szCs w:val="21"/>
        </w:rPr>
        <w:instrText xml:space="preserve"> PAGEREF _Toc26113 \h </w:instrText>
      </w:r>
      <w:r>
        <w:rPr>
          <w:rFonts w:hint="eastAsia" w:ascii="宋体" w:hAnsi="宋体" w:eastAsia="宋体" w:cs="宋体"/>
          <w:sz w:val="21"/>
          <w:szCs w:val="21"/>
        </w:rPr>
        <w:fldChar w:fldCharType="separate"/>
      </w:r>
      <w:r>
        <w:rPr>
          <w:rFonts w:hint="eastAsia" w:ascii="宋体" w:hAnsi="宋体" w:eastAsia="宋体" w:cs="宋体"/>
          <w:sz w:val="21"/>
          <w:szCs w:val="21"/>
        </w:rPr>
        <w:t>26</w:t>
      </w:r>
      <w:r>
        <w:rPr>
          <w:rFonts w:hint="eastAsia" w:ascii="宋体" w:hAnsi="宋体" w:eastAsia="宋体" w:cs="宋体"/>
          <w:sz w:val="21"/>
          <w:szCs w:val="21"/>
        </w:rPr>
        <w:fldChar w:fldCharType="end"/>
      </w:r>
      <w:r>
        <w:rPr>
          <w:rFonts w:hint="eastAsia" w:ascii="宋体" w:hAnsi="宋体" w:eastAsia="宋体" w:cs="宋体"/>
          <w:color w:val="auto"/>
          <w:sz w:val="21"/>
          <w:szCs w:val="21"/>
          <w:highlight w:val="none"/>
        </w:rPr>
        <w:fldChar w:fldCharType="end"/>
      </w:r>
    </w:p>
    <w:p w14:paraId="4F4F4ABF">
      <w:pPr>
        <w:pStyle w:val="11"/>
        <w:tabs>
          <w:tab w:val="right" w:leader="dot" w:pos="8306"/>
          <w:tab w:val="clear" w:pos="8296"/>
        </w:tabs>
        <w:rPr>
          <w:rFonts w:hint="eastAsia" w:ascii="宋体" w:hAnsi="宋体" w:eastAsia="宋体" w:cs="宋体"/>
          <w:sz w:val="21"/>
          <w:szCs w:val="21"/>
        </w:rPr>
      </w:pPr>
      <w:r>
        <w:rPr>
          <w:rFonts w:hint="eastAsia" w:ascii="宋体" w:hAnsi="宋体" w:eastAsia="宋体" w:cs="宋体"/>
          <w:color w:val="auto"/>
          <w:sz w:val="21"/>
          <w:szCs w:val="21"/>
          <w:highlight w:val="none"/>
        </w:rPr>
        <w:fldChar w:fldCharType="begin"/>
      </w:r>
      <w:r>
        <w:rPr>
          <w:rFonts w:hint="eastAsia" w:ascii="宋体" w:hAnsi="宋体" w:eastAsia="宋体" w:cs="宋体"/>
          <w:sz w:val="21"/>
          <w:szCs w:val="21"/>
          <w:highlight w:val="none"/>
        </w:rPr>
        <w:instrText xml:space="preserve"> HYPERLINK \l _Toc24491 </w:instrText>
      </w:r>
      <w:r>
        <w:rPr>
          <w:rFonts w:hint="eastAsia" w:ascii="宋体" w:hAnsi="宋体" w:eastAsia="宋体" w:cs="宋体"/>
          <w:sz w:val="21"/>
          <w:szCs w:val="21"/>
          <w:highlight w:val="none"/>
        </w:rPr>
        <w:fldChar w:fldCharType="separate"/>
      </w:r>
      <w:r>
        <w:rPr>
          <w:rFonts w:hint="eastAsia" w:ascii="宋体" w:hAnsi="宋体" w:eastAsia="宋体" w:cs="宋体"/>
          <w:sz w:val="21"/>
          <w:szCs w:val="21"/>
        </w:rPr>
        <w:t xml:space="preserve">19. </w:t>
      </w:r>
      <w:r>
        <w:rPr>
          <w:rFonts w:hint="eastAsia" w:ascii="宋体" w:hAnsi="宋体" w:eastAsia="宋体" w:cs="宋体"/>
          <w:sz w:val="21"/>
          <w:szCs w:val="21"/>
          <w:highlight w:val="none"/>
        </w:rPr>
        <w:t>迟交的投标文件</w:t>
      </w:r>
      <w:r>
        <w:rPr>
          <w:rFonts w:hint="eastAsia" w:ascii="宋体" w:hAnsi="宋体" w:eastAsia="宋体" w:cs="宋体"/>
          <w:sz w:val="21"/>
          <w:szCs w:val="21"/>
        </w:rPr>
        <w:tab/>
      </w:r>
      <w:r>
        <w:rPr>
          <w:rFonts w:hint="eastAsia" w:ascii="宋体" w:hAnsi="宋体" w:eastAsia="宋体" w:cs="宋体"/>
          <w:sz w:val="21"/>
          <w:szCs w:val="21"/>
        </w:rPr>
        <w:fldChar w:fldCharType="begin"/>
      </w:r>
      <w:r>
        <w:rPr>
          <w:rFonts w:hint="eastAsia" w:ascii="宋体" w:hAnsi="宋体" w:eastAsia="宋体" w:cs="宋体"/>
          <w:sz w:val="21"/>
          <w:szCs w:val="21"/>
        </w:rPr>
        <w:instrText xml:space="preserve"> PAGEREF _Toc24491 \h </w:instrText>
      </w:r>
      <w:r>
        <w:rPr>
          <w:rFonts w:hint="eastAsia" w:ascii="宋体" w:hAnsi="宋体" w:eastAsia="宋体" w:cs="宋体"/>
          <w:sz w:val="21"/>
          <w:szCs w:val="21"/>
        </w:rPr>
        <w:fldChar w:fldCharType="separate"/>
      </w:r>
      <w:r>
        <w:rPr>
          <w:rFonts w:hint="eastAsia" w:ascii="宋体" w:hAnsi="宋体" w:eastAsia="宋体" w:cs="宋体"/>
          <w:sz w:val="21"/>
          <w:szCs w:val="21"/>
        </w:rPr>
        <w:t>27</w:t>
      </w:r>
      <w:r>
        <w:rPr>
          <w:rFonts w:hint="eastAsia" w:ascii="宋体" w:hAnsi="宋体" w:eastAsia="宋体" w:cs="宋体"/>
          <w:sz w:val="21"/>
          <w:szCs w:val="21"/>
        </w:rPr>
        <w:fldChar w:fldCharType="end"/>
      </w:r>
      <w:r>
        <w:rPr>
          <w:rFonts w:hint="eastAsia" w:ascii="宋体" w:hAnsi="宋体" w:eastAsia="宋体" w:cs="宋体"/>
          <w:color w:val="auto"/>
          <w:sz w:val="21"/>
          <w:szCs w:val="21"/>
          <w:highlight w:val="none"/>
        </w:rPr>
        <w:fldChar w:fldCharType="end"/>
      </w:r>
    </w:p>
    <w:p w14:paraId="4894CB1B">
      <w:pPr>
        <w:pStyle w:val="11"/>
        <w:tabs>
          <w:tab w:val="right" w:leader="dot" w:pos="8306"/>
          <w:tab w:val="clear" w:pos="8296"/>
        </w:tabs>
        <w:rPr>
          <w:rFonts w:hint="eastAsia" w:ascii="宋体" w:hAnsi="宋体" w:eastAsia="宋体" w:cs="宋体"/>
          <w:sz w:val="21"/>
          <w:szCs w:val="21"/>
        </w:rPr>
      </w:pPr>
      <w:r>
        <w:rPr>
          <w:rFonts w:hint="eastAsia" w:ascii="宋体" w:hAnsi="宋体" w:eastAsia="宋体" w:cs="宋体"/>
          <w:color w:val="auto"/>
          <w:sz w:val="21"/>
          <w:szCs w:val="21"/>
          <w:highlight w:val="none"/>
        </w:rPr>
        <w:fldChar w:fldCharType="begin"/>
      </w:r>
      <w:r>
        <w:rPr>
          <w:rFonts w:hint="eastAsia" w:ascii="宋体" w:hAnsi="宋体" w:eastAsia="宋体" w:cs="宋体"/>
          <w:sz w:val="21"/>
          <w:szCs w:val="21"/>
          <w:highlight w:val="none"/>
        </w:rPr>
        <w:instrText xml:space="preserve"> HYPERLINK \l _Toc29406 </w:instrText>
      </w:r>
      <w:r>
        <w:rPr>
          <w:rFonts w:hint="eastAsia" w:ascii="宋体" w:hAnsi="宋体" w:eastAsia="宋体" w:cs="宋体"/>
          <w:sz w:val="21"/>
          <w:szCs w:val="21"/>
          <w:highlight w:val="none"/>
        </w:rPr>
        <w:fldChar w:fldCharType="separate"/>
      </w:r>
      <w:r>
        <w:rPr>
          <w:rFonts w:hint="eastAsia" w:ascii="宋体" w:hAnsi="宋体" w:eastAsia="宋体" w:cs="宋体"/>
          <w:sz w:val="21"/>
          <w:szCs w:val="21"/>
        </w:rPr>
        <w:t xml:space="preserve">20. </w:t>
      </w:r>
      <w:r>
        <w:rPr>
          <w:rFonts w:hint="eastAsia" w:ascii="宋体" w:hAnsi="宋体" w:eastAsia="宋体" w:cs="宋体"/>
          <w:sz w:val="21"/>
          <w:szCs w:val="21"/>
          <w:highlight w:val="none"/>
        </w:rPr>
        <w:t>投标样品（如需提交）</w:t>
      </w:r>
      <w:r>
        <w:rPr>
          <w:rFonts w:hint="eastAsia" w:ascii="宋体" w:hAnsi="宋体" w:eastAsia="宋体" w:cs="宋体"/>
          <w:sz w:val="21"/>
          <w:szCs w:val="21"/>
        </w:rPr>
        <w:tab/>
      </w:r>
      <w:r>
        <w:rPr>
          <w:rFonts w:hint="eastAsia" w:ascii="宋体" w:hAnsi="宋体" w:eastAsia="宋体" w:cs="宋体"/>
          <w:sz w:val="21"/>
          <w:szCs w:val="21"/>
        </w:rPr>
        <w:fldChar w:fldCharType="begin"/>
      </w:r>
      <w:r>
        <w:rPr>
          <w:rFonts w:hint="eastAsia" w:ascii="宋体" w:hAnsi="宋体" w:eastAsia="宋体" w:cs="宋体"/>
          <w:sz w:val="21"/>
          <w:szCs w:val="21"/>
        </w:rPr>
        <w:instrText xml:space="preserve"> PAGEREF _Toc29406 \h </w:instrText>
      </w:r>
      <w:r>
        <w:rPr>
          <w:rFonts w:hint="eastAsia" w:ascii="宋体" w:hAnsi="宋体" w:eastAsia="宋体" w:cs="宋体"/>
          <w:sz w:val="21"/>
          <w:szCs w:val="21"/>
        </w:rPr>
        <w:fldChar w:fldCharType="separate"/>
      </w:r>
      <w:r>
        <w:rPr>
          <w:rFonts w:hint="eastAsia" w:ascii="宋体" w:hAnsi="宋体" w:eastAsia="宋体" w:cs="宋体"/>
          <w:sz w:val="21"/>
          <w:szCs w:val="21"/>
        </w:rPr>
        <w:t>27</w:t>
      </w:r>
      <w:r>
        <w:rPr>
          <w:rFonts w:hint="eastAsia" w:ascii="宋体" w:hAnsi="宋体" w:eastAsia="宋体" w:cs="宋体"/>
          <w:sz w:val="21"/>
          <w:szCs w:val="21"/>
        </w:rPr>
        <w:fldChar w:fldCharType="end"/>
      </w:r>
      <w:r>
        <w:rPr>
          <w:rFonts w:hint="eastAsia" w:ascii="宋体" w:hAnsi="宋体" w:eastAsia="宋体" w:cs="宋体"/>
          <w:color w:val="auto"/>
          <w:sz w:val="21"/>
          <w:szCs w:val="21"/>
          <w:highlight w:val="none"/>
        </w:rPr>
        <w:fldChar w:fldCharType="end"/>
      </w:r>
    </w:p>
    <w:p w14:paraId="7794D542">
      <w:pPr>
        <w:pStyle w:val="11"/>
        <w:tabs>
          <w:tab w:val="right" w:leader="dot" w:pos="8306"/>
          <w:tab w:val="clear" w:pos="8296"/>
        </w:tabs>
        <w:rPr>
          <w:rFonts w:hint="eastAsia" w:ascii="宋体" w:hAnsi="宋体" w:eastAsia="宋体" w:cs="宋体"/>
          <w:sz w:val="21"/>
          <w:szCs w:val="21"/>
        </w:rPr>
      </w:pPr>
      <w:r>
        <w:rPr>
          <w:rFonts w:hint="eastAsia" w:ascii="宋体" w:hAnsi="宋体" w:eastAsia="宋体" w:cs="宋体"/>
          <w:color w:val="auto"/>
          <w:sz w:val="21"/>
          <w:szCs w:val="21"/>
          <w:highlight w:val="none"/>
        </w:rPr>
        <w:fldChar w:fldCharType="begin"/>
      </w:r>
      <w:r>
        <w:rPr>
          <w:rFonts w:hint="eastAsia" w:ascii="宋体" w:hAnsi="宋体" w:eastAsia="宋体" w:cs="宋体"/>
          <w:sz w:val="21"/>
          <w:szCs w:val="21"/>
          <w:highlight w:val="none"/>
        </w:rPr>
        <w:instrText xml:space="preserve"> HYPERLINK \l _Toc861 </w:instrText>
      </w:r>
      <w:r>
        <w:rPr>
          <w:rFonts w:hint="eastAsia" w:ascii="宋体" w:hAnsi="宋体" w:eastAsia="宋体" w:cs="宋体"/>
          <w:sz w:val="21"/>
          <w:szCs w:val="21"/>
          <w:highlight w:val="none"/>
        </w:rPr>
        <w:fldChar w:fldCharType="separate"/>
      </w:r>
      <w:r>
        <w:rPr>
          <w:rFonts w:hint="eastAsia" w:ascii="宋体" w:hAnsi="宋体" w:eastAsia="宋体" w:cs="宋体"/>
          <w:sz w:val="21"/>
          <w:szCs w:val="21"/>
        </w:rPr>
        <w:t xml:space="preserve">21. </w:t>
      </w:r>
      <w:r>
        <w:rPr>
          <w:rFonts w:hint="eastAsia" w:ascii="宋体" w:hAnsi="宋体" w:eastAsia="宋体" w:cs="宋体"/>
          <w:sz w:val="21"/>
          <w:szCs w:val="21"/>
          <w:highlight w:val="none"/>
        </w:rPr>
        <w:t>投标截止期</w:t>
      </w:r>
      <w:r>
        <w:rPr>
          <w:rFonts w:hint="eastAsia" w:ascii="宋体" w:hAnsi="宋体" w:eastAsia="宋体" w:cs="宋体"/>
          <w:sz w:val="21"/>
          <w:szCs w:val="21"/>
        </w:rPr>
        <w:tab/>
      </w:r>
      <w:r>
        <w:rPr>
          <w:rFonts w:hint="eastAsia" w:ascii="宋体" w:hAnsi="宋体" w:eastAsia="宋体" w:cs="宋体"/>
          <w:sz w:val="21"/>
          <w:szCs w:val="21"/>
        </w:rPr>
        <w:fldChar w:fldCharType="begin"/>
      </w:r>
      <w:r>
        <w:rPr>
          <w:rFonts w:hint="eastAsia" w:ascii="宋体" w:hAnsi="宋体" w:eastAsia="宋体" w:cs="宋体"/>
          <w:sz w:val="21"/>
          <w:szCs w:val="21"/>
        </w:rPr>
        <w:instrText xml:space="preserve"> PAGEREF _Toc861 \h </w:instrText>
      </w:r>
      <w:r>
        <w:rPr>
          <w:rFonts w:hint="eastAsia" w:ascii="宋体" w:hAnsi="宋体" w:eastAsia="宋体" w:cs="宋体"/>
          <w:sz w:val="21"/>
          <w:szCs w:val="21"/>
        </w:rPr>
        <w:fldChar w:fldCharType="separate"/>
      </w:r>
      <w:r>
        <w:rPr>
          <w:rFonts w:hint="eastAsia" w:ascii="宋体" w:hAnsi="宋体" w:eastAsia="宋体" w:cs="宋体"/>
          <w:sz w:val="21"/>
          <w:szCs w:val="21"/>
        </w:rPr>
        <w:t>27</w:t>
      </w:r>
      <w:r>
        <w:rPr>
          <w:rFonts w:hint="eastAsia" w:ascii="宋体" w:hAnsi="宋体" w:eastAsia="宋体" w:cs="宋体"/>
          <w:sz w:val="21"/>
          <w:szCs w:val="21"/>
        </w:rPr>
        <w:fldChar w:fldCharType="end"/>
      </w:r>
      <w:r>
        <w:rPr>
          <w:rFonts w:hint="eastAsia" w:ascii="宋体" w:hAnsi="宋体" w:eastAsia="宋体" w:cs="宋体"/>
          <w:color w:val="auto"/>
          <w:sz w:val="21"/>
          <w:szCs w:val="21"/>
          <w:highlight w:val="none"/>
        </w:rPr>
        <w:fldChar w:fldCharType="end"/>
      </w:r>
    </w:p>
    <w:p w14:paraId="55B1394C">
      <w:pPr>
        <w:pStyle w:val="11"/>
        <w:tabs>
          <w:tab w:val="right" w:leader="dot" w:pos="8306"/>
          <w:tab w:val="clear" w:pos="8296"/>
        </w:tabs>
        <w:rPr>
          <w:rFonts w:hint="eastAsia" w:ascii="宋体" w:hAnsi="宋体" w:eastAsia="宋体" w:cs="宋体"/>
          <w:sz w:val="21"/>
          <w:szCs w:val="21"/>
        </w:rPr>
      </w:pPr>
      <w:r>
        <w:rPr>
          <w:rFonts w:hint="eastAsia" w:ascii="宋体" w:hAnsi="宋体" w:eastAsia="宋体" w:cs="宋体"/>
          <w:color w:val="auto"/>
          <w:sz w:val="21"/>
          <w:szCs w:val="21"/>
          <w:highlight w:val="none"/>
        </w:rPr>
        <w:fldChar w:fldCharType="begin"/>
      </w:r>
      <w:r>
        <w:rPr>
          <w:rFonts w:hint="eastAsia" w:ascii="宋体" w:hAnsi="宋体" w:eastAsia="宋体" w:cs="宋体"/>
          <w:sz w:val="21"/>
          <w:szCs w:val="21"/>
          <w:highlight w:val="none"/>
        </w:rPr>
        <w:instrText xml:space="preserve"> HYPERLINK \l _Toc21387 </w:instrText>
      </w:r>
      <w:r>
        <w:rPr>
          <w:rFonts w:hint="eastAsia" w:ascii="宋体" w:hAnsi="宋体" w:eastAsia="宋体" w:cs="宋体"/>
          <w:sz w:val="21"/>
          <w:szCs w:val="21"/>
          <w:highlight w:val="none"/>
        </w:rPr>
        <w:fldChar w:fldCharType="separate"/>
      </w:r>
      <w:r>
        <w:rPr>
          <w:rFonts w:hint="eastAsia" w:ascii="宋体" w:hAnsi="宋体" w:eastAsia="宋体" w:cs="宋体"/>
          <w:sz w:val="21"/>
          <w:szCs w:val="21"/>
        </w:rPr>
        <w:t xml:space="preserve">22. </w:t>
      </w:r>
      <w:r>
        <w:rPr>
          <w:rFonts w:hint="eastAsia" w:ascii="宋体" w:hAnsi="宋体" w:eastAsia="宋体" w:cs="宋体"/>
          <w:sz w:val="21"/>
          <w:szCs w:val="21"/>
          <w:highlight w:val="none"/>
        </w:rPr>
        <w:t>投标文件的补充、修改与撤回</w:t>
      </w:r>
      <w:r>
        <w:rPr>
          <w:rFonts w:hint="eastAsia" w:ascii="宋体" w:hAnsi="宋体" w:eastAsia="宋体" w:cs="宋体"/>
          <w:sz w:val="21"/>
          <w:szCs w:val="21"/>
        </w:rPr>
        <w:tab/>
      </w:r>
      <w:r>
        <w:rPr>
          <w:rFonts w:hint="eastAsia" w:ascii="宋体" w:hAnsi="宋体" w:eastAsia="宋体" w:cs="宋体"/>
          <w:sz w:val="21"/>
          <w:szCs w:val="21"/>
        </w:rPr>
        <w:fldChar w:fldCharType="begin"/>
      </w:r>
      <w:r>
        <w:rPr>
          <w:rFonts w:hint="eastAsia" w:ascii="宋体" w:hAnsi="宋体" w:eastAsia="宋体" w:cs="宋体"/>
          <w:sz w:val="21"/>
          <w:szCs w:val="21"/>
        </w:rPr>
        <w:instrText xml:space="preserve"> PAGEREF _Toc21387 \h </w:instrText>
      </w:r>
      <w:r>
        <w:rPr>
          <w:rFonts w:hint="eastAsia" w:ascii="宋体" w:hAnsi="宋体" w:eastAsia="宋体" w:cs="宋体"/>
          <w:sz w:val="21"/>
          <w:szCs w:val="21"/>
        </w:rPr>
        <w:fldChar w:fldCharType="separate"/>
      </w:r>
      <w:r>
        <w:rPr>
          <w:rFonts w:hint="eastAsia" w:ascii="宋体" w:hAnsi="宋体" w:eastAsia="宋体" w:cs="宋体"/>
          <w:sz w:val="21"/>
          <w:szCs w:val="21"/>
        </w:rPr>
        <w:t>27</w:t>
      </w:r>
      <w:r>
        <w:rPr>
          <w:rFonts w:hint="eastAsia" w:ascii="宋体" w:hAnsi="宋体" w:eastAsia="宋体" w:cs="宋体"/>
          <w:sz w:val="21"/>
          <w:szCs w:val="21"/>
        </w:rPr>
        <w:fldChar w:fldCharType="end"/>
      </w:r>
      <w:r>
        <w:rPr>
          <w:rFonts w:hint="eastAsia" w:ascii="宋体" w:hAnsi="宋体" w:eastAsia="宋体" w:cs="宋体"/>
          <w:color w:val="auto"/>
          <w:sz w:val="21"/>
          <w:szCs w:val="21"/>
          <w:highlight w:val="none"/>
        </w:rPr>
        <w:fldChar w:fldCharType="end"/>
      </w:r>
    </w:p>
    <w:p w14:paraId="5DCDDAFE">
      <w:pPr>
        <w:pStyle w:val="8"/>
        <w:tabs>
          <w:tab w:val="right" w:leader="dot" w:pos="8306"/>
          <w:tab w:val="clear" w:pos="8296"/>
        </w:tabs>
        <w:rPr>
          <w:rFonts w:hint="eastAsia" w:ascii="宋体" w:hAnsi="宋体" w:eastAsia="宋体" w:cs="宋体"/>
          <w:sz w:val="21"/>
          <w:szCs w:val="21"/>
        </w:rPr>
      </w:pPr>
      <w:r>
        <w:rPr>
          <w:rFonts w:hint="eastAsia" w:ascii="宋体" w:hAnsi="宋体" w:eastAsia="宋体" w:cs="宋体"/>
          <w:color w:val="auto"/>
          <w:sz w:val="21"/>
          <w:szCs w:val="21"/>
          <w:highlight w:val="none"/>
        </w:rPr>
        <w:fldChar w:fldCharType="begin"/>
      </w:r>
      <w:r>
        <w:rPr>
          <w:rFonts w:hint="eastAsia" w:ascii="宋体" w:hAnsi="宋体" w:eastAsia="宋体" w:cs="宋体"/>
          <w:sz w:val="21"/>
          <w:szCs w:val="21"/>
          <w:highlight w:val="none"/>
        </w:rPr>
        <w:instrText xml:space="preserve"> HYPERLINK \l _Toc32307 </w:instrText>
      </w:r>
      <w:r>
        <w:rPr>
          <w:rFonts w:hint="eastAsia" w:ascii="宋体" w:hAnsi="宋体" w:eastAsia="宋体" w:cs="宋体"/>
          <w:sz w:val="21"/>
          <w:szCs w:val="21"/>
          <w:highlight w:val="none"/>
        </w:rPr>
        <w:fldChar w:fldCharType="separate"/>
      </w:r>
      <w:r>
        <w:rPr>
          <w:rFonts w:hint="eastAsia" w:ascii="宋体" w:hAnsi="宋体" w:eastAsia="宋体" w:cs="宋体"/>
          <w:sz w:val="21"/>
          <w:szCs w:val="21"/>
        </w:rPr>
        <w:t xml:space="preserve">五、 </w:t>
      </w:r>
      <w:r>
        <w:rPr>
          <w:rFonts w:hint="eastAsia" w:ascii="宋体" w:hAnsi="宋体" w:eastAsia="宋体" w:cs="宋体"/>
          <w:sz w:val="21"/>
          <w:szCs w:val="21"/>
          <w:highlight w:val="none"/>
        </w:rPr>
        <w:t>开标与评标</w:t>
      </w:r>
      <w:r>
        <w:rPr>
          <w:rFonts w:hint="eastAsia" w:ascii="宋体" w:hAnsi="宋体" w:eastAsia="宋体" w:cs="宋体"/>
          <w:sz w:val="21"/>
          <w:szCs w:val="21"/>
        </w:rPr>
        <w:tab/>
      </w:r>
      <w:r>
        <w:rPr>
          <w:rFonts w:hint="eastAsia" w:ascii="宋体" w:hAnsi="宋体" w:eastAsia="宋体" w:cs="宋体"/>
          <w:sz w:val="21"/>
          <w:szCs w:val="21"/>
        </w:rPr>
        <w:fldChar w:fldCharType="begin"/>
      </w:r>
      <w:r>
        <w:rPr>
          <w:rFonts w:hint="eastAsia" w:ascii="宋体" w:hAnsi="宋体" w:eastAsia="宋体" w:cs="宋体"/>
          <w:sz w:val="21"/>
          <w:szCs w:val="21"/>
        </w:rPr>
        <w:instrText xml:space="preserve"> PAGEREF _Toc32307 \h </w:instrText>
      </w:r>
      <w:r>
        <w:rPr>
          <w:rFonts w:hint="eastAsia" w:ascii="宋体" w:hAnsi="宋体" w:eastAsia="宋体" w:cs="宋体"/>
          <w:sz w:val="21"/>
          <w:szCs w:val="21"/>
        </w:rPr>
        <w:fldChar w:fldCharType="separate"/>
      </w:r>
      <w:r>
        <w:rPr>
          <w:rFonts w:hint="eastAsia" w:ascii="宋体" w:hAnsi="宋体" w:eastAsia="宋体" w:cs="宋体"/>
          <w:sz w:val="21"/>
          <w:szCs w:val="21"/>
        </w:rPr>
        <w:t>28</w:t>
      </w:r>
      <w:r>
        <w:rPr>
          <w:rFonts w:hint="eastAsia" w:ascii="宋体" w:hAnsi="宋体" w:eastAsia="宋体" w:cs="宋体"/>
          <w:sz w:val="21"/>
          <w:szCs w:val="21"/>
        </w:rPr>
        <w:fldChar w:fldCharType="end"/>
      </w:r>
      <w:r>
        <w:rPr>
          <w:rFonts w:hint="eastAsia" w:ascii="宋体" w:hAnsi="宋体" w:eastAsia="宋体" w:cs="宋体"/>
          <w:color w:val="auto"/>
          <w:sz w:val="21"/>
          <w:szCs w:val="21"/>
          <w:highlight w:val="none"/>
        </w:rPr>
        <w:fldChar w:fldCharType="end"/>
      </w:r>
    </w:p>
    <w:p w14:paraId="7D5A5555">
      <w:pPr>
        <w:pStyle w:val="11"/>
        <w:tabs>
          <w:tab w:val="right" w:leader="dot" w:pos="8306"/>
          <w:tab w:val="clear" w:pos="8296"/>
        </w:tabs>
        <w:rPr>
          <w:rFonts w:hint="eastAsia" w:ascii="宋体" w:hAnsi="宋体" w:eastAsia="宋体" w:cs="宋体"/>
          <w:sz w:val="21"/>
          <w:szCs w:val="21"/>
        </w:rPr>
      </w:pPr>
      <w:r>
        <w:rPr>
          <w:rFonts w:hint="eastAsia" w:ascii="宋体" w:hAnsi="宋体" w:eastAsia="宋体" w:cs="宋体"/>
          <w:color w:val="auto"/>
          <w:sz w:val="21"/>
          <w:szCs w:val="21"/>
          <w:highlight w:val="none"/>
        </w:rPr>
        <w:fldChar w:fldCharType="begin"/>
      </w:r>
      <w:r>
        <w:rPr>
          <w:rFonts w:hint="eastAsia" w:ascii="宋体" w:hAnsi="宋体" w:eastAsia="宋体" w:cs="宋体"/>
          <w:sz w:val="21"/>
          <w:szCs w:val="21"/>
          <w:highlight w:val="none"/>
        </w:rPr>
        <w:instrText xml:space="preserve"> HYPERLINK \l _Toc3094 </w:instrText>
      </w:r>
      <w:r>
        <w:rPr>
          <w:rFonts w:hint="eastAsia" w:ascii="宋体" w:hAnsi="宋体" w:eastAsia="宋体" w:cs="宋体"/>
          <w:sz w:val="21"/>
          <w:szCs w:val="21"/>
          <w:highlight w:val="none"/>
        </w:rPr>
        <w:fldChar w:fldCharType="separate"/>
      </w:r>
      <w:r>
        <w:rPr>
          <w:rFonts w:hint="eastAsia" w:ascii="宋体" w:hAnsi="宋体" w:eastAsia="宋体" w:cs="宋体"/>
          <w:sz w:val="21"/>
          <w:szCs w:val="21"/>
        </w:rPr>
        <w:t xml:space="preserve">23. </w:t>
      </w:r>
      <w:r>
        <w:rPr>
          <w:rFonts w:hint="eastAsia" w:ascii="宋体" w:hAnsi="宋体" w:eastAsia="宋体" w:cs="宋体"/>
          <w:sz w:val="21"/>
          <w:szCs w:val="21"/>
          <w:highlight w:val="none"/>
        </w:rPr>
        <w:t>开标</w:t>
      </w:r>
      <w:r>
        <w:rPr>
          <w:rFonts w:hint="eastAsia" w:ascii="宋体" w:hAnsi="宋体" w:eastAsia="宋体" w:cs="宋体"/>
          <w:sz w:val="21"/>
          <w:szCs w:val="21"/>
        </w:rPr>
        <w:tab/>
      </w:r>
      <w:r>
        <w:rPr>
          <w:rFonts w:hint="eastAsia" w:ascii="宋体" w:hAnsi="宋体" w:eastAsia="宋体" w:cs="宋体"/>
          <w:sz w:val="21"/>
          <w:szCs w:val="21"/>
        </w:rPr>
        <w:fldChar w:fldCharType="begin"/>
      </w:r>
      <w:r>
        <w:rPr>
          <w:rFonts w:hint="eastAsia" w:ascii="宋体" w:hAnsi="宋体" w:eastAsia="宋体" w:cs="宋体"/>
          <w:sz w:val="21"/>
          <w:szCs w:val="21"/>
        </w:rPr>
        <w:instrText xml:space="preserve"> PAGEREF _Toc3094 \h </w:instrText>
      </w:r>
      <w:r>
        <w:rPr>
          <w:rFonts w:hint="eastAsia" w:ascii="宋体" w:hAnsi="宋体" w:eastAsia="宋体" w:cs="宋体"/>
          <w:sz w:val="21"/>
          <w:szCs w:val="21"/>
        </w:rPr>
        <w:fldChar w:fldCharType="separate"/>
      </w:r>
      <w:r>
        <w:rPr>
          <w:rFonts w:hint="eastAsia" w:ascii="宋体" w:hAnsi="宋体" w:eastAsia="宋体" w:cs="宋体"/>
          <w:sz w:val="21"/>
          <w:szCs w:val="21"/>
        </w:rPr>
        <w:t>28</w:t>
      </w:r>
      <w:r>
        <w:rPr>
          <w:rFonts w:hint="eastAsia" w:ascii="宋体" w:hAnsi="宋体" w:eastAsia="宋体" w:cs="宋体"/>
          <w:sz w:val="21"/>
          <w:szCs w:val="21"/>
        </w:rPr>
        <w:fldChar w:fldCharType="end"/>
      </w:r>
      <w:r>
        <w:rPr>
          <w:rFonts w:hint="eastAsia" w:ascii="宋体" w:hAnsi="宋体" w:eastAsia="宋体" w:cs="宋体"/>
          <w:color w:val="auto"/>
          <w:sz w:val="21"/>
          <w:szCs w:val="21"/>
          <w:highlight w:val="none"/>
        </w:rPr>
        <w:fldChar w:fldCharType="end"/>
      </w:r>
    </w:p>
    <w:p w14:paraId="45DEF765">
      <w:pPr>
        <w:pStyle w:val="11"/>
        <w:tabs>
          <w:tab w:val="right" w:leader="dot" w:pos="8306"/>
          <w:tab w:val="clear" w:pos="8296"/>
        </w:tabs>
        <w:rPr>
          <w:rFonts w:hint="eastAsia" w:ascii="宋体" w:hAnsi="宋体" w:eastAsia="宋体" w:cs="宋体"/>
          <w:sz w:val="21"/>
          <w:szCs w:val="21"/>
        </w:rPr>
      </w:pPr>
      <w:r>
        <w:rPr>
          <w:rFonts w:hint="eastAsia" w:ascii="宋体" w:hAnsi="宋体" w:eastAsia="宋体" w:cs="宋体"/>
          <w:color w:val="auto"/>
          <w:sz w:val="21"/>
          <w:szCs w:val="21"/>
          <w:highlight w:val="none"/>
        </w:rPr>
        <w:fldChar w:fldCharType="begin"/>
      </w:r>
      <w:r>
        <w:rPr>
          <w:rFonts w:hint="eastAsia" w:ascii="宋体" w:hAnsi="宋体" w:eastAsia="宋体" w:cs="宋体"/>
          <w:sz w:val="21"/>
          <w:szCs w:val="21"/>
          <w:highlight w:val="none"/>
        </w:rPr>
        <w:instrText xml:space="preserve"> HYPERLINK \l _Toc23175 </w:instrText>
      </w:r>
      <w:r>
        <w:rPr>
          <w:rFonts w:hint="eastAsia" w:ascii="宋体" w:hAnsi="宋体" w:eastAsia="宋体" w:cs="宋体"/>
          <w:sz w:val="21"/>
          <w:szCs w:val="21"/>
          <w:highlight w:val="none"/>
        </w:rPr>
        <w:fldChar w:fldCharType="separate"/>
      </w:r>
      <w:r>
        <w:rPr>
          <w:rFonts w:hint="eastAsia" w:ascii="宋体" w:hAnsi="宋体" w:eastAsia="宋体" w:cs="宋体"/>
          <w:sz w:val="21"/>
          <w:szCs w:val="21"/>
        </w:rPr>
        <w:t xml:space="preserve">24. </w:t>
      </w:r>
      <w:r>
        <w:rPr>
          <w:rFonts w:hint="eastAsia" w:ascii="宋体" w:hAnsi="宋体" w:eastAsia="宋体" w:cs="宋体"/>
          <w:sz w:val="21"/>
          <w:szCs w:val="21"/>
          <w:highlight w:val="none"/>
        </w:rPr>
        <w:t>评标委员会及评标方法</w:t>
      </w:r>
      <w:r>
        <w:rPr>
          <w:rFonts w:hint="eastAsia" w:ascii="宋体" w:hAnsi="宋体" w:eastAsia="宋体" w:cs="宋体"/>
          <w:sz w:val="21"/>
          <w:szCs w:val="21"/>
        </w:rPr>
        <w:tab/>
      </w:r>
      <w:r>
        <w:rPr>
          <w:rFonts w:hint="eastAsia" w:ascii="宋体" w:hAnsi="宋体" w:eastAsia="宋体" w:cs="宋体"/>
          <w:sz w:val="21"/>
          <w:szCs w:val="21"/>
        </w:rPr>
        <w:fldChar w:fldCharType="begin"/>
      </w:r>
      <w:r>
        <w:rPr>
          <w:rFonts w:hint="eastAsia" w:ascii="宋体" w:hAnsi="宋体" w:eastAsia="宋体" w:cs="宋体"/>
          <w:sz w:val="21"/>
          <w:szCs w:val="21"/>
        </w:rPr>
        <w:instrText xml:space="preserve"> PAGEREF _Toc23175 \h </w:instrText>
      </w:r>
      <w:r>
        <w:rPr>
          <w:rFonts w:hint="eastAsia" w:ascii="宋体" w:hAnsi="宋体" w:eastAsia="宋体" w:cs="宋体"/>
          <w:sz w:val="21"/>
          <w:szCs w:val="21"/>
        </w:rPr>
        <w:fldChar w:fldCharType="separate"/>
      </w:r>
      <w:r>
        <w:rPr>
          <w:rFonts w:hint="eastAsia" w:ascii="宋体" w:hAnsi="宋体" w:eastAsia="宋体" w:cs="宋体"/>
          <w:sz w:val="21"/>
          <w:szCs w:val="21"/>
        </w:rPr>
        <w:t>29</w:t>
      </w:r>
      <w:r>
        <w:rPr>
          <w:rFonts w:hint="eastAsia" w:ascii="宋体" w:hAnsi="宋体" w:eastAsia="宋体" w:cs="宋体"/>
          <w:sz w:val="21"/>
          <w:szCs w:val="21"/>
        </w:rPr>
        <w:fldChar w:fldCharType="end"/>
      </w:r>
      <w:r>
        <w:rPr>
          <w:rFonts w:hint="eastAsia" w:ascii="宋体" w:hAnsi="宋体" w:eastAsia="宋体" w:cs="宋体"/>
          <w:color w:val="auto"/>
          <w:sz w:val="21"/>
          <w:szCs w:val="21"/>
          <w:highlight w:val="none"/>
        </w:rPr>
        <w:fldChar w:fldCharType="end"/>
      </w:r>
    </w:p>
    <w:p w14:paraId="74DDE394">
      <w:pPr>
        <w:pStyle w:val="11"/>
        <w:tabs>
          <w:tab w:val="right" w:leader="dot" w:pos="8306"/>
          <w:tab w:val="clear" w:pos="8296"/>
        </w:tabs>
        <w:rPr>
          <w:rFonts w:hint="eastAsia" w:ascii="宋体" w:hAnsi="宋体" w:eastAsia="宋体" w:cs="宋体"/>
          <w:sz w:val="21"/>
          <w:szCs w:val="21"/>
        </w:rPr>
      </w:pPr>
      <w:r>
        <w:rPr>
          <w:rFonts w:hint="eastAsia" w:ascii="宋体" w:hAnsi="宋体" w:eastAsia="宋体" w:cs="宋体"/>
          <w:color w:val="auto"/>
          <w:sz w:val="21"/>
          <w:szCs w:val="21"/>
          <w:highlight w:val="none"/>
        </w:rPr>
        <w:fldChar w:fldCharType="begin"/>
      </w:r>
      <w:r>
        <w:rPr>
          <w:rFonts w:hint="eastAsia" w:ascii="宋体" w:hAnsi="宋体" w:eastAsia="宋体" w:cs="宋体"/>
          <w:sz w:val="21"/>
          <w:szCs w:val="21"/>
          <w:highlight w:val="none"/>
        </w:rPr>
        <w:instrText xml:space="preserve"> HYPERLINK \l _Toc25045 </w:instrText>
      </w:r>
      <w:r>
        <w:rPr>
          <w:rFonts w:hint="eastAsia" w:ascii="宋体" w:hAnsi="宋体" w:eastAsia="宋体" w:cs="宋体"/>
          <w:sz w:val="21"/>
          <w:szCs w:val="21"/>
          <w:highlight w:val="none"/>
        </w:rPr>
        <w:fldChar w:fldCharType="separate"/>
      </w:r>
      <w:r>
        <w:rPr>
          <w:rFonts w:hint="eastAsia" w:ascii="宋体" w:hAnsi="宋体" w:eastAsia="宋体" w:cs="宋体"/>
          <w:sz w:val="21"/>
          <w:szCs w:val="21"/>
        </w:rPr>
        <w:t xml:space="preserve">25. </w:t>
      </w:r>
      <w:r>
        <w:rPr>
          <w:rFonts w:hint="eastAsia" w:ascii="宋体" w:hAnsi="宋体" w:eastAsia="宋体" w:cs="宋体"/>
          <w:sz w:val="21"/>
          <w:szCs w:val="21"/>
          <w:highlight w:val="none"/>
        </w:rPr>
        <w:t>评审原则及评标过程的保密</w:t>
      </w:r>
      <w:r>
        <w:rPr>
          <w:rFonts w:hint="eastAsia" w:ascii="宋体" w:hAnsi="宋体" w:eastAsia="宋体" w:cs="宋体"/>
          <w:sz w:val="21"/>
          <w:szCs w:val="21"/>
        </w:rPr>
        <w:tab/>
      </w:r>
      <w:r>
        <w:rPr>
          <w:rFonts w:hint="eastAsia" w:ascii="宋体" w:hAnsi="宋体" w:eastAsia="宋体" w:cs="宋体"/>
          <w:sz w:val="21"/>
          <w:szCs w:val="21"/>
        </w:rPr>
        <w:fldChar w:fldCharType="begin"/>
      </w:r>
      <w:r>
        <w:rPr>
          <w:rFonts w:hint="eastAsia" w:ascii="宋体" w:hAnsi="宋体" w:eastAsia="宋体" w:cs="宋体"/>
          <w:sz w:val="21"/>
          <w:szCs w:val="21"/>
        </w:rPr>
        <w:instrText xml:space="preserve"> PAGEREF _Toc25045 \h </w:instrText>
      </w:r>
      <w:r>
        <w:rPr>
          <w:rFonts w:hint="eastAsia" w:ascii="宋体" w:hAnsi="宋体" w:eastAsia="宋体" w:cs="宋体"/>
          <w:sz w:val="21"/>
          <w:szCs w:val="21"/>
        </w:rPr>
        <w:fldChar w:fldCharType="separate"/>
      </w:r>
      <w:r>
        <w:rPr>
          <w:rFonts w:hint="eastAsia" w:ascii="宋体" w:hAnsi="宋体" w:eastAsia="宋体" w:cs="宋体"/>
          <w:sz w:val="21"/>
          <w:szCs w:val="21"/>
        </w:rPr>
        <w:t>29</w:t>
      </w:r>
      <w:r>
        <w:rPr>
          <w:rFonts w:hint="eastAsia" w:ascii="宋体" w:hAnsi="宋体" w:eastAsia="宋体" w:cs="宋体"/>
          <w:sz w:val="21"/>
          <w:szCs w:val="21"/>
        </w:rPr>
        <w:fldChar w:fldCharType="end"/>
      </w:r>
      <w:r>
        <w:rPr>
          <w:rFonts w:hint="eastAsia" w:ascii="宋体" w:hAnsi="宋体" w:eastAsia="宋体" w:cs="宋体"/>
          <w:color w:val="auto"/>
          <w:sz w:val="21"/>
          <w:szCs w:val="21"/>
          <w:highlight w:val="none"/>
        </w:rPr>
        <w:fldChar w:fldCharType="end"/>
      </w:r>
    </w:p>
    <w:p w14:paraId="0AFBEEC2">
      <w:pPr>
        <w:pStyle w:val="11"/>
        <w:tabs>
          <w:tab w:val="right" w:leader="dot" w:pos="8306"/>
          <w:tab w:val="clear" w:pos="8296"/>
        </w:tabs>
        <w:rPr>
          <w:rFonts w:hint="eastAsia" w:ascii="宋体" w:hAnsi="宋体" w:eastAsia="宋体" w:cs="宋体"/>
          <w:sz w:val="21"/>
          <w:szCs w:val="21"/>
        </w:rPr>
      </w:pPr>
      <w:r>
        <w:rPr>
          <w:rFonts w:hint="eastAsia" w:ascii="宋体" w:hAnsi="宋体" w:eastAsia="宋体" w:cs="宋体"/>
          <w:color w:val="auto"/>
          <w:sz w:val="21"/>
          <w:szCs w:val="21"/>
          <w:highlight w:val="none"/>
        </w:rPr>
        <w:fldChar w:fldCharType="begin"/>
      </w:r>
      <w:r>
        <w:rPr>
          <w:rFonts w:hint="eastAsia" w:ascii="宋体" w:hAnsi="宋体" w:eastAsia="宋体" w:cs="宋体"/>
          <w:sz w:val="21"/>
          <w:szCs w:val="21"/>
          <w:highlight w:val="none"/>
        </w:rPr>
        <w:instrText xml:space="preserve"> HYPERLINK \l _Toc9013 </w:instrText>
      </w:r>
      <w:r>
        <w:rPr>
          <w:rFonts w:hint="eastAsia" w:ascii="宋体" w:hAnsi="宋体" w:eastAsia="宋体" w:cs="宋体"/>
          <w:sz w:val="21"/>
          <w:szCs w:val="21"/>
          <w:highlight w:val="none"/>
        </w:rPr>
        <w:fldChar w:fldCharType="separate"/>
      </w:r>
      <w:r>
        <w:rPr>
          <w:rFonts w:hint="eastAsia" w:ascii="宋体" w:hAnsi="宋体" w:eastAsia="宋体" w:cs="宋体"/>
          <w:sz w:val="21"/>
          <w:szCs w:val="21"/>
        </w:rPr>
        <w:t xml:space="preserve">26. </w:t>
      </w:r>
      <w:r>
        <w:rPr>
          <w:rFonts w:hint="eastAsia" w:ascii="宋体" w:hAnsi="宋体" w:eastAsia="宋体" w:cs="宋体"/>
          <w:sz w:val="21"/>
          <w:szCs w:val="21"/>
          <w:highlight w:val="none"/>
        </w:rPr>
        <w:t>评标程序</w:t>
      </w:r>
      <w:r>
        <w:rPr>
          <w:rFonts w:hint="eastAsia" w:ascii="宋体" w:hAnsi="宋体" w:eastAsia="宋体" w:cs="宋体"/>
          <w:sz w:val="21"/>
          <w:szCs w:val="21"/>
        </w:rPr>
        <w:tab/>
      </w:r>
      <w:r>
        <w:rPr>
          <w:rFonts w:hint="eastAsia" w:ascii="宋体" w:hAnsi="宋体" w:eastAsia="宋体" w:cs="宋体"/>
          <w:sz w:val="21"/>
          <w:szCs w:val="21"/>
        </w:rPr>
        <w:fldChar w:fldCharType="begin"/>
      </w:r>
      <w:r>
        <w:rPr>
          <w:rFonts w:hint="eastAsia" w:ascii="宋体" w:hAnsi="宋体" w:eastAsia="宋体" w:cs="宋体"/>
          <w:sz w:val="21"/>
          <w:szCs w:val="21"/>
        </w:rPr>
        <w:instrText xml:space="preserve"> PAGEREF _Toc9013 \h </w:instrText>
      </w:r>
      <w:r>
        <w:rPr>
          <w:rFonts w:hint="eastAsia" w:ascii="宋体" w:hAnsi="宋体" w:eastAsia="宋体" w:cs="宋体"/>
          <w:sz w:val="21"/>
          <w:szCs w:val="21"/>
        </w:rPr>
        <w:fldChar w:fldCharType="separate"/>
      </w:r>
      <w:r>
        <w:rPr>
          <w:rFonts w:hint="eastAsia" w:ascii="宋体" w:hAnsi="宋体" w:eastAsia="宋体" w:cs="宋体"/>
          <w:sz w:val="21"/>
          <w:szCs w:val="21"/>
        </w:rPr>
        <w:t>29</w:t>
      </w:r>
      <w:r>
        <w:rPr>
          <w:rFonts w:hint="eastAsia" w:ascii="宋体" w:hAnsi="宋体" w:eastAsia="宋体" w:cs="宋体"/>
          <w:sz w:val="21"/>
          <w:szCs w:val="21"/>
        </w:rPr>
        <w:fldChar w:fldCharType="end"/>
      </w:r>
      <w:r>
        <w:rPr>
          <w:rFonts w:hint="eastAsia" w:ascii="宋体" w:hAnsi="宋体" w:eastAsia="宋体" w:cs="宋体"/>
          <w:color w:val="auto"/>
          <w:sz w:val="21"/>
          <w:szCs w:val="21"/>
          <w:highlight w:val="none"/>
        </w:rPr>
        <w:fldChar w:fldCharType="end"/>
      </w:r>
    </w:p>
    <w:p w14:paraId="7EBD8F34">
      <w:pPr>
        <w:pStyle w:val="11"/>
        <w:tabs>
          <w:tab w:val="right" w:leader="dot" w:pos="8306"/>
          <w:tab w:val="clear" w:pos="8296"/>
        </w:tabs>
        <w:rPr>
          <w:rFonts w:hint="eastAsia" w:ascii="宋体" w:hAnsi="宋体" w:eastAsia="宋体" w:cs="宋体"/>
          <w:sz w:val="21"/>
          <w:szCs w:val="21"/>
        </w:rPr>
      </w:pPr>
      <w:r>
        <w:rPr>
          <w:rFonts w:hint="eastAsia" w:ascii="宋体" w:hAnsi="宋体" w:eastAsia="宋体" w:cs="宋体"/>
          <w:color w:val="auto"/>
          <w:sz w:val="21"/>
          <w:szCs w:val="21"/>
          <w:highlight w:val="none"/>
        </w:rPr>
        <w:fldChar w:fldCharType="begin"/>
      </w:r>
      <w:r>
        <w:rPr>
          <w:rFonts w:hint="eastAsia" w:ascii="宋体" w:hAnsi="宋体" w:eastAsia="宋体" w:cs="宋体"/>
          <w:sz w:val="21"/>
          <w:szCs w:val="21"/>
          <w:highlight w:val="none"/>
        </w:rPr>
        <w:instrText xml:space="preserve"> HYPERLINK \l _Toc2985 </w:instrText>
      </w:r>
      <w:r>
        <w:rPr>
          <w:rFonts w:hint="eastAsia" w:ascii="宋体" w:hAnsi="宋体" w:eastAsia="宋体" w:cs="宋体"/>
          <w:sz w:val="21"/>
          <w:szCs w:val="21"/>
          <w:highlight w:val="none"/>
        </w:rPr>
        <w:fldChar w:fldCharType="separate"/>
      </w:r>
      <w:r>
        <w:rPr>
          <w:rFonts w:hint="eastAsia" w:ascii="宋体" w:hAnsi="宋体" w:eastAsia="宋体" w:cs="宋体"/>
          <w:sz w:val="21"/>
          <w:szCs w:val="21"/>
        </w:rPr>
        <w:t xml:space="preserve">27. </w:t>
      </w:r>
      <w:r>
        <w:rPr>
          <w:rFonts w:hint="eastAsia" w:ascii="宋体" w:hAnsi="宋体" w:eastAsia="宋体" w:cs="宋体"/>
          <w:sz w:val="21"/>
          <w:szCs w:val="21"/>
          <w:highlight w:val="none"/>
        </w:rPr>
        <w:t>商务、技术、价格评审（本条款不适用于本项目）</w:t>
      </w:r>
      <w:r>
        <w:rPr>
          <w:rFonts w:hint="eastAsia" w:ascii="宋体" w:hAnsi="宋体" w:eastAsia="宋体" w:cs="宋体"/>
          <w:sz w:val="21"/>
          <w:szCs w:val="21"/>
        </w:rPr>
        <w:tab/>
      </w:r>
      <w:r>
        <w:rPr>
          <w:rFonts w:hint="eastAsia" w:ascii="宋体" w:hAnsi="宋体" w:eastAsia="宋体" w:cs="宋体"/>
          <w:sz w:val="21"/>
          <w:szCs w:val="21"/>
        </w:rPr>
        <w:fldChar w:fldCharType="begin"/>
      </w:r>
      <w:r>
        <w:rPr>
          <w:rFonts w:hint="eastAsia" w:ascii="宋体" w:hAnsi="宋体" w:eastAsia="宋体" w:cs="宋体"/>
          <w:sz w:val="21"/>
          <w:szCs w:val="21"/>
        </w:rPr>
        <w:instrText xml:space="preserve"> PAGEREF _Toc2985 \h </w:instrText>
      </w:r>
      <w:r>
        <w:rPr>
          <w:rFonts w:hint="eastAsia" w:ascii="宋体" w:hAnsi="宋体" w:eastAsia="宋体" w:cs="宋体"/>
          <w:sz w:val="21"/>
          <w:szCs w:val="21"/>
        </w:rPr>
        <w:fldChar w:fldCharType="separate"/>
      </w:r>
      <w:r>
        <w:rPr>
          <w:rFonts w:hint="eastAsia" w:ascii="宋体" w:hAnsi="宋体" w:eastAsia="宋体" w:cs="宋体"/>
          <w:sz w:val="21"/>
          <w:szCs w:val="21"/>
        </w:rPr>
        <w:t>32</w:t>
      </w:r>
      <w:r>
        <w:rPr>
          <w:rFonts w:hint="eastAsia" w:ascii="宋体" w:hAnsi="宋体" w:eastAsia="宋体" w:cs="宋体"/>
          <w:sz w:val="21"/>
          <w:szCs w:val="21"/>
        </w:rPr>
        <w:fldChar w:fldCharType="end"/>
      </w:r>
      <w:r>
        <w:rPr>
          <w:rFonts w:hint="eastAsia" w:ascii="宋体" w:hAnsi="宋体" w:eastAsia="宋体" w:cs="宋体"/>
          <w:color w:val="auto"/>
          <w:sz w:val="21"/>
          <w:szCs w:val="21"/>
          <w:highlight w:val="none"/>
        </w:rPr>
        <w:fldChar w:fldCharType="end"/>
      </w:r>
    </w:p>
    <w:p w14:paraId="3461E375">
      <w:pPr>
        <w:pStyle w:val="11"/>
        <w:tabs>
          <w:tab w:val="right" w:leader="dot" w:pos="8306"/>
          <w:tab w:val="clear" w:pos="8296"/>
        </w:tabs>
        <w:rPr>
          <w:rFonts w:hint="eastAsia" w:ascii="宋体" w:hAnsi="宋体" w:eastAsia="宋体" w:cs="宋体"/>
          <w:sz w:val="21"/>
          <w:szCs w:val="21"/>
        </w:rPr>
      </w:pPr>
      <w:r>
        <w:rPr>
          <w:rFonts w:hint="eastAsia" w:ascii="宋体" w:hAnsi="宋体" w:eastAsia="宋体" w:cs="宋体"/>
          <w:color w:val="auto"/>
          <w:sz w:val="21"/>
          <w:szCs w:val="21"/>
          <w:highlight w:val="none"/>
        </w:rPr>
        <w:fldChar w:fldCharType="begin"/>
      </w:r>
      <w:r>
        <w:rPr>
          <w:rFonts w:hint="eastAsia" w:ascii="宋体" w:hAnsi="宋体" w:eastAsia="宋体" w:cs="宋体"/>
          <w:sz w:val="21"/>
          <w:szCs w:val="21"/>
          <w:highlight w:val="none"/>
        </w:rPr>
        <w:instrText xml:space="preserve"> HYPERLINK \l _Toc30020 </w:instrText>
      </w:r>
      <w:r>
        <w:rPr>
          <w:rFonts w:hint="eastAsia" w:ascii="宋体" w:hAnsi="宋体" w:eastAsia="宋体" w:cs="宋体"/>
          <w:sz w:val="21"/>
          <w:szCs w:val="21"/>
          <w:highlight w:val="none"/>
        </w:rPr>
        <w:fldChar w:fldCharType="separate"/>
      </w:r>
      <w:r>
        <w:rPr>
          <w:rFonts w:hint="eastAsia" w:ascii="宋体" w:hAnsi="宋体" w:eastAsia="宋体" w:cs="宋体"/>
          <w:sz w:val="21"/>
          <w:szCs w:val="21"/>
        </w:rPr>
        <w:t xml:space="preserve">28. </w:t>
      </w:r>
      <w:r>
        <w:rPr>
          <w:rFonts w:hint="eastAsia" w:ascii="宋体" w:hAnsi="宋体" w:eastAsia="宋体" w:cs="宋体"/>
          <w:sz w:val="21"/>
          <w:szCs w:val="21"/>
          <w:highlight w:val="none"/>
        </w:rPr>
        <w:t>纪律和保密事项</w:t>
      </w:r>
      <w:r>
        <w:rPr>
          <w:rFonts w:hint="eastAsia" w:ascii="宋体" w:hAnsi="宋体" w:eastAsia="宋体" w:cs="宋体"/>
          <w:sz w:val="21"/>
          <w:szCs w:val="21"/>
        </w:rPr>
        <w:tab/>
      </w:r>
      <w:r>
        <w:rPr>
          <w:rFonts w:hint="eastAsia" w:ascii="宋体" w:hAnsi="宋体" w:eastAsia="宋体" w:cs="宋体"/>
          <w:sz w:val="21"/>
          <w:szCs w:val="21"/>
        </w:rPr>
        <w:fldChar w:fldCharType="begin"/>
      </w:r>
      <w:r>
        <w:rPr>
          <w:rFonts w:hint="eastAsia" w:ascii="宋体" w:hAnsi="宋体" w:eastAsia="宋体" w:cs="宋体"/>
          <w:sz w:val="21"/>
          <w:szCs w:val="21"/>
        </w:rPr>
        <w:instrText xml:space="preserve"> PAGEREF _Toc30020 \h </w:instrText>
      </w:r>
      <w:r>
        <w:rPr>
          <w:rFonts w:hint="eastAsia" w:ascii="宋体" w:hAnsi="宋体" w:eastAsia="宋体" w:cs="宋体"/>
          <w:sz w:val="21"/>
          <w:szCs w:val="21"/>
        </w:rPr>
        <w:fldChar w:fldCharType="separate"/>
      </w:r>
      <w:r>
        <w:rPr>
          <w:rFonts w:hint="eastAsia" w:ascii="宋体" w:hAnsi="宋体" w:eastAsia="宋体" w:cs="宋体"/>
          <w:sz w:val="21"/>
          <w:szCs w:val="21"/>
        </w:rPr>
        <w:t>32</w:t>
      </w:r>
      <w:r>
        <w:rPr>
          <w:rFonts w:hint="eastAsia" w:ascii="宋体" w:hAnsi="宋体" w:eastAsia="宋体" w:cs="宋体"/>
          <w:sz w:val="21"/>
          <w:szCs w:val="21"/>
        </w:rPr>
        <w:fldChar w:fldCharType="end"/>
      </w:r>
      <w:r>
        <w:rPr>
          <w:rFonts w:hint="eastAsia" w:ascii="宋体" w:hAnsi="宋体" w:eastAsia="宋体" w:cs="宋体"/>
          <w:color w:val="auto"/>
          <w:sz w:val="21"/>
          <w:szCs w:val="21"/>
          <w:highlight w:val="none"/>
        </w:rPr>
        <w:fldChar w:fldCharType="end"/>
      </w:r>
    </w:p>
    <w:p w14:paraId="5BAEEC35">
      <w:pPr>
        <w:pStyle w:val="8"/>
        <w:tabs>
          <w:tab w:val="right" w:leader="dot" w:pos="8306"/>
          <w:tab w:val="clear" w:pos="8296"/>
        </w:tabs>
        <w:rPr>
          <w:rFonts w:hint="eastAsia" w:ascii="宋体" w:hAnsi="宋体" w:eastAsia="宋体" w:cs="宋体"/>
          <w:sz w:val="21"/>
          <w:szCs w:val="21"/>
        </w:rPr>
      </w:pPr>
      <w:r>
        <w:rPr>
          <w:rFonts w:hint="eastAsia" w:ascii="宋体" w:hAnsi="宋体" w:eastAsia="宋体" w:cs="宋体"/>
          <w:color w:val="auto"/>
          <w:sz w:val="21"/>
          <w:szCs w:val="21"/>
          <w:highlight w:val="none"/>
        </w:rPr>
        <w:fldChar w:fldCharType="begin"/>
      </w:r>
      <w:r>
        <w:rPr>
          <w:rFonts w:hint="eastAsia" w:ascii="宋体" w:hAnsi="宋体" w:eastAsia="宋体" w:cs="宋体"/>
          <w:sz w:val="21"/>
          <w:szCs w:val="21"/>
          <w:highlight w:val="none"/>
        </w:rPr>
        <w:instrText xml:space="preserve"> HYPERLINK \l _Toc5497 </w:instrText>
      </w:r>
      <w:r>
        <w:rPr>
          <w:rFonts w:hint="eastAsia" w:ascii="宋体" w:hAnsi="宋体" w:eastAsia="宋体" w:cs="宋体"/>
          <w:sz w:val="21"/>
          <w:szCs w:val="21"/>
          <w:highlight w:val="none"/>
        </w:rPr>
        <w:fldChar w:fldCharType="separate"/>
      </w:r>
      <w:r>
        <w:rPr>
          <w:rFonts w:hint="eastAsia" w:ascii="宋体" w:hAnsi="宋体" w:eastAsia="宋体" w:cs="宋体"/>
          <w:sz w:val="21"/>
          <w:szCs w:val="21"/>
        </w:rPr>
        <w:t xml:space="preserve">六、 </w:t>
      </w:r>
      <w:r>
        <w:rPr>
          <w:rFonts w:hint="eastAsia" w:ascii="宋体" w:hAnsi="宋体" w:eastAsia="宋体" w:cs="宋体"/>
          <w:sz w:val="21"/>
          <w:szCs w:val="21"/>
          <w:highlight w:val="none"/>
        </w:rPr>
        <w:t>授予合同</w:t>
      </w:r>
      <w:r>
        <w:rPr>
          <w:rFonts w:hint="eastAsia" w:ascii="宋体" w:hAnsi="宋体" w:eastAsia="宋体" w:cs="宋体"/>
          <w:sz w:val="21"/>
          <w:szCs w:val="21"/>
        </w:rPr>
        <w:tab/>
      </w:r>
      <w:r>
        <w:rPr>
          <w:rFonts w:hint="eastAsia" w:ascii="宋体" w:hAnsi="宋体" w:eastAsia="宋体" w:cs="宋体"/>
          <w:sz w:val="21"/>
          <w:szCs w:val="21"/>
        </w:rPr>
        <w:fldChar w:fldCharType="begin"/>
      </w:r>
      <w:r>
        <w:rPr>
          <w:rFonts w:hint="eastAsia" w:ascii="宋体" w:hAnsi="宋体" w:eastAsia="宋体" w:cs="宋体"/>
          <w:sz w:val="21"/>
          <w:szCs w:val="21"/>
        </w:rPr>
        <w:instrText xml:space="preserve"> PAGEREF _Toc5497 \h </w:instrText>
      </w:r>
      <w:r>
        <w:rPr>
          <w:rFonts w:hint="eastAsia" w:ascii="宋体" w:hAnsi="宋体" w:eastAsia="宋体" w:cs="宋体"/>
          <w:sz w:val="21"/>
          <w:szCs w:val="21"/>
        </w:rPr>
        <w:fldChar w:fldCharType="separate"/>
      </w:r>
      <w:r>
        <w:rPr>
          <w:rFonts w:hint="eastAsia" w:ascii="宋体" w:hAnsi="宋体" w:eastAsia="宋体" w:cs="宋体"/>
          <w:sz w:val="21"/>
          <w:szCs w:val="21"/>
        </w:rPr>
        <w:t>32</w:t>
      </w:r>
      <w:r>
        <w:rPr>
          <w:rFonts w:hint="eastAsia" w:ascii="宋体" w:hAnsi="宋体" w:eastAsia="宋体" w:cs="宋体"/>
          <w:sz w:val="21"/>
          <w:szCs w:val="21"/>
        </w:rPr>
        <w:fldChar w:fldCharType="end"/>
      </w:r>
      <w:r>
        <w:rPr>
          <w:rFonts w:hint="eastAsia" w:ascii="宋体" w:hAnsi="宋体" w:eastAsia="宋体" w:cs="宋体"/>
          <w:color w:val="auto"/>
          <w:sz w:val="21"/>
          <w:szCs w:val="21"/>
          <w:highlight w:val="none"/>
        </w:rPr>
        <w:fldChar w:fldCharType="end"/>
      </w:r>
    </w:p>
    <w:p w14:paraId="6D3985AC">
      <w:pPr>
        <w:pStyle w:val="11"/>
        <w:tabs>
          <w:tab w:val="right" w:leader="dot" w:pos="8306"/>
          <w:tab w:val="clear" w:pos="8296"/>
        </w:tabs>
        <w:rPr>
          <w:rFonts w:hint="eastAsia" w:ascii="宋体" w:hAnsi="宋体" w:eastAsia="宋体" w:cs="宋体"/>
          <w:sz w:val="21"/>
          <w:szCs w:val="21"/>
        </w:rPr>
      </w:pPr>
      <w:r>
        <w:rPr>
          <w:rFonts w:hint="eastAsia" w:ascii="宋体" w:hAnsi="宋体" w:eastAsia="宋体" w:cs="宋体"/>
          <w:color w:val="auto"/>
          <w:sz w:val="21"/>
          <w:szCs w:val="21"/>
          <w:highlight w:val="none"/>
        </w:rPr>
        <w:fldChar w:fldCharType="begin"/>
      </w:r>
      <w:r>
        <w:rPr>
          <w:rFonts w:hint="eastAsia" w:ascii="宋体" w:hAnsi="宋体" w:eastAsia="宋体" w:cs="宋体"/>
          <w:sz w:val="21"/>
          <w:szCs w:val="21"/>
          <w:highlight w:val="none"/>
        </w:rPr>
        <w:instrText xml:space="preserve"> HYPERLINK \l _Toc3066 </w:instrText>
      </w:r>
      <w:r>
        <w:rPr>
          <w:rFonts w:hint="eastAsia" w:ascii="宋体" w:hAnsi="宋体" w:eastAsia="宋体" w:cs="宋体"/>
          <w:sz w:val="21"/>
          <w:szCs w:val="21"/>
          <w:highlight w:val="none"/>
        </w:rPr>
        <w:fldChar w:fldCharType="separate"/>
      </w:r>
      <w:r>
        <w:rPr>
          <w:rFonts w:hint="eastAsia" w:ascii="宋体" w:hAnsi="宋体" w:eastAsia="宋体" w:cs="宋体"/>
          <w:sz w:val="21"/>
          <w:szCs w:val="21"/>
        </w:rPr>
        <w:t xml:space="preserve">29. </w:t>
      </w:r>
      <w:r>
        <w:rPr>
          <w:rFonts w:hint="eastAsia" w:ascii="宋体" w:hAnsi="宋体" w:eastAsia="宋体" w:cs="宋体"/>
          <w:sz w:val="21"/>
          <w:szCs w:val="21"/>
          <w:highlight w:val="none"/>
        </w:rPr>
        <w:t>合同授予标准</w:t>
      </w:r>
      <w:r>
        <w:rPr>
          <w:rFonts w:hint="eastAsia" w:ascii="宋体" w:hAnsi="宋体" w:eastAsia="宋体" w:cs="宋体"/>
          <w:sz w:val="21"/>
          <w:szCs w:val="21"/>
        </w:rPr>
        <w:tab/>
      </w:r>
      <w:r>
        <w:rPr>
          <w:rFonts w:hint="eastAsia" w:ascii="宋体" w:hAnsi="宋体" w:eastAsia="宋体" w:cs="宋体"/>
          <w:sz w:val="21"/>
          <w:szCs w:val="21"/>
        </w:rPr>
        <w:fldChar w:fldCharType="begin"/>
      </w:r>
      <w:r>
        <w:rPr>
          <w:rFonts w:hint="eastAsia" w:ascii="宋体" w:hAnsi="宋体" w:eastAsia="宋体" w:cs="宋体"/>
          <w:sz w:val="21"/>
          <w:szCs w:val="21"/>
        </w:rPr>
        <w:instrText xml:space="preserve"> PAGEREF _Toc3066 \h </w:instrText>
      </w:r>
      <w:r>
        <w:rPr>
          <w:rFonts w:hint="eastAsia" w:ascii="宋体" w:hAnsi="宋体" w:eastAsia="宋体" w:cs="宋体"/>
          <w:sz w:val="21"/>
          <w:szCs w:val="21"/>
        </w:rPr>
        <w:fldChar w:fldCharType="separate"/>
      </w:r>
      <w:r>
        <w:rPr>
          <w:rFonts w:hint="eastAsia" w:ascii="宋体" w:hAnsi="宋体" w:eastAsia="宋体" w:cs="宋体"/>
          <w:sz w:val="21"/>
          <w:szCs w:val="21"/>
        </w:rPr>
        <w:t>32</w:t>
      </w:r>
      <w:r>
        <w:rPr>
          <w:rFonts w:hint="eastAsia" w:ascii="宋体" w:hAnsi="宋体" w:eastAsia="宋体" w:cs="宋体"/>
          <w:sz w:val="21"/>
          <w:szCs w:val="21"/>
        </w:rPr>
        <w:fldChar w:fldCharType="end"/>
      </w:r>
      <w:r>
        <w:rPr>
          <w:rFonts w:hint="eastAsia" w:ascii="宋体" w:hAnsi="宋体" w:eastAsia="宋体" w:cs="宋体"/>
          <w:color w:val="auto"/>
          <w:sz w:val="21"/>
          <w:szCs w:val="21"/>
          <w:highlight w:val="none"/>
        </w:rPr>
        <w:fldChar w:fldCharType="end"/>
      </w:r>
    </w:p>
    <w:p w14:paraId="3E345735">
      <w:pPr>
        <w:pStyle w:val="11"/>
        <w:tabs>
          <w:tab w:val="right" w:leader="dot" w:pos="8306"/>
          <w:tab w:val="clear" w:pos="8296"/>
        </w:tabs>
        <w:rPr>
          <w:rFonts w:hint="eastAsia" w:ascii="宋体" w:hAnsi="宋体" w:eastAsia="宋体" w:cs="宋体"/>
          <w:sz w:val="21"/>
          <w:szCs w:val="21"/>
        </w:rPr>
      </w:pPr>
      <w:r>
        <w:rPr>
          <w:rFonts w:hint="eastAsia" w:ascii="宋体" w:hAnsi="宋体" w:eastAsia="宋体" w:cs="宋体"/>
          <w:color w:val="auto"/>
          <w:sz w:val="21"/>
          <w:szCs w:val="21"/>
          <w:highlight w:val="none"/>
        </w:rPr>
        <w:fldChar w:fldCharType="begin"/>
      </w:r>
      <w:r>
        <w:rPr>
          <w:rFonts w:hint="eastAsia" w:ascii="宋体" w:hAnsi="宋体" w:eastAsia="宋体" w:cs="宋体"/>
          <w:sz w:val="21"/>
          <w:szCs w:val="21"/>
          <w:highlight w:val="none"/>
        </w:rPr>
        <w:instrText xml:space="preserve"> HYPERLINK \l _Toc6284 </w:instrText>
      </w:r>
      <w:r>
        <w:rPr>
          <w:rFonts w:hint="eastAsia" w:ascii="宋体" w:hAnsi="宋体" w:eastAsia="宋体" w:cs="宋体"/>
          <w:sz w:val="21"/>
          <w:szCs w:val="21"/>
          <w:highlight w:val="none"/>
        </w:rPr>
        <w:fldChar w:fldCharType="separate"/>
      </w:r>
      <w:r>
        <w:rPr>
          <w:rFonts w:hint="eastAsia" w:ascii="宋体" w:hAnsi="宋体" w:eastAsia="宋体" w:cs="宋体"/>
          <w:sz w:val="21"/>
          <w:szCs w:val="21"/>
        </w:rPr>
        <w:t xml:space="preserve">30. </w:t>
      </w:r>
      <w:r>
        <w:rPr>
          <w:rFonts w:hint="eastAsia" w:ascii="宋体" w:hAnsi="宋体" w:eastAsia="宋体" w:cs="宋体"/>
          <w:sz w:val="21"/>
          <w:szCs w:val="21"/>
          <w:highlight w:val="none"/>
        </w:rPr>
        <w:t>发布中标结果</w:t>
      </w:r>
      <w:r>
        <w:rPr>
          <w:rFonts w:hint="eastAsia" w:ascii="宋体" w:hAnsi="宋体" w:eastAsia="宋体" w:cs="宋体"/>
          <w:sz w:val="21"/>
          <w:szCs w:val="21"/>
        </w:rPr>
        <w:tab/>
      </w:r>
      <w:r>
        <w:rPr>
          <w:rFonts w:hint="eastAsia" w:ascii="宋体" w:hAnsi="宋体" w:eastAsia="宋体" w:cs="宋体"/>
          <w:sz w:val="21"/>
          <w:szCs w:val="21"/>
        </w:rPr>
        <w:fldChar w:fldCharType="begin"/>
      </w:r>
      <w:r>
        <w:rPr>
          <w:rFonts w:hint="eastAsia" w:ascii="宋体" w:hAnsi="宋体" w:eastAsia="宋体" w:cs="宋体"/>
          <w:sz w:val="21"/>
          <w:szCs w:val="21"/>
        </w:rPr>
        <w:instrText xml:space="preserve"> PAGEREF _Toc6284 \h </w:instrText>
      </w:r>
      <w:r>
        <w:rPr>
          <w:rFonts w:hint="eastAsia" w:ascii="宋体" w:hAnsi="宋体" w:eastAsia="宋体" w:cs="宋体"/>
          <w:sz w:val="21"/>
          <w:szCs w:val="21"/>
        </w:rPr>
        <w:fldChar w:fldCharType="separate"/>
      </w:r>
      <w:r>
        <w:rPr>
          <w:rFonts w:hint="eastAsia" w:ascii="宋体" w:hAnsi="宋体" w:eastAsia="宋体" w:cs="宋体"/>
          <w:sz w:val="21"/>
          <w:szCs w:val="21"/>
        </w:rPr>
        <w:t>32</w:t>
      </w:r>
      <w:r>
        <w:rPr>
          <w:rFonts w:hint="eastAsia" w:ascii="宋体" w:hAnsi="宋体" w:eastAsia="宋体" w:cs="宋体"/>
          <w:sz w:val="21"/>
          <w:szCs w:val="21"/>
        </w:rPr>
        <w:fldChar w:fldCharType="end"/>
      </w:r>
      <w:r>
        <w:rPr>
          <w:rFonts w:hint="eastAsia" w:ascii="宋体" w:hAnsi="宋体" w:eastAsia="宋体" w:cs="宋体"/>
          <w:color w:val="auto"/>
          <w:sz w:val="21"/>
          <w:szCs w:val="21"/>
          <w:highlight w:val="none"/>
        </w:rPr>
        <w:fldChar w:fldCharType="end"/>
      </w:r>
    </w:p>
    <w:p w14:paraId="6A66907E">
      <w:pPr>
        <w:pStyle w:val="11"/>
        <w:tabs>
          <w:tab w:val="right" w:leader="dot" w:pos="8306"/>
          <w:tab w:val="clear" w:pos="8296"/>
        </w:tabs>
        <w:rPr>
          <w:rFonts w:hint="eastAsia" w:ascii="宋体" w:hAnsi="宋体" w:eastAsia="宋体" w:cs="宋体"/>
          <w:sz w:val="21"/>
          <w:szCs w:val="21"/>
        </w:rPr>
      </w:pPr>
      <w:r>
        <w:rPr>
          <w:rFonts w:hint="eastAsia" w:ascii="宋体" w:hAnsi="宋体" w:eastAsia="宋体" w:cs="宋体"/>
          <w:color w:val="auto"/>
          <w:sz w:val="21"/>
          <w:szCs w:val="21"/>
          <w:highlight w:val="none"/>
        </w:rPr>
        <w:fldChar w:fldCharType="begin"/>
      </w:r>
      <w:r>
        <w:rPr>
          <w:rFonts w:hint="eastAsia" w:ascii="宋体" w:hAnsi="宋体" w:eastAsia="宋体" w:cs="宋体"/>
          <w:sz w:val="21"/>
          <w:szCs w:val="21"/>
          <w:highlight w:val="none"/>
        </w:rPr>
        <w:instrText xml:space="preserve"> HYPERLINK \l _Toc585 </w:instrText>
      </w:r>
      <w:r>
        <w:rPr>
          <w:rFonts w:hint="eastAsia" w:ascii="宋体" w:hAnsi="宋体" w:eastAsia="宋体" w:cs="宋体"/>
          <w:sz w:val="21"/>
          <w:szCs w:val="21"/>
          <w:highlight w:val="none"/>
        </w:rPr>
        <w:fldChar w:fldCharType="separate"/>
      </w:r>
      <w:r>
        <w:rPr>
          <w:rFonts w:hint="eastAsia" w:ascii="宋体" w:hAnsi="宋体" w:eastAsia="宋体" w:cs="宋体"/>
          <w:sz w:val="21"/>
          <w:szCs w:val="21"/>
        </w:rPr>
        <w:t xml:space="preserve">31. </w:t>
      </w:r>
      <w:r>
        <w:rPr>
          <w:rFonts w:hint="eastAsia" w:ascii="宋体" w:hAnsi="宋体" w:eastAsia="宋体" w:cs="宋体"/>
          <w:sz w:val="21"/>
          <w:szCs w:val="21"/>
          <w:highlight w:val="none"/>
        </w:rPr>
        <w:t>资格后审</w:t>
      </w:r>
      <w:r>
        <w:rPr>
          <w:rFonts w:hint="eastAsia" w:ascii="宋体" w:hAnsi="宋体" w:eastAsia="宋体" w:cs="宋体"/>
          <w:sz w:val="21"/>
          <w:szCs w:val="21"/>
        </w:rPr>
        <w:tab/>
      </w:r>
      <w:r>
        <w:rPr>
          <w:rFonts w:hint="eastAsia" w:ascii="宋体" w:hAnsi="宋体" w:eastAsia="宋体" w:cs="宋体"/>
          <w:sz w:val="21"/>
          <w:szCs w:val="21"/>
        </w:rPr>
        <w:fldChar w:fldCharType="begin"/>
      </w:r>
      <w:r>
        <w:rPr>
          <w:rFonts w:hint="eastAsia" w:ascii="宋体" w:hAnsi="宋体" w:eastAsia="宋体" w:cs="宋体"/>
          <w:sz w:val="21"/>
          <w:szCs w:val="21"/>
        </w:rPr>
        <w:instrText xml:space="preserve"> PAGEREF _Toc585 \h </w:instrText>
      </w:r>
      <w:r>
        <w:rPr>
          <w:rFonts w:hint="eastAsia" w:ascii="宋体" w:hAnsi="宋体" w:eastAsia="宋体" w:cs="宋体"/>
          <w:sz w:val="21"/>
          <w:szCs w:val="21"/>
        </w:rPr>
        <w:fldChar w:fldCharType="separate"/>
      </w:r>
      <w:r>
        <w:rPr>
          <w:rFonts w:hint="eastAsia" w:ascii="宋体" w:hAnsi="宋体" w:eastAsia="宋体" w:cs="宋体"/>
          <w:sz w:val="21"/>
          <w:szCs w:val="21"/>
        </w:rPr>
        <w:t>33</w:t>
      </w:r>
      <w:r>
        <w:rPr>
          <w:rFonts w:hint="eastAsia" w:ascii="宋体" w:hAnsi="宋体" w:eastAsia="宋体" w:cs="宋体"/>
          <w:sz w:val="21"/>
          <w:szCs w:val="21"/>
        </w:rPr>
        <w:fldChar w:fldCharType="end"/>
      </w:r>
      <w:r>
        <w:rPr>
          <w:rFonts w:hint="eastAsia" w:ascii="宋体" w:hAnsi="宋体" w:eastAsia="宋体" w:cs="宋体"/>
          <w:color w:val="auto"/>
          <w:sz w:val="21"/>
          <w:szCs w:val="21"/>
          <w:highlight w:val="none"/>
        </w:rPr>
        <w:fldChar w:fldCharType="end"/>
      </w:r>
    </w:p>
    <w:p w14:paraId="3E62DA7B">
      <w:pPr>
        <w:pStyle w:val="11"/>
        <w:tabs>
          <w:tab w:val="right" w:leader="dot" w:pos="8306"/>
          <w:tab w:val="clear" w:pos="8296"/>
        </w:tabs>
        <w:rPr>
          <w:rFonts w:hint="eastAsia" w:ascii="宋体" w:hAnsi="宋体" w:eastAsia="宋体" w:cs="宋体"/>
          <w:sz w:val="21"/>
          <w:szCs w:val="21"/>
        </w:rPr>
      </w:pPr>
      <w:r>
        <w:rPr>
          <w:rFonts w:hint="eastAsia" w:ascii="宋体" w:hAnsi="宋体" w:eastAsia="宋体" w:cs="宋体"/>
          <w:color w:val="auto"/>
          <w:sz w:val="21"/>
          <w:szCs w:val="21"/>
          <w:highlight w:val="none"/>
        </w:rPr>
        <w:fldChar w:fldCharType="begin"/>
      </w:r>
      <w:r>
        <w:rPr>
          <w:rFonts w:hint="eastAsia" w:ascii="宋体" w:hAnsi="宋体" w:eastAsia="宋体" w:cs="宋体"/>
          <w:sz w:val="21"/>
          <w:szCs w:val="21"/>
          <w:highlight w:val="none"/>
        </w:rPr>
        <w:instrText xml:space="preserve"> HYPERLINK \l _Toc14246 </w:instrText>
      </w:r>
      <w:r>
        <w:rPr>
          <w:rFonts w:hint="eastAsia" w:ascii="宋体" w:hAnsi="宋体" w:eastAsia="宋体" w:cs="宋体"/>
          <w:sz w:val="21"/>
          <w:szCs w:val="21"/>
          <w:highlight w:val="none"/>
        </w:rPr>
        <w:fldChar w:fldCharType="separate"/>
      </w:r>
      <w:r>
        <w:rPr>
          <w:rFonts w:hint="eastAsia" w:ascii="宋体" w:hAnsi="宋体" w:eastAsia="宋体" w:cs="宋体"/>
          <w:sz w:val="21"/>
          <w:szCs w:val="21"/>
        </w:rPr>
        <w:t xml:space="preserve">32. </w:t>
      </w:r>
      <w:r>
        <w:rPr>
          <w:rFonts w:hint="eastAsia" w:ascii="宋体" w:hAnsi="宋体" w:eastAsia="宋体" w:cs="宋体"/>
          <w:sz w:val="21"/>
          <w:szCs w:val="21"/>
          <w:highlight w:val="none"/>
        </w:rPr>
        <w:t>合同的签订与履行</w:t>
      </w:r>
      <w:r>
        <w:rPr>
          <w:rFonts w:hint="eastAsia" w:ascii="宋体" w:hAnsi="宋体" w:eastAsia="宋体" w:cs="宋体"/>
          <w:sz w:val="21"/>
          <w:szCs w:val="21"/>
        </w:rPr>
        <w:tab/>
      </w:r>
      <w:r>
        <w:rPr>
          <w:rFonts w:hint="eastAsia" w:ascii="宋体" w:hAnsi="宋体" w:eastAsia="宋体" w:cs="宋体"/>
          <w:sz w:val="21"/>
          <w:szCs w:val="21"/>
        </w:rPr>
        <w:fldChar w:fldCharType="begin"/>
      </w:r>
      <w:r>
        <w:rPr>
          <w:rFonts w:hint="eastAsia" w:ascii="宋体" w:hAnsi="宋体" w:eastAsia="宋体" w:cs="宋体"/>
          <w:sz w:val="21"/>
          <w:szCs w:val="21"/>
        </w:rPr>
        <w:instrText xml:space="preserve"> PAGEREF _Toc14246 \h </w:instrText>
      </w:r>
      <w:r>
        <w:rPr>
          <w:rFonts w:hint="eastAsia" w:ascii="宋体" w:hAnsi="宋体" w:eastAsia="宋体" w:cs="宋体"/>
          <w:sz w:val="21"/>
          <w:szCs w:val="21"/>
        </w:rPr>
        <w:fldChar w:fldCharType="separate"/>
      </w:r>
      <w:r>
        <w:rPr>
          <w:rFonts w:hint="eastAsia" w:ascii="宋体" w:hAnsi="宋体" w:eastAsia="宋体" w:cs="宋体"/>
          <w:sz w:val="21"/>
          <w:szCs w:val="21"/>
        </w:rPr>
        <w:t>33</w:t>
      </w:r>
      <w:r>
        <w:rPr>
          <w:rFonts w:hint="eastAsia" w:ascii="宋体" w:hAnsi="宋体" w:eastAsia="宋体" w:cs="宋体"/>
          <w:sz w:val="21"/>
          <w:szCs w:val="21"/>
        </w:rPr>
        <w:fldChar w:fldCharType="end"/>
      </w:r>
      <w:r>
        <w:rPr>
          <w:rFonts w:hint="eastAsia" w:ascii="宋体" w:hAnsi="宋体" w:eastAsia="宋体" w:cs="宋体"/>
          <w:color w:val="auto"/>
          <w:sz w:val="21"/>
          <w:szCs w:val="21"/>
          <w:highlight w:val="none"/>
        </w:rPr>
        <w:fldChar w:fldCharType="end"/>
      </w:r>
    </w:p>
    <w:p w14:paraId="08616DCB">
      <w:pPr>
        <w:pStyle w:val="11"/>
        <w:tabs>
          <w:tab w:val="right" w:leader="dot" w:pos="8306"/>
          <w:tab w:val="clear" w:pos="8296"/>
        </w:tabs>
        <w:rPr>
          <w:rFonts w:hint="eastAsia" w:ascii="宋体" w:hAnsi="宋体" w:eastAsia="宋体" w:cs="宋体"/>
          <w:sz w:val="21"/>
          <w:szCs w:val="21"/>
        </w:rPr>
      </w:pPr>
      <w:r>
        <w:rPr>
          <w:rFonts w:hint="eastAsia" w:ascii="宋体" w:hAnsi="宋体" w:eastAsia="宋体" w:cs="宋体"/>
          <w:color w:val="auto"/>
          <w:sz w:val="21"/>
          <w:szCs w:val="21"/>
          <w:highlight w:val="none"/>
        </w:rPr>
        <w:fldChar w:fldCharType="begin"/>
      </w:r>
      <w:r>
        <w:rPr>
          <w:rFonts w:hint="eastAsia" w:ascii="宋体" w:hAnsi="宋体" w:eastAsia="宋体" w:cs="宋体"/>
          <w:sz w:val="21"/>
          <w:szCs w:val="21"/>
          <w:highlight w:val="none"/>
        </w:rPr>
        <w:instrText xml:space="preserve"> HYPERLINK \l _Toc7424 </w:instrText>
      </w:r>
      <w:r>
        <w:rPr>
          <w:rFonts w:hint="eastAsia" w:ascii="宋体" w:hAnsi="宋体" w:eastAsia="宋体" w:cs="宋体"/>
          <w:sz w:val="21"/>
          <w:szCs w:val="21"/>
          <w:highlight w:val="none"/>
        </w:rPr>
        <w:fldChar w:fldCharType="separate"/>
      </w:r>
      <w:r>
        <w:rPr>
          <w:rFonts w:hint="eastAsia" w:ascii="宋体" w:hAnsi="宋体" w:eastAsia="宋体" w:cs="宋体"/>
          <w:sz w:val="21"/>
          <w:szCs w:val="21"/>
        </w:rPr>
        <w:t xml:space="preserve">33. </w:t>
      </w:r>
      <w:r>
        <w:rPr>
          <w:rFonts w:hint="eastAsia" w:ascii="宋体" w:hAnsi="宋体" w:eastAsia="宋体" w:cs="宋体"/>
          <w:sz w:val="21"/>
          <w:szCs w:val="21"/>
          <w:highlight w:val="none"/>
        </w:rPr>
        <w:t>履约担保</w:t>
      </w:r>
      <w:r>
        <w:rPr>
          <w:rFonts w:hint="eastAsia" w:ascii="宋体" w:hAnsi="宋体" w:eastAsia="宋体" w:cs="宋体"/>
          <w:sz w:val="21"/>
          <w:szCs w:val="21"/>
        </w:rPr>
        <w:tab/>
      </w:r>
      <w:r>
        <w:rPr>
          <w:rFonts w:hint="eastAsia" w:ascii="宋体" w:hAnsi="宋体" w:eastAsia="宋体" w:cs="宋体"/>
          <w:sz w:val="21"/>
          <w:szCs w:val="21"/>
        </w:rPr>
        <w:fldChar w:fldCharType="begin"/>
      </w:r>
      <w:r>
        <w:rPr>
          <w:rFonts w:hint="eastAsia" w:ascii="宋体" w:hAnsi="宋体" w:eastAsia="宋体" w:cs="宋体"/>
          <w:sz w:val="21"/>
          <w:szCs w:val="21"/>
        </w:rPr>
        <w:instrText xml:space="preserve"> PAGEREF _Toc7424 \h </w:instrText>
      </w:r>
      <w:r>
        <w:rPr>
          <w:rFonts w:hint="eastAsia" w:ascii="宋体" w:hAnsi="宋体" w:eastAsia="宋体" w:cs="宋体"/>
          <w:sz w:val="21"/>
          <w:szCs w:val="21"/>
        </w:rPr>
        <w:fldChar w:fldCharType="separate"/>
      </w:r>
      <w:r>
        <w:rPr>
          <w:rFonts w:hint="eastAsia" w:ascii="宋体" w:hAnsi="宋体" w:eastAsia="宋体" w:cs="宋体"/>
          <w:sz w:val="21"/>
          <w:szCs w:val="21"/>
        </w:rPr>
        <w:t>33</w:t>
      </w:r>
      <w:r>
        <w:rPr>
          <w:rFonts w:hint="eastAsia" w:ascii="宋体" w:hAnsi="宋体" w:eastAsia="宋体" w:cs="宋体"/>
          <w:sz w:val="21"/>
          <w:szCs w:val="21"/>
        </w:rPr>
        <w:fldChar w:fldCharType="end"/>
      </w:r>
      <w:r>
        <w:rPr>
          <w:rFonts w:hint="eastAsia" w:ascii="宋体" w:hAnsi="宋体" w:eastAsia="宋体" w:cs="宋体"/>
          <w:color w:val="auto"/>
          <w:sz w:val="21"/>
          <w:szCs w:val="21"/>
          <w:highlight w:val="none"/>
        </w:rPr>
        <w:fldChar w:fldCharType="end"/>
      </w:r>
    </w:p>
    <w:p w14:paraId="198D58FA">
      <w:pPr>
        <w:pStyle w:val="11"/>
        <w:tabs>
          <w:tab w:val="right" w:leader="dot" w:pos="8306"/>
          <w:tab w:val="clear" w:pos="8296"/>
        </w:tabs>
        <w:rPr>
          <w:rFonts w:hint="eastAsia" w:ascii="宋体" w:hAnsi="宋体" w:eastAsia="宋体" w:cs="宋体"/>
          <w:sz w:val="21"/>
          <w:szCs w:val="21"/>
        </w:rPr>
      </w:pPr>
      <w:r>
        <w:rPr>
          <w:rFonts w:hint="eastAsia" w:ascii="宋体" w:hAnsi="宋体" w:eastAsia="宋体" w:cs="宋体"/>
          <w:color w:val="auto"/>
          <w:sz w:val="21"/>
          <w:szCs w:val="21"/>
          <w:highlight w:val="none"/>
        </w:rPr>
        <w:fldChar w:fldCharType="begin"/>
      </w:r>
      <w:r>
        <w:rPr>
          <w:rFonts w:hint="eastAsia" w:ascii="宋体" w:hAnsi="宋体" w:eastAsia="宋体" w:cs="宋体"/>
          <w:sz w:val="21"/>
          <w:szCs w:val="21"/>
          <w:highlight w:val="none"/>
        </w:rPr>
        <w:instrText xml:space="preserve"> HYPERLINK \l _Toc1300 </w:instrText>
      </w:r>
      <w:r>
        <w:rPr>
          <w:rFonts w:hint="eastAsia" w:ascii="宋体" w:hAnsi="宋体" w:eastAsia="宋体" w:cs="宋体"/>
          <w:sz w:val="21"/>
          <w:szCs w:val="21"/>
          <w:highlight w:val="none"/>
        </w:rPr>
        <w:fldChar w:fldCharType="separate"/>
      </w:r>
      <w:r>
        <w:rPr>
          <w:rFonts w:hint="eastAsia" w:ascii="宋体" w:hAnsi="宋体" w:eastAsia="宋体" w:cs="宋体"/>
          <w:sz w:val="21"/>
          <w:szCs w:val="21"/>
        </w:rPr>
        <w:t xml:space="preserve">34. </w:t>
      </w:r>
      <w:r>
        <w:rPr>
          <w:rFonts w:hint="eastAsia" w:ascii="宋体" w:hAnsi="宋体" w:eastAsia="宋体" w:cs="宋体"/>
          <w:sz w:val="21"/>
          <w:szCs w:val="21"/>
          <w:highlight w:val="none"/>
        </w:rPr>
        <w:t>预付款保函（适用于预付款支付）</w:t>
      </w:r>
      <w:r>
        <w:rPr>
          <w:rFonts w:hint="eastAsia" w:ascii="宋体" w:hAnsi="宋体" w:eastAsia="宋体" w:cs="宋体"/>
          <w:sz w:val="21"/>
          <w:szCs w:val="21"/>
        </w:rPr>
        <w:tab/>
      </w:r>
      <w:r>
        <w:rPr>
          <w:rFonts w:hint="eastAsia" w:ascii="宋体" w:hAnsi="宋体" w:eastAsia="宋体" w:cs="宋体"/>
          <w:sz w:val="21"/>
          <w:szCs w:val="21"/>
        </w:rPr>
        <w:fldChar w:fldCharType="begin"/>
      </w:r>
      <w:r>
        <w:rPr>
          <w:rFonts w:hint="eastAsia" w:ascii="宋体" w:hAnsi="宋体" w:eastAsia="宋体" w:cs="宋体"/>
          <w:sz w:val="21"/>
          <w:szCs w:val="21"/>
        </w:rPr>
        <w:instrText xml:space="preserve"> PAGEREF _Toc1300 \h </w:instrText>
      </w:r>
      <w:r>
        <w:rPr>
          <w:rFonts w:hint="eastAsia" w:ascii="宋体" w:hAnsi="宋体" w:eastAsia="宋体" w:cs="宋体"/>
          <w:sz w:val="21"/>
          <w:szCs w:val="21"/>
        </w:rPr>
        <w:fldChar w:fldCharType="separate"/>
      </w:r>
      <w:r>
        <w:rPr>
          <w:rFonts w:hint="eastAsia" w:ascii="宋体" w:hAnsi="宋体" w:eastAsia="宋体" w:cs="宋体"/>
          <w:sz w:val="21"/>
          <w:szCs w:val="21"/>
        </w:rPr>
        <w:t>35</w:t>
      </w:r>
      <w:r>
        <w:rPr>
          <w:rFonts w:hint="eastAsia" w:ascii="宋体" w:hAnsi="宋体" w:eastAsia="宋体" w:cs="宋体"/>
          <w:sz w:val="21"/>
          <w:szCs w:val="21"/>
        </w:rPr>
        <w:fldChar w:fldCharType="end"/>
      </w:r>
      <w:r>
        <w:rPr>
          <w:rFonts w:hint="eastAsia" w:ascii="宋体" w:hAnsi="宋体" w:eastAsia="宋体" w:cs="宋体"/>
          <w:color w:val="auto"/>
          <w:sz w:val="21"/>
          <w:szCs w:val="21"/>
          <w:highlight w:val="none"/>
        </w:rPr>
        <w:fldChar w:fldCharType="end"/>
      </w:r>
    </w:p>
    <w:p w14:paraId="640B6DE1">
      <w:pPr>
        <w:pStyle w:val="8"/>
        <w:tabs>
          <w:tab w:val="right" w:leader="dot" w:pos="8306"/>
          <w:tab w:val="clear" w:pos="8296"/>
        </w:tabs>
        <w:rPr>
          <w:rFonts w:hint="eastAsia" w:ascii="宋体" w:hAnsi="宋体" w:eastAsia="宋体" w:cs="宋体"/>
          <w:sz w:val="21"/>
          <w:szCs w:val="21"/>
        </w:rPr>
      </w:pPr>
      <w:r>
        <w:rPr>
          <w:rFonts w:hint="eastAsia" w:ascii="宋体" w:hAnsi="宋体" w:eastAsia="宋体" w:cs="宋体"/>
          <w:color w:val="auto"/>
          <w:sz w:val="21"/>
          <w:szCs w:val="21"/>
          <w:highlight w:val="none"/>
        </w:rPr>
        <w:fldChar w:fldCharType="begin"/>
      </w:r>
      <w:r>
        <w:rPr>
          <w:rFonts w:hint="eastAsia" w:ascii="宋体" w:hAnsi="宋体" w:eastAsia="宋体" w:cs="宋体"/>
          <w:sz w:val="21"/>
          <w:szCs w:val="21"/>
          <w:highlight w:val="none"/>
        </w:rPr>
        <w:instrText xml:space="preserve"> HYPERLINK \l _Toc19234 </w:instrText>
      </w:r>
      <w:r>
        <w:rPr>
          <w:rFonts w:hint="eastAsia" w:ascii="宋体" w:hAnsi="宋体" w:eastAsia="宋体" w:cs="宋体"/>
          <w:sz w:val="21"/>
          <w:szCs w:val="21"/>
          <w:highlight w:val="none"/>
        </w:rPr>
        <w:fldChar w:fldCharType="separate"/>
      </w:r>
      <w:r>
        <w:rPr>
          <w:rFonts w:hint="eastAsia" w:ascii="宋体" w:hAnsi="宋体" w:eastAsia="宋体" w:cs="宋体"/>
          <w:sz w:val="21"/>
          <w:szCs w:val="21"/>
        </w:rPr>
        <w:t xml:space="preserve">七、 </w:t>
      </w:r>
      <w:r>
        <w:rPr>
          <w:rFonts w:hint="eastAsia" w:ascii="宋体" w:hAnsi="宋体" w:eastAsia="宋体" w:cs="宋体"/>
          <w:sz w:val="21"/>
          <w:szCs w:val="21"/>
          <w:highlight w:val="none"/>
        </w:rPr>
        <w:t>异议</w:t>
      </w:r>
      <w:r>
        <w:rPr>
          <w:rFonts w:hint="eastAsia" w:ascii="宋体" w:hAnsi="宋体" w:eastAsia="宋体" w:cs="宋体"/>
          <w:sz w:val="21"/>
          <w:szCs w:val="21"/>
        </w:rPr>
        <w:tab/>
      </w:r>
      <w:r>
        <w:rPr>
          <w:rFonts w:hint="eastAsia" w:ascii="宋体" w:hAnsi="宋体" w:eastAsia="宋体" w:cs="宋体"/>
          <w:sz w:val="21"/>
          <w:szCs w:val="21"/>
        </w:rPr>
        <w:fldChar w:fldCharType="begin"/>
      </w:r>
      <w:r>
        <w:rPr>
          <w:rFonts w:hint="eastAsia" w:ascii="宋体" w:hAnsi="宋体" w:eastAsia="宋体" w:cs="宋体"/>
          <w:sz w:val="21"/>
          <w:szCs w:val="21"/>
        </w:rPr>
        <w:instrText xml:space="preserve"> PAGEREF _Toc19234 \h </w:instrText>
      </w:r>
      <w:r>
        <w:rPr>
          <w:rFonts w:hint="eastAsia" w:ascii="宋体" w:hAnsi="宋体" w:eastAsia="宋体" w:cs="宋体"/>
          <w:sz w:val="21"/>
          <w:szCs w:val="21"/>
        </w:rPr>
        <w:fldChar w:fldCharType="separate"/>
      </w:r>
      <w:r>
        <w:rPr>
          <w:rFonts w:hint="eastAsia" w:ascii="宋体" w:hAnsi="宋体" w:eastAsia="宋体" w:cs="宋体"/>
          <w:sz w:val="21"/>
          <w:szCs w:val="21"/>
        </w:rPr>
        <w:t>35</w:t>
      </w:r>
      <w:r>
        <w:rPr>
          <w:rFonts w:hint="eastAsia" w:ascii="宋体" w:hAnsi="宋体" w:eastAsia="宋体" w:cs="宋体"/>
          <w:sz w:val="21"/>
          <w:szCs w:val="21"/>
        </w:rPr>
        <w:fldChar w:fldCharType="end"/>
      </w:r>
      <w:r>
        <w:rPr>
          <w:rFonts w:hint="eastAsia" w:ascii="宋体" w:hAnsi="宋体" w:eastAsia="宋体" w:cs="宋体"/>
          <w:color w:val="auto"/>
          <w:sz w:val="21"/>
          <w:szCs w:val="21"/>
          <w:highlight w:val="none"/>
        </w:rPr>
        <w:fldChar w:fldCharType="end"/>
      </w:r>
    </w:p>
    <w:p w14:paraId="63A40018">
      <w:pPr>
        <w:pStyle w:val="11"/>
        <w:tabs>
          <w:tab w:val="right" w:leader="dot" w:pos="8306"/>
          <w:tab w:val="clear" w:pos="8296"/>
        </w:tabs>
        <w:rPr>
          <w:rFonts w:hint="eastAsia" w:ascii="宋体" w:hAnsi="宋体" w:eastAsia="宋体" w:cs="宋体"/>
          <w:sz w:val="21"/>
          <w:szCs w:val="21"/>
        </w:rPr>
      </w:pPr>
      <w:r>
        <w:rPr>
          <w:rFonts w:hint="eastAsia" w:ascii="宋体" w:hAnsi="宋体" w:eastAsia="宋体" w:cs="宋体"/>
          <w:color w:val="auto"/>
          <w:sz w:val="21"/>
          <w:szCs w:val="21"/>
          <w:highlight w:val="none"/>
        </w:rPr>
        <w:fldChar w:fldCharType="begin"/>
      </w:r>
      <w:r>
        <w:rPr>
          <w:rFonts w:hint="eastAsia" w:ascii="宋体" w:hAnsi="宋体" w:eastAsia="宋体" w:cs="宋体"/>
          <w:sz w:val="21"/>
          <w:szCs w:val="21"/>
          <w:highlight w:val="none"/>
        </w:rPr>
        <w:instrText xml:space="preserve"> HYPERLINK \l _Toc27146 </w:instrText>
      </w:r>
      <w:r>
        <w:rPr>
          <w:rFonts w:hint="eastAsia" w:ascii="宋体" w:hAnsi="宋体" w:eastAsia="宋体" w:cs="宋体"/>
          <w:sz w:val="21"/>
          <w:szCs w:val="21"/>
          <w:highlight w:val="none"/>
        </w:rPr>
        <w:fldChar w:fldCharType="separate"/>
      </w:r>
      <w:r>
        <w:rPr>
          <w:rFonts w:hint="eastAsia" w:ascii="宋体" w:hAnsi="宋体" w:eastAsia="宋体" w:cs="宋体"/>
          <w:sz w:val="21"/>
          <w:szCs w:val="21"/>
        </w:rPr>
        <w:t xml:space="preserve">35. </w:t>
      </w:r>
      <w:r>
        <w:rPr>
          <w:rFonts w:hint="eastAsia" w:ascii="宋体" w:hAnsi="宋体" w:eastAsia="宋体" w:cs="宋体"/>
          <w:sz w:val="21"/>
          <w:szCs w:val="21"/>
          <w:highlight w:val="none"/>
        </w:rPr>
        <w:t>异议</w:t>
      </w:r>
      <w:r>
        <w:rPr>
          <w:rFonts w:hint="eastAsia" w:ascii="宋体" w:hAnsi="宋体" w:eastAsia="宋体" w:cs="宋体"/>
          <w:sz w:val="21"/>
          <w:szCs w:val="21"/>
        </w:rPr>
        <w:tab/>
      </w:r>
      <w:r>
        <w:rPr>
          <w:rFonts w:hint="eastAsia" w:ascii="宋体" w:hAnsi="宋体" w:eastAsia="宋体" w:cs="宋体"/>
          <w:sz w:val="21"/>
          <w:szCs w:val="21"/>
        </w:rPr>
        <w:fldChar w:fldCharType="begin"/>
      </w:r>
      <w:r>
        <w:rPr>
          <w:rFonts w:hint="eastAsia" w:ascii="宋体" w:hAnsi="宋体" w:eastAsia="宋体" w:cs="宋体"/>
          <w:sz w:val="21"/>
          <w:szCs w:val="21"/>
        </w:rPr>
        <w:instrText xml:space="preserve"> PAGEREF _Toc27146 \h </w:instrText>
      </w:r>
      <w:r>
        <w:rPr>
          <w:rFonts w:hint="eastAsia" w:ascii="宋体" w:hAnsi="宋体" w:eastAsia="宋体" w:cs="宋体"/>
          <w:sz w:val="21"/>
          <w:szCs w:val="21"/>
        </w:rPr>
        <w:fldChar w:fldCharType="separate"/>
      </w:r>
      <w:r>
        <w:rPr>
          <w:rFonts w:hint="eastAsia" w:ascii="宋体" w:hAnsi="宋体" w:eastAsia="宋体" w:cs="宋体"/>
          <w:sz w:val="21"/>
          <w:szCs w:val="21"/>
        </w:rPr>
        <w:t>35</w:t>
      </w:r>
      <w:r>
        <w:rPr>
          <w:rFonts w:hint="eastAsia" w:ascii="宋体" w:hAnsi="宋体" w:eastAsia="宋体" w:cs="宋体"/>
          <w:sz w:val="21"/>
          <w:szCs w:val="21"/>
        </w:rPr>
        <w:fldChar w:fldCharType="end"/>
      </w:r>
      <w:r>
        <w:rPr>
          <w:rFonts w:hint="eastAsia" w:ascii="宋体" w:hAnsi="宋体" w:eastAsia="宋体" w:cs="宋体"/>
          <w:color w:val="auto"/>
          <w:sz w:val="21"/>
          <w:szCs w:val="21"/>
          <w:highlight w:val="none"/>
        </w:rPr>
        <w:fldChar w:fldCharType="end"/>
      </w:r>
    </w:p>
    <w:p w14:paraId="718CFE77">
      <w:pPr>
        <w:pStyle w:val="8"/>
        <w:tabs>
          <w:tab w:val="right" w:leader="dot" w:pos="8306"/>
          <w:tab w:val="clear" w:pos="8296"/>
        </w:tabs>
        <w:rPr>
          <w:rFonts w:hint="eastAsia" w:ascii="宋体" w:hAnsi="宋体" w:eastAsia="宋体" w:cs="宋体"/>
          <w:sz w:val="21"/>
          <w:szCs w:val="21"/>
        </w:rPr>
      </w:pPr>
      <w:r>
        <w:rPr>
          <w:rFonts w:hint="eastAsia" w:ascii="宋体" w:hAnsi="宋体" w:eastAsia="宋体" w:cs="宋体"/>
          <w:color w:val="auto"/>
          <w:sz w:val="21"/>
          <w:szCs w:val="21"/>
          <w:highlight w:val="none"/>
        </w:rPr>
        <w:fldChar w:fldCharType="begin"/>
      </w:r>
      <w:r>
        <w:rPr>
          <w:rFonts w:hint="eastAsia" w:ascii="宋体" w:hAnsi="宋体" w:eastAsia="宋体" w:cs="宋体"/>
          <w:sz w:val="21"/>
          <w:szCs w:val="21"/>
          <w:highlight w:val="none"/>
        </w:rPr>
        <w:instrText xml:space="preserve"> HYPERLINK \l _Toc13901 </w:instrText>
      </w:r>
      <w:r>
        <w:rPr>
          <w:rFonts w:hint="eastAsia" w:ascii="宋体" w:hAnsi="宋体" w:eastAsia="宋体" w:cs="宋体"/>
          <w:sz w:val="21"/>
          <w:szCs w:val="21"/>
          <w:highlight w:val="none"/>
        </w:rPr>
        <w:fldChar w:fldCharType="separate"/>
      </w:r>
      <w:r>
        <w:rPr>
          <w:rFonts w:hint="eastAsia" w:ascii="宋体" w:hAnsi="宋体" w:eastAsia="宋体" w:cs="宋体"/>
          <w:sz w:val="21"/>
          <w:szCs w:val="21"/>
        </w:rPr>
        <w:t xml:space="preserve">八、 </w:t>
      </w:r>
      <w:r>
        <w:rPr>
          <w:rFonts w:hint="eastAsia" w:ascii="宋体" w:hAnsi="宋体" w:eastAsia="宋体" w:cs="宋体"/>
          <w:sz w:val="21"/>
          <w:szCs w:val="21"/>
          <w:highlight w:val="none"/>
        </w:rPr>
        <w:t>其他</w:t>
      </w:r>
      <w:r>
        <w:rPr>
          <w:rFonts w:hint="eastAsia" w:ascii="宋体" w:hAnsi="宋体" w:eastAsia="宋体" w:cs="宋体"/>
          <w:sz w:val="21"/>
          <w:szCs w:val="21"/>
        </w:rPr>
        <w:tab/>
      </w:r>
      <w:r>
        <w:rPr>
          <w:rFonts w:hint="eastAsia" w:ascii="宋体" w:hAnsi="宋体" w:eastAsia="宋体" w:cs="宋体"/>
          <w:sz w:val="21"/>
          <w:szCs w:val="21"/>
        </w:rPr>
        <w:fldChar w:fldCharType="begin"/>
      </w:r>
      <w:r>
        <w:rPr>
          <w:rFonts w:hint="eastAsia" w:ascii="宋体" w:hAnsi="宋体" w:eastAsia="宋体" w:cs="宋体"/>
          <w:sz w:val="21"/>
          <w:szCs w:val="21"/>
        </w:rPr>
        <w:instrText xml:space="preserve"> PAGEREF _Toc13901 \h </w:instrText>
      </w:r>
      <w:r>
        <w:rPr>
          <w:rFonts w:hint="eastAsia" w:ascii="宋体" w:hAnsi="宋体" w:eastAsia="宋体" w:cs="宋体"/>
          <w:sz w:val="21"/>
          <w:szCs w:val="21"/>
        </w:rPr>
        <w:fldChar w:fldCharType="separate"/>
      </w:r>
      <w:r>
        <w:rPr>
          <w:rFonts w:hint="eastAsia" w:ascii="宋体" w:hAnsi="宋体" w:eastAsia="宋体" w:cs="宋体"/>
          <w:sz w:val="21"/>
          <w:szCs w:val="21"/>
        </w:rPr>
        <w:t>36</w:t>
      </w:r>
      <w:r>
        <w:rPr>
          <w:rFonts w:hint="eastAsia" w:ascii="宋体" w:hAnsi="宋体" w:eastAsia="宋体" w:cs="宋体"/>
          <w:sz w:val="21"/>
          <w:szCs w:val="21"/>
        </w:rPr>
        <w:fldChar w:fldCharType="end"/>
      </w:r>
      <w:r>
        <w:rPr>
          <w:rFonts w:hint="eastAsia" w:ascii="宋体" w:hAnsi="宋体" w:eastAsia="宋体" w:cs="宋体"/>
          <w:color w:val="auto"/>
          <w:sz w:val="21"/>
          <w:szCs w:val="21"/>
          <w:highlight w:val="none"/>
        </w:rPr>
        <w:fldChar w:fldCharType="end"/>
      </w:r>
    </w:p>
    <w:p w14:paraId="1561D2EE">
      <w:pPr>
        <w:pStyle w:val="11"/>
        <w:tabs>
          <w:tab w:val="right" w:leader="dot" w:pos="8306"/>
          <w:tab w:val="clear" w:pos="8296"/>
        </w:tabs>
        <w:rPr>
          <w:rFonts w:hint="eastAsia" w:ascii="宋体" w:hAnsi="宋体" w:eastAsia="宋体" w:cs="宋体"/>
          <w:sz w:val="21"/>
          <w:szCs w:val="21"/>
        </w:rPr>
      </w:pPr>
      <w:r>
        <w:rPr>
          <w:rFonts w:hint="eastAsia" w:ascii="宋体" w:hAnsi="宋体" w:eastAsia="宋体" w:cs="宋体"/>
          <w:color w:val="auto"/>
          <w:sz w:val="21"/>
          <w:szCs w:val="21"/>
          <w:highlight w:val="none"/>
        </w:rPr>
        <w:fldChar w:fldCharType="begin"/>
      </w:r>
      <w:r>
        <w:rPr>
          <w:rFonts w:hint="eastAsia" w:ascii="宋体" w:hAnsi="宋体" w:eastAsia="宋体" w:cs="宋体"/>
          <w:sz w:val="21"/>
          <w:szCs w:val="21"/>
          <w:highlight w:val="none"/>
        </w:rPr>
        <w:instrText xml:space="preserve"> HYPERLINK \l _Toc8704 </w:instrText>
      </w:r>
      <w:r>
        <w:rPr>
          <w:rFonts w:hint="eastAsia" w:ascii="宋体" w:hAnsi="宋体" w:eastAsia="宋体" w:cs="宋体"/>
          <w:sz w:val="21"/>
          <w:szCs w:val="21"/>
          <w:highlight w:val="none"/>
        </w:rPr>
        <w:fldChar w:fldCharType="separate"/>
      </w:r>
      <w:r>
        <w:rPr>
          <w:rFonts w:hint="eastAsia" w:ascii="宋体" w:hAnsi="宋体" w:eastAsia="宋体" w:cs="宋体"/>
          <w:sz w:val="21"/>
          <w:szCs w:val="21"/>
        </w:rPr>
        <w:t xml:space="preserve">36. </w:t>
      </w:r>
      <w:r>
        <w:rPr>
          <w:rFonts w:hint="eastAsia" w:ascii="宋体" w:hAnsi="宋体" w:eastAsia="宋体" w:cs="宋体"/>
          <w:sz w:val="21"/>
          <w:szCs w:val="21"/>
          <w:highlight w:val="none"/>
        </w:rPr>
        <w:t>采购文件的解释权</w:t>
      </w:r>
      <w:r>
        <w:rPr>
          <w:rFonts w:hint="eastAsia" w:ascii="宋体" w:hAnsi="宋体" w:eastAsia="宋体" w:cs="宋体"/>
          <w:sz w:val="21"/>
          <w:szCs w:val="21"/>
        </w:rPr>
        <w:tab/>
      </w:r>
      <w:r>
        <w:rPr>
          <w:rFonts w:hint="eastAsia" w:ascii="宋体" w:hAnsi="宋体" w:eastAsia="宋体" w:cs="宋体"/>
          <w:sz w:val="21"/>
          <w:szCs w:val="21"/>
        </w:rPr>
        <w:fldChar w:fldCharType="begin"/>
      </w:r>
      <w:r>
        <w:rPr>
          <w:rFonts w:hint="eastAsia" w:ascii="宋体" w:hAnsi="宋体" w:eastAsia="宋体" w:cs="宋体"/>
          <w:sz w:val="21"/>
          <w:szCs w:val="21"/>
        </w:rPr>
        <w:instrText xml:space="preserve"> PAGEREF _Toc8704 \h </w:instrText>
      </w:r>
      <w:r>
        <w:rPr>
          <w:rFonts w:hint="eastAsia" w:ascii="宋体" w:hAnsi="宋体" w:eastAsia="宋体" w:cs="宋体"/>
          <w:sz w:val="21"/>
          <w:szCs w:val="21"/>
        </w:rPr>
        <w:fldChar w:fldCharType="separate"/>
      </w:r>
      <w:r>
        <w:rPr>
          <w:rFonts w:hint="eastAsia" w:ascii="宋体" w:hAnsi="宋体" w:eastAsia="宋体" w:cs="宋体"/>
          <w:sz w:val="21"/>
          <w:szCs w:val="21"/>
        </w:rPr>
        <w:t>36</w:t>
      </w:r>
      <w:r>
        <w:rPr>
          <w:rFonts w:hint="eastAsia" w:ascii="宋体" w:hAnsi="宋体" w:eastAsia="宋体" w:cs="宋体"/>
          <w:sz w:val="21"/>
          <w:szCs w:val="21"/>
        </w:rPr>
        <w:fldChar w:fldCharType="end"/>
      </w:r>
      <w:r>
        <w:rPr>
          <w:rFonts w:hint="eastAsia" w:ascii="宋体" w:hAnsi="宋体" w:eastAsia="宋体" w:cs="宋体"/>
          <w:color w:val="auto"/>
          <w:sz w:val="21"/>
          <w:szCs w:val="21"/>
          <w:highlight w:val="none"/>
        </w:rPr>
        <w:fldChar w:fldCharType="end"/>
      </w:r>
    </w:p>
    <w:p w14:paraId="4075989E">
      <w:pPr>
        <w:pStyle w:val="13"/>
        <w:tabs>
          <w:tab w:val="right" w:leader="dot" w:pos="8306"/>
          <w:tab w:val="clear" w:pos="8296"/>
        </w:tabs>
        <w:rPr>
          <w:rFonts w:hint="eastAsia" w:ascii="宋体" w:hAnsi="宋体" w:eastAsia="宋体" w:cs="宋体"/>
          <w:sz w:val="21"/>
          <w:szCs w:val="21"/>
        </w:rPr>
      </w:pPr>
      <w:r>
        <w:rPr>
          <w:rFonts w:hint="eastAsia" w:ascii="宋体" w:hAnsi="宋体" w:eastAsia="宋体" w:cs="宋体"/>
          <w:color w:val="auto"/>
          <w:sz w:val="21"/>
          <w:szCs w:val="21"/>
          <w:highlight w:val="none"/>
        </w:rPr>
        <w:fldChar w:fldCharType="begin"/>
      </w:r>
      <w:r>
        <w:rPr>
          <w:rFonts w:hint="eastAsia" w:ascii="宋体" w:hAnsi="宋体" w:eastAsia="宋体" w:cs="宋体"/>
          <w:sz w:val="21"/>
          <w:szCs w:val="21"/>
          <w:highlight w:val="none"/>
        </w:rPr>
        <w:instrText xml:space="preserve"> HYPERLINK \l _Toc19235 </w:instrText>
      </w:r>
      <w:r>
        <w:rPr>
          <w:rFonts w:hint="eastAsia" w:ascii="宋体" w:hAnsi="宋体" w:eastAsia="宋体" w:cs="宋体"/>
          <w:sz w:val="21"/>
          <w:szCs w:val="21"/>
          <w:highlight w:val="none"/>
        </w:rPr>
        <w:fldChar w:fldCharType="separate"/>
      </w:r>
      <w:r>
        <w:rPr>
          <w:rFonts w:hint="eastAsia" w:ascii="宋体" w:hAnsi="宋体" w:eastAsia="宋体" w:cs="宋体"/>
          <w:sz w:val="21"/>
          <w:szCs w:val="21"/>
        </w:rPr>
        <w:t xml:space="preserve">第五部分 </w:t>
      </w:r>
      <w:r>
        <w:rPr>
          <w:rFonts w:hint="eastAsia" w:ascii="宋体" w:hAnsi="宋体" w:eastAsia="宋体" w:cs="宋体"/>
          <w:sz w:val="21"/>
          <w:szCs w:val="21"/>
          <w:highlight w:val="none"/>
        </w:rPr>
        <w:t>合同条款格式</w:t>
      </w:r>
      <w:r>
        <w:rPr>
          <w:rFonts w:hint="eastAsia" w:ascii="宋体" w:hAnsi="宋体" w:eastAsia="宋体" w:cs="宋体"/>
          <w:sz w:val="21"/>
          <w:szCs w:val="21"/>
        </w:rPr>
        <w:tab/>
      </w:r>
      <w:r>
        <w:rPr>
          <w:rFonts w:hint="eastAsia" w:ascii="宋体" w:hAnsi="宋体" w:eastAsia="宋体" w:cs="宋体"/>
          <w:sz w:val="21"/>
          <w:szCs w:val="21"/>
        </w:rPr>
        <w:fldChar w:fldCharType="begin"/>
      </w:r>
      <w:r>
        <w:rPr>
          <w:rFonts w:hint="eastAsia" w:ascii="宋体" w:hAnsi="宋体" w:eastAsia="宋体" w:cs="宋体"/>
          <w:sz w:val="21"/>
          <w:szCs w:val="21"/>
        </w:rPr>
        <w:instrText xml:space="preserve"> PAGEREF _Toc19235 \h </w:instrText>
      </w:r>
      <w:r>
        <w:rPr>
          <w:rFonts w:hint="eastAsia" w:ascii="宋体" w:hAnsi="宋体" w:eastAsia="宋体" w:cs="宋体"/>
          <w:sz w:val="21"/>
          <w:szCs w:val="21"/>
        </w:rPr>
        <w:fldChar w:fldCharType="separate"/>
      </w:r>
      <w:r>
        <w:rPr>
          <w:rFonts w:hint="eastAsia" w:ascii="宋体" w:hAnsi="宋体" w:eastAsia="宋体" w:cs="宋体"/>
          <w:sz w:val="21"/>
          <w:szCs w:val="21"/>
        </w:rPr>
        <w:t>37</w:t>
      </w:r>
      <w:r>
        <w:rPr>
          <w:rFonts w:hint="eastAsia" w:ascii="宋体" w:hAnsi="宋体" w:eastAsia="宋体" w:cs="宋体"/>
          <w:sz w:val="21"/>
          <w:szCs w:val="21"/>
        </w:rPr>
        <w:fldChar w:fldCharType="end"/>
      </w:r>
      <w:r>
        <w:rPr>
          <w:rFonts w:hint="eastAsia" w:ascii="宋体" w:hAnsi="宋体" w:eastAsia="宋体" w:cs="宋体"/>
          <w:color w:val="auto"/>
          <w:sz w:val="21"/>
          <w:szCs w:val="21"/>
          <w:highlight w:val="none"/>
        </w:rPr>
        <w:fldChar w:fldCharType="end"/>
      </w:r>
    </w:p>
    <w:p w14:paraId="5ECE7248">
      <w:pPr>
        <w:pStyle w:val="13"/>
        <w:tabs>
          <w:tab w:val="right" w:leader="dot" w:pos="8306"/>
          <w:tab w:val="clear" w:pos="8296"/>
        </w:tabs>
        <w:rPr>
          <w:rFonts w:hint="eastAsia" w:ascii="宋体" w:hAnsi="宋体" w:eastAsia="宋体" w:cs="宋体"/>
          <w:sz w:val="21"/>
          <w:szCs w:val="21"/>
        </w:rPr>
      </w:pPr>
      <w:r>
        <w:rPr>
          <w:rFonts w:hint="eastAsia" w:ascii="宋体" w:hAnsi="宋体" w:eastAsia="宋体" w:cs="宋体"/>
          <w:color w:val="auto"/>
          <w:sz w:val="21"/>
          <w:szCs w:val="21"/>
          <w:highlight w:val="none"/>
        </w:rPr>
        <w:fldChar w:fldCharType="begin"/>
      </w:r>
      <w:r>
        <w:rPr>
          <w:rFonts w:hint="eastAsia" w:ascii="宋体" w:hAnsi="宋体" w:eastAsia="宋体" w:cs="宋体"/>
          <w:sz w:val="21"/>
          <w:szCs w:val="21"/>
          <w:highlight w:val="none"/>
        </w:rPr>
        <w:instrText xml:space="preserve"> HYPERLINK \l _Toc12789 </w:instrText>
      </w:r>
      <w:r>
        <w:rPr>
          <w:rFonts w:hint="eastAsia" w:ascii="宋体" w:hAnsi="宋体" w:eastAsia="宋体" w:cs="宋体"/>
          <w:sz w:val="21"/>
          <w:szCs w:val="21"/>
          <w:highlight w:val="none"/>
        </w:rPr>
        <w:fldChar w:fldCharType="separate"/>
      </w:r>
      <w:r>
        <w:rPr>
          <w:rFonts w:hint="eastAsia" w:ascii="宋体" w:hAnsi="宋体" w:eastAsia="宋体" w:cs="宋体"/>
          <w:sz w:val="21"/>
          <w:szCs w:val="21"/>
          <w:highlight w:val="none"/>
        </w:rPr>
        <w:t>第六部分附件－投标文件格式</w:t>
      </w:r>
      <w:r>
        <w:rPr>
          <w:rFonts w:hint="eastAsia" w:ascii="宋体" w:hAnsi="宋体" w:eastAsia="宋体" w:cs="宋体"/>
          <w:sz w:val="21"/>
          <w:szCs w:val="21"/>
        </w:rPr>
        <w:tab/>
      </w:r>
      <w:r>
        <w:rPr>
          <w:rFonts w:hint="eastAsia" w:ascii="宋体" w:hAnsi="宋体" w:eastAsia="宋体" w:cs="宋体"/>
          <w:sz w:val="21"/>
          <w:szCs w:val="21"/>
        </w:rPr>
        <w:fldChar w:fldCharType="begin"/>
      </w:r>
      <w:r>
        <w:rPr>
          <w:rFonts w:hint="eastAsia" w:ascii="宋体" w:hAnsi="宋体" w:eastAsia="宋体" w:cs="宋体"/>
          <w:sz w:val="21"/>
          <w:szCs w:val="21"/>
        </w:rPr>
        <w:instrText xml:space="preserve"> PAGEREF _Toc12789 \h </w:instrText>
      </w:r>
      <w:r>
        <w:rPr>
          <w:rFonts w:hint="eastAsia" w:ascii="宋体" w:hAnsi="宋体" w:eastAsia="宋体" w:cs="宋体"/>
          <w:sz w:val="21"/>
          <w:szCs w:val="21"/>
        </w:rPr>
        <w:fldChar w:fldCharType="separate"/>
      </w:r>
      <w:r>
        <w:rPr>
          <w:rFonts w:hint="eastAsia" w:ascii="宋体" w:hAnsi="宋体" w:eastAsia="宋体" w:cs="宋体"/>
          <w:sz w:val="21"/>
          <w:szCs w:val="21"/>
        </w:rPr>
        <w:t>51</w:t>
      </w:r>
      <w:r>
        <w:rPr>
          <w:rFonts w:hint="eastAsia" w:ascii="宋体" w:hAnsi="宋体" w:eastAsia="宋体" w:cs="宋体"/>
          <w:sz w:val="21"/>
          <w:szCs w:val="21"/>
        </w:rPr>
        <w:fldChar w:fldCharType="end"/>
      </w:r>
      <w:r>
        <w:rPr>
          <w:rFonts w:hint="eastAsia" w:ascii="宋体" w:hAnsi="宋体" w:eastAsia="宋体" w:cs="宋体"/>
          <w:color w:val="auto"/>
          <w:sz w:val="21"/>
          <w:szCs w:val="21"/>
          <w:highlight w:val="none"/>
        </w:rPr>
        <w:fldChar w:fldCharType="end"/>
      </w:r>
    </w:p>
    <w:p w14:paraId="0B153169">
      <w:pPr>
        <w:pStyle w:val="11"/>
        <w:tabs>
          <w:tab w:val="right" w:leader="dot" w:pos="8306"/>
          <w:tab w:val="clear" w:pos="8296"/>
        </w:tabs>
        <w:rPr>
          <w:rFonts w:hint="eastAsia" w:ascii="宋体" w:hAnsi="宋体" w:eastAsia="宋体" w:cs="宋体"/>
          <w:sz w:val="21"/>
          <w:szCs w:val="21"/>
        </w:rPr>
      </w:pPr>
      <w:r>
        <w:rPr>
          <w:rFonts w:hint="eastAsia" w:ascii="宋体" w:hAnsi="宋体" w:eastAsia="宋体" w:cs="宋体"/>
          <w:color w:val="auto"/>
          <w:sz w:val="21"/>
          <w:szCs w:val="21"/>
          <w:highlight w:val="none"/>
        </w:rPr>
        <w:fldChar w:fldCharType="begin"/>
      </w:r>
      <w:r>
        <w:rPr>
          <w:rFonts w:hint="eastAsia" w:ascii="宋体" w:hAnsi="宋体" w:eastAsia="宋体" w:cs="宋体"/>
          <w:sz w:val="21"/>
          <w:szCs w:val="21"/>
          <w:highlight w:val="none"/>
        </w:rPr>
        <w:instrText xml:space="preserve"> HYPERLINK \l _Toc8707 </w:instrText>
      </w:r>
      <w:r>
        <w:rPr>
          <w:rFonts w:hint="eastAsia" w:ascii="宋体" w:hAnsi="宋体" w:eastAsia="宋体" w:cs="宋体"/>
          <w:sz w:val="21"/>
          <w:szCs w:val="21"/>
          <w:highlight w:val="none"/>
        </w:rPr>
        <w:fldChar w:fldCharType="separate"/>
      </w:r>
      <w:r>
        <w:rPr>
          <w:rFonts w:hint="eastAsia" w:ascii="宋体" w:hAnsi="宋体" w:eastAsia="宋体" w:cs="宋体"/>
          <w:sz w:val="21"/>
          <w:szCs w:val="21"/>
          <w:highlight w:val="none"/>
        </w:rPr>
        <w:t>投标文件目录</w:t>
      </w:r>
      <w:r>
        <w:rPr>
          <w:rFonts w:hint="eastAsia" w:ascii="宋体" w:hAnsi="宋体" w:eastAsia="宋体" w:cs="宋体"/>
          <w:sz w:val="21"/>
          <w:szCs w:val="21"/>
        </w:rPr>
        <w:tab/>
      </w:r>
      <w:r>
        <w:rPr>
          <w:rFonts w:hint="eastAsia" w:ascii="宋体" w:hAnsi="宋体" w:eastAsia="宋体" w:cs="宋体"/>
          <w:sz w:val="21"/>
          <w:szCs w:val="21"/>
        </w:rPr>
        <w:fldChar w:fldCharType="begin"/>
      </w:r>
      <w:r>
        <w:rPr>
          <w:rFonts w:hint="eastAsia" w:ascii="宋体" w:hAnsi="宋体" w:eastAsia="宋体" w:cs="宋体"/>
          <w:sz w:val="21"/>
          <w:szCs w:val="21"/>
        </w:rPr>
        <w:instrText xml:space="preserve"> PAGEREF _Toc8707 \h </w:instrText>
      </w:r>
      <w:r>
        <w:rPr>
          <w:rFonts w:hint="eastAsia" w:ascii="宋体" w:hAnsi="宋体" w:eastAsia="宋体" w:cs="宋体"/>
          <w:sz w:val="21"/>
          <w:szCs w:val="21"/>
        </w:rPr>
        <w:fldChar w:fldCharType="separate"/>
      </w:r>
      <w:r>
        <w:rPr>
          <w:rFonts w:hint="eastAsia" w:ascii="宋体" w:hAnsi="宋体" w:eastAsia="宋体" w:cs="宋体"/>
          <w:sz w:val="21"/>
          <w:szCs w:val="21"/>
        </w:rPr>
        <w:t>51</w:t>
      </w:r>
      <w:r>
        <w:rPr>
          <w:rFonts w:hint="eastAsia" w:ascii="宋体" w:hAnsi="宋体" w:eastAsia="宋体" w:cs="宋体"/>
          <w:sz w:val="21"/>
          <w:szCs w:val="21"/>
        </w:rPr>
        <w:fldChar w:fldCharType="end"/>
      </w:r>
      <w:r>
        <w:rPr>
          <w:rFonts w:hint="eastAsia" w:ascii="宋体" w:hAnsi="宋体" w:eastAsia="宋体" w:cs="宋体"/>
          <w:color w:val="auto"/>
          <w:sz w:val="21"/>
          <w:szCs w:val="21"/>
          <w:highlight w:val="none"/>
        </w:rPr>
        <w:fldChar w:fldCharType="end"/>
      </w:r>
    </w:p>
    <w:p w14:paraId="4C5F1A1A">
      <w:pPr>
        <w:pStyle w:val="13"/>
        <w:tabs>
          <w:tab w:val="right" w:leader="dot" w:pos="8306"/>
          <w:tab w:val="clear" w:pos="8296"/>
        </w:tabs>
        <w:rPr>
          <w:rFonts w:hint="eastAsia" w:ascii="宋体" w:hAnsi="宋体" w:eastAsia="宋体" w:cs="宋体"/>
          <w:sz w:val="21"/>
          <w:szCs w:val="21"/>
        </w:rPr>
      </w:pPr>
      <w:r>
        <w:rPr>
          <w:rFonts w:hint="eastAsia" w:ascii="宋体" w:hAnsi="宋体" w:eastAsia="宋体" w:cs="宋体"/>
          <w:color w:val="auto"/>
          <w:sz w:val="21"/>
          <w:szCs w:val="21"/>
          <w:highlight w:val="none"/>
        </w:rPr>
        <w:fldChar w:fldCharType="begin"/>
      </w:r>
      <w:r>
        <w:rPr>
          <w:rFonts w:hint="eastAsia" w:ascii="宋体" w:hAnsi="宋体" w:eastAsia="宋体" w:cs="宋体"/>
          <w:sz w:val="21"/>
          <w:szCs w:val="21"/>
          <w:highlight w:val="none"/>
        </w:rPr>
        <w:instrText xml:space="preserve"> HYPERLINK \l _Toc17082 </w:instrText>
      </w:r>
      <w:r>
        <w:rPr>
          <w:rFonts w:hint="eastAsia" w:ascii="宋体" w:hAnsi="宋体" w:eastAsia="宋体" w:cs="宋体"/>
          <w:sz w:val="21"/>
          <w:szCs w:val="21"/>
          <w:highlight w:val="none"/>
        </w:rPr>
        <w:fldChar w:fldCharType="separate"/>
      </w:r>
      <w:r>
        <w:rPr>
          <w:rFonts w:hint="eastAsia" w:ascii="宋体" w:hAnsi="宋体" w:eastAsia="宋体" w:cs="宋体"/>
          <w:sz w:val="21"/>
          <w:szCs w:val="21"/>
          <w:highlight w:val="none"/>
          <w:lang w:val="en-US" w:eastAsia="zh-CN"/>
        </w:rPr>
        <w:t>投标</w:t>
      </w:r>
      <w:r>
        <w:rPr>
          <w:rFonts w:hint="eastAsia" w:ascii="宋体" w:hAnsi="宋体" w:eastAsia="宋体" w:cs="宋体"/>
          <w:sz w:val="21"/>
          <w:szCs w:val="21"/>
          <w:highlight w:val="none"/>
        </w:rPr>
        <w:t>文件</w:t>
      </w:r>
      <w:r>
        <w:rPr>
          <w:rFonts w:hint="eastAsia" w:ascii="宋体" w:hAnsi="宋体" w:eastAsia="宋体" w:cs="宋体"/>
          <w:sz w:val="21"/>
          <w:szCs w:val="21"/>
        </w:rPr>
        <w:tab/>
      </w:r>
      <w:r>
        <w:rPr>
          <w:rFonts w:hint="eastAsia" w:ascii="宋体" w:hAnsi="宋体" w:eastAsia="宋体" w:cs="宋体"/>
          <w:sz w:val="21"/>
          <w:szCs w:val="21"/>
        </w:rPr>
        <w:fldChar w:fldCharType="begin"/>
      </w:r>
      <w:r>
        <w:rPr>
          <w:rFonts w:hint="eastAsia" w:ascii="宋体" w:hAnsi="宋体" w:eastAsia="宋体" w:cs="宋体"/>
          <w:sz w:val="21"/>
          <w:szCs w:val="21"/>
        </w:rPr>
        <w:instrText xml:space="preserve"> PAGEREF _Toc17082 \h </w:instrText>
      </w:r>
      <w:r>
        <w:rPr>
          <w:rFonts w:hint="eastAsia" w:ascii="宋体" w:hAnsi="宋体" w:eastAsia="宋体" w:cs="宋体"/>
          <w:sz w:val="21"/>
          <w:szCs w:val="21"/>
        </w:rPr>
        <w:fldChar w:fldCharType="separate"/>
      </w:r>
      <w:r>
        <w:rPr>
          <w:rFonts w:hint="eastAsia" w:ascii="宋体" w:hAnsi="宋体" w:eastAsia="宋体" w:cs="宋体"/>
          <w:sz w:val="21"/>
          <w:szCs w:val="21"/>
        </w:rPr>
        <w:t>52</w:t>
      </w:r>
      <w:r>
        <w:rPr>
          <w:rFonts w:hint="eastAsia" w:ascii="宋体" w:hAnsi="宋体" w:eastAsia="宋体" w:cs="宋体"/>
          <w:sz w:val="21"/>
          <w:szCs w:val="21"/>
        </w:rPr>
        <w:fldChar w:fldCharType="end"/>
      </w:r>
      <w:r>
        <w:rPr>
          <w:rFonts w:hint="eastAsia" w:ascii="宋体" w:hAnsi="宋体" w:eastAsia="宋体" w:cs="宋体"/>
          <w:color w:val="auto"/>
          <w:sz w:val="21"/>
          <w:szCs w:val="21"/>
          <w:highlight w:val="none"/>
        </w:rPr>
        <w:fldChar w:fldCharType="end"/>
      </w:r>
    </w:p>
    <w:p w14:paraId="3D466707">
      <w:pPr>
        <w:pStyle w:val="11"/>
        <w:tabs>
          <w:tab w:val="right" w:leader="dot" w:pos="8306"/>
          <w:tab w:val="clear" w:pos="8296"/>
        </w:tabs>
        <w:rPr>
          <w:rFonts w:hint="eastAsia" w:ascii="宋体" w:hAnsi="宋体" w:eastAsia="宋体" w:cs="宋体"/>
          <w:sz w:val="21"/>
          <w:szCs w:val="21"/>
        </w:rPr>
      </w:pPr>
      <w:r>
        <w:rPr>
          <w:rFonts w:hint="eastAsia" w:ascii="宋体" w:hAnsi="宋体" w:eastAsia="宋体" w:cs="宋体"/>
          <w:color w:val="auto"/>
          <w:sz w:val="21"/>
          <w:szCs w:val="21"/>
          <w:highlight w:val="none"/>
        </w:rPr>
        <w:fldChar w:fldCharType="begin"/>
      </w:r>
      <w:r>
        <w:rPr>
          <w:rFonts w:hint="eastAsia" w:ascii="宋体" w:hAnsi="宋体" w:eastAsia="宋体" w:cs="宋体"/>
          <w:sz w:val="21"/>
          <w:szCs w:val="21"/>
          <w:highlight w:val="none"/>
        </w:rPr>
        <w:instrText xml:space="preserve"> HYPERLINK \l _Toc12960 </w:instrText>
      </w:r>
      <w:r>
        <w:rPr>
          <w:rFonts w:hint="eastAsia" w:ascii="宋体" w:hAnsi="宋体" w:eastAsia="宋体" w:cs="宋体"/>
          <w:sz w:val="21"/>
          <w:szCs w:val="21"/>
          <w:highlight w:val="none"/>
        </w:rPr>
        <w:fldChar w:fldCharType="separate"/>
      </w:r>
      <w:r>
        <w:rPr>
          <w:rFonts w:hint="eastAsia" w:ascii="宋体" w:hAnsi="宋体" w:eastAsia="宋体" w:cs="宋体"/>
          <w:sz w:val="21"/>
          <w:szCs w:val="21"/>
          <w:highlight w:val="none"/>
        </w:rPr>
        <w:t>附件</w:t>
      </w:r>
      <w:r>
        <w:rPr>
          <w:rFonts w:hint="eastAsia" w:ascii="宋体" w:hAnsi="宋体" w:eastAsia="宋体" w:cs="宋体"/>
          <w:sz w:val="21"/>
          <w:szCs w:val="21"/>
          <w:highlight w:val="none"/>
          <w:lang w:val="en-US" w:eastAsia="zh-CN"/>
        </w:rPr>
        <w:t>1</w:t>
      </w:r>
      <w:r>
        <w:rPr>
          <w:rFonts w:hint="eastAsia" w:ascii="宋体" w:hAnsi="宋体" w:eastAsia="宋体" w:cs="宋体"/>
          <w:sz w:val="21"/>
          <w:szCs w:val="21"/>
          <w:highlight w:val="none"/>
        </w:rPr>
        <w:t>.开标一览表格式</w:t>
      </w:r>
      <w:r>
        <w:rPr>
          <w:rFonts w:hint="eastAsia" w:ascii="宋体" w:hAnsi="宋体" w:eastAsia="宋体" w:cs="宋体"/>
          <w:sz w:val="21"/>
          <w:szCs w:val="21"/>
        </w:rPr>
        <w:tab/>
      </w:r>
      <w:r>
        <w:rPr>
          <w:rFonts w:hint="eastAsia" w:ascii="宋体" w:hAnsi="宋体" w:eastAsia="宋体" w:cs="宋体"/>
          <w:sz w:val="21"/>
          <w:szCs w:val="21"/>
        </w:rPr>
        <w:fldChar w:fldCharType="begin"/>
      </w:r>
      <w:r>
        <w:rPr>
          <w:rFonts w:hint="eastAsia" w:ascii="宋体" w:hAnsi="宋体" w:eastAsia="宋体" w:cs="宋体"/>
          <w:sz w:val="21"/>
          <w:szCs w:val="21"/>
        </w:rPr>
        <w:instrText xml:space="preserve"> PAGEREF _Toc12960 \h </w:instrText>
      </w:r>
      <w:r>
        <w:rPr>
          <w:rFonts w:hint="eastAsia" w:ascii="宋体" w:hAnsi="宋体" w:eastAsia="宋体" w:cs="宋体"/>
          <w:sz w:val="21"/>
          <w:szCs w:val="21"/>
        </w:rPr>
        <w:fldChar w:fldCharType="separate"/>
      </w:r>
      <w:r>
        <w:rPr>
          <w:rFonts w:hint="eastAsia" w:ascii="宋体" w:hAnsi="宋体" w:eastAsia="宋体" w:cs="宋体"/>
          <w:sz w:val="21"/>
          <w:szCs w:val="21"/>
        </w:rPr>
        <w:t>53</w:t>
      </w:r>
      <w:r>
        <w:rPr>
          <w:rFonts w:hint="eastAsia" w:ascii="宋体" w:hAnsi="宋体" w:eastAsia="宋体" w:cs="宋体"/>
          <w:sz w:val="21"/>
          <w:szCs w:val="21"/>
        </w:rPr>
        <w:fldChar w:fldCharType="end"/>
      </w:r>
      <w:r>
        <w:rPr>
          <w:rFonts w:hint="eastAsia" w:ascii="宋体" w:hAnsi="宋体" w:eastAsia="宋体" w:cs="宋体"/>
          <w:color w:val="auto"/>
          <w:sz w:val="21"/>
          <w:szCs w:val="21"/>
          <w:highlight w:val="none"/>
        </w:rPr>
        <w:fldChar w:fldCharType="end"/>
      </w:r>
    </w:p>
    <w:p w14:paraId="5D15CD6F">
      <w:pPr>
        <w:pStyle w:val="11"/>
        <w:tabs>
          <w:tab w:val="right" w:leader="dot" w:pos="8306"/>
          <w:tab w:val="clear" w:pos="8296"/>
        </w:tabs>
        <w:rPr>
          <w:rFonts w:hint="eastAsia" w:ascii="宋体" w:hAnsi="宋体" w:eastAsia="宋体" w:cs="宋体"/>
          <w:sz w:val="21"/>
          <w:szCs w:val="21"/>
        </w:rPr>
      </w:pPr>
      <w:r>
        <w:rPr>
          <w:rFonts w:hint="eastAsia" w:ascii="宋体" w:hAnsi="宋体" w:eastAsia="宋体" w:cs="宋体"/>
          <w:color w:val="auto"/>
          <w:sz w:val="21"/>
          <w:szCs w:val="21"/>
          <w:highlight w:val="none"/>
        </w:rPr>
        <w:fldChar w:fldCharType="begin"/>
      </w:r>
      <w:r>
        <w:rPr>
          <w:rFonts w:hint="eastAsia" w:ascii="宋体" w:hAnsi="宋体" w:eastAsia="宋体" w:cs="宋体"/>
          <w:sz w:val="21"/>
          <w:szCs w:val="21"/>
          <w:highlight w:val="none"/>
        </w:rPr>
        <w:instrText xml:space="preserve"> HYPERLINK \l _Toc16059 </w:instrText>
      </w:r>
      <w:r>
        <w:rPr>
          <w:rFonts w:hint="eastAsia" w:ascii="宋体" w:hAnsi="宋体" w:eastAsia="宋体" w:cs="宋体"/>
          <w:sz w:val="21"/>
          <w:szCs w:val="21"/>
          <w:highlight w:val="none"/>
        </w:rPr>
        <w:fldChar w:fldCharType="separate"/>
      </w:r>
      <w:r>
        <w:rPr>
          <w:rFonts w:hint="eastAsia" w:ascii="宋体" w:hAnsi="宋体" w:eastAsia="宋体" w:cs="宋体"/>
          <w:bCs/>
          <w:sz w:val="21"/>
          <w:szCs w:val="21"/>
          <w:highlight w:val="none"/>
        </w:rPr>
        <w:t>附件</w:t>
      </w:r>
      <w:r>
        <w:rPr>
          <w:rFonts w:hint="eastAsia" w:ascii="宋体" w:hAnsi="宋体" w:eastAsia="宋体" w:cs="宋体"/>
          <w:bCs/>
          <w:sz w:val="21"/>
          <w:szCs w:val="21"/>
          <w:highlight w:val="none"/>
          <w:lang w:val="en-US" w:eastAsia="zh-CN"/>
        </w:rPr>
        <w:t>2</w:t>
      </w:r>
      <w:r>
        <w:rPr>
          <w:rFonts w:hint="eastAsia" w:ascii="宋体" w:hAnsi="宋体" w:eastAsia="宋体" w:cs="宋体"/>
          <w:bCs/>
          <w:sz w:val="21"/>
          <w:szCs w:val="21"/>
          <w:highlight w:val="none"/>
        </w:rPr>
        <w:t>.投标书格式</w:t>
      </w:r>
      <w:r>
        <w:rPr>
          <w:rFonts w:hint="eastAsia" w:ascii="宋体" w:hAnsi="宋体" w:eastAsia="宋体" w:cs="宋体"/>
          <w:sz w:val="21"/>
          <w:szCs w:val="21"/>
        </w:rPr>
        <w:tab/>
      </w:r>
      <w:r>
        <w:rPr>
          <w:rFonts w:hint="eastAsia" w:ascii="宋体" w:hAnsi="宋体" w:eastAsia="宋体" w:cs="宋体"/>
          <w:sz w:val="21"/>
          <w:szCs w:val="21"/>
        </w:rPr>
        <w:fldChar w:fldCharType="begin"/>
      </w:r>
      <w:r>
        <w:rPr>
          <w:rFonts w:hint="eastAsia" w:ascii="宋体" w:hAnsi="宋体" w:eastAsia="宋体" w:cs="宋体"/>
          <w:sz w:val="21"/>
          <w:szCs w:val="21"/>
        </w:rPr>
        <w:instrText xml:space="preserve"> PAGEREF _Toc16059 \h </w:instrText>
      </w:r>
      <w:r>
        <w:rPr>
          <w:rFonts w:hint="eastAsia" w:ascii="宋体" w:hAnsi="宋体" w:eastAsia="宋体" w:cs="宋体"/>
          <w:sz w:val="21"/>
          <w:szCs w:val="21"/>
        </w:rPr>
        <w:fldChar w:fldCharType="separate"/>
      </w:r>
      <w:r>
        <w:rPr>
          <w:rFonts w:hint="eastAsia" w:ascii="宋体" w:hAnsi="宋体" w:eastAsia="宋体" w:cs="宋体"/>
          <w:sz w:val="21"/>
          <w:szCs w:val="21"/>
        </w:rPr>
        <w:t>54</w:t>
      </w:r>
      <w:r>
        <w:rPr>
          <w:rFonts w:hint="eastAsia" w:ascii="宋体" w:hAnsi="宋体" w:eastAsia="宋体" w:cs="宋体"/>
          <w:sz w:val="21"/>
          <w:szCs w:val="21"/>
        </w:rPr>
        <w:fldChar w:fldCharType="end"/>
      </w:r>
      <w:r>
        <w:rPr>
          <w:rFonts w:hint="eastAsia" w:ascii="宋体" w:hAnsi="宋体" w:eastAsia="宋体" w:cs="宋体"/>
          <w:color w:val="auto"/>
          <w:sz w:val="21"/>
          <w:szCs w:val="21"/>
          <w:highlight w:val="none"/>
        </w:rPr>
        <w:fldChar w:fldCharType="end"/>
      </w:r>
    </w:p>
    <w:p w14:paraId="78E1688A">
      <w:pPr>
        <w:pStyle w:val="11"/>
        <w:tabs>
          <w:tab w:val="right" w:leader="dot" w:pos="8306"/>
          <w:tab w:val="clear" w:pos="8296"/>
        </w:tabs>
        <w:rPr>
          <w:rFonts w:hint="eastAsia" w:ascii="宋体" w:hAnsi="宋体" w:eastAsia="宋体" w:cs="宋体"/>
          <w:sz w:val="21"/>
          <w:szCs w:val="21"/>
        </w:rPr>
      </w:pPr>
      <w:r>
        <w:rPr>
          <w:rFonts w:hint="eastAsia" w:ascii="宋体" w:hAnsi="宋体" w:eastAsia="宋体" w:cs="宋体"/>
          <w:color w:val="auto"/>
          <w:sz w:val="21"/>
          <w:szCs w:val="21"/>
          <w:highlight w:val="none"/>
        </w:rPr>
        <w:fldChar w:fldCharType="begin"/>
      </w:r>
      <w:r>
        <w:rPr>
          <w:rFonts w:hint="eastAsia" w:ascii="宋体" w:hAnsi="宋体" w:eastAsia="宋体" w:cs="宋体"/>
          <w:sz w:val="21"/>
          <w:szCs w:val="21"/>
          <w:highlight w:val="none"/>
        </w:rPr>
        <w:instrText xml:space="preserve"> HYPERLINK \l _Toc20789 </w:instrText>
      </w:r>
      <w:r>
        <w:rPr>
          <w:rFonts w:hint="eastAsia" w:ascii="宋体" w:hAnsi="宋体" w:eastAsia="宋体" w:cs="宋体"/>
          <w:sz w:val="21"/>
          <w:szCs w:val="21"/>
          <w:highlight w:val="none"/>
        </w:rPr>
        <w:fldChar w:fldCharType="separate"/>
      </w:r>
      <w:r>
        <w:rPr>
          <w:rFonts w:hint="eastAsia" w:ascii="宋体" w:hAnsi="宋体" w:eastAsia="宋体" w:cs="宋体"/>
          <w:sz w:val="21"/>
          <w:szCs w:val="21"/>
          <w:highlight w:val="none"/>
        </w:rPr>
        <w:t>附件</w:t>
      </w:r>
      <w:r>
        <w:rPr>
          <w:rFonts w:hint="eastAsia" w:ascii="宋体" w:hAnsi="宋体" w:eastAsia="宋体" w:cs="宋体"/>
          <w:sz w:val="21"/>
          <w:szCs w:val="21"/>
          <w:highlight w:val="none"/>
          <w:lang w:val="en-US" w:eastAsia="zh-CN"/>
        </w:rPr>
        <w:t>3</w:t>
      </w:r>
      <w:r>
        <w:rPr>
          <w:rFonts w:hint="eastAsia" w:ascii="宋体" w:hAnsi="宋体" w:eastAsia="宋体" w:cs="宋体"/>
          <w:sz w:val="21"/>
          <w:szCs w:val="21"/>
          <w:highlight w:val="none"/>
        </w:rPr>
        <w:t>. 法定代表人证明书格式</w:t>
      </w:r>
      <w:r>
        <w:rPr>
          <w:rFonts w:hint="eastAsia" w:ascii="宋体" w:hAnsi="宋体" w:eastAsia="宋体" w:cs="宋体"/>
          <w:sz w:val="21"/>
          <w:szCs w:val="21"/>
        </w:rPr>
        <w:tab/>
      </w:r>
      <w:r>
        <w:rPr>
          <w:rFonts w:hint="eastAsia" w:ascii="宋体" w:hAnsi="宋体" w:eastAsia="宋体" w:cs="宋体"/>
          <w:sz w:val="21"/>
          <w:szCs w:val="21"/>
        </w:rPr>
        <w:fldChar w:fldCharType="begin"/>
      </w:r>
      <w:r>
        <w:rPr>
          <w:rFonts w:hint="eastAsia" w:ascii="宋体" w:hAnsi="宋体" w:eastAsia="宋体" w:cs="宋体"/>
          <w:sz w:val="21"/>
          <w:szCs w:val="21"/>
        </w:rPr>
        <w:instrText xml:space="preserve"> PAGEREF _Toc20789 \h </w:instrText>
      </w:r>
      <w:r>
        <w:rPr>
          <w:rFonts w:hint="eastAsia" w:ascii="宋体" w:hAnsi="宋体" w:eastAsia="宋体" w:cs="宋体"/>
          <w:sz w:val="21"/>
          <w:szCs w:val="21"/>
        </w:rPr>
        <w:fldChar w:fldCharType="separate"/>
      </w:r>
      <w:r>
        <w:rPr>
          <w:rFonts w:hint="eastAsia" w:ascii="宋体" w:hAnsi="宋体" w:eastAsia="宋体" w:cs="宋体"/>
          <w:sz w:val="21"/>
          <w:szCs w:val="21"/>
        </w:rPr>
        <w:t>55</w:t>
      </w:r>
      <w:r>
        <w:rPr>
          <w:rFonts w:hint="eastAsia" w:ascii="宋体" w:hAnsi="宋体" w:eastAsia="宋体" w:cs="宋体"/>
          <w:sz w:val="21"/>
          <w:szCs w:val="21"/>
        </w:rPr>
        <w:fldChar w:fldCharType="end"/>
      </w:r>
      <w:r>
        <w:rPr>
          <w:rFonts w:hint="eastAsia" w:ascii="宋体" w:hAnsi="宋体" w:eastAsia="宋体" w:cs="宋体"/>
          <w:color w:val="auto"/>
          <w:sz w:val="21"/>
          <w:szCs w:val="21"/>
          <w:highlight w:val="none"/>
        </w:rPr>
        <w:fldChar w:fldCharType="end"/>
      </w:r>
    </w:p>
    <w:p w14:paraId="1D692C99">
      <w:pPr>
        <w:pStyle w:val="11"/>
        <w:tabs>
          <w:tab w:val="right" w:leader="dot" w:pos="8306"/>
          <w:tab w:val="clear" w:pos="8296"/>
        </w:tabs>
        <w:rPr>
          <w:rFonts w:hint="eastAsia" w:ascii="宋体" w:hAnsi="宋体" w:eastAsia="宋体" w:cs="宋体"/>
          <w:sz w:val="21"/>
          <w:szCs w:val="21"/>
        </w:rPr>
      </w:pPr>
      <w:r>
        <w:rPr>
          <w:rFonts w:hint="eastAsia" w:ascii="宋体" w:hAnsi="宋体" w:eastAsia="宋体" w:cs="宋体"/>
          <w:color w:val="auto"/>
          <w:sz w:val="21"/>
          <w:szCs w:val="21"/>
          <w:highlight w:val="none"/>
        </w:rPr>
        <w:fldChar w:fldCharType="begin"/>
      </w:r>
      <w:r>
        <w:rPr>
          <w:rFonts w:hint="eastAsia" w:ascii="宋体" w:hAnsi="宋体" w:eastAsia="宋体" w:cs="宋体"/>
          <w:sz w:val="21"/>
          <w:szCs w:val="21"/>
          <w:highlight w:val="none"/>
        </w:rPr>
        <w:instrText xml:space="preserve"> HYPERLINK \l _Toc22234 </w:instrText>
      </w:r>
      <w:r>
        <w:rPr>
          <w:rFonts w:hint="eastAsia" w:ascii="宋体" w:hAnsi="宋体" w:eastAsia="宋体" w:cs="宋体"/>
          <w:sz w:val="21"/>
          <w:szCs w:val="21"/>
          <w:highlight w:val="none"/>
        </w:rPr>
        <w:fldChar w:fldCharType="separate"/>
      </w:r>
      <w:r>
        <w:rPr>
          <w:rFonts w:hint="eastAsia" w:ascii="宋体" w:hAnsi="宋体" w:eastAsia="宋体" w:cs="宋体"/>
          <w:sz w:val="21"/>
          <w:szCs w:val="21"/>
          <w:highlight w:val="none"/>
        </w:rPr>
        <w:t>附件</w:t>
      </w:r>
      <w:r>
        <w:rPr>
          <w:rFonts w:hint="eastAsia" w:ascii="宋体" w:hAnsi="宋体" w:eastAsia="宋体" w:cs="宋体"/>
          <w:sz w:val="21"/>
          <w:szCs w:val="21"/>
          <w:highlight w:val="none"/>
          <w:lang w:val="en-US" w:eastAsia="zh-CN"/>
        </w:rPr>
        <w:t>4</w:t>
      </w:r>
      <w:r>
        <w:rPr>
          <w:rFonts w:hint="eastAsia" w:ascii="宋体" w:hAnsi="宋体" w:eastAsia="宋体" w:cs="宋体"/>
          <w:sz w:val="21"/>
          <w:szCs w:val="21"/>
          <w:highlight w:val="none"/>
        </w:rPr>
        <w:t>.法定代表人授权书格式</w:t>
      </w:r>
      <w:r>
        <w:rPr>
          <w:rFonts w:hint="eastAsia" w:ascii="宋体" w:hAnsi="宋体" w:eastAsia="宋体" w:cs="宋体"/>
          <w:sz w:val="21"/>
          <w:szCs w:val="21"/>
        </w:rPr>
        <w:tab/>
      </w:r>
      <w:r>
        <w:rPr>
          <w:rFonts w:hint="eastAsia" w:ascii="宋体" w:hAnsi="宋体" w:eastAsia="宋体" w:cs="宋体"/>
          <w:sz w:val="21"/>
          <w:szCs w:val="21"/>
        </w:rPr>
        <w:fldChar w:fldCharType="begin"/>
      </w:r>
      <w:r>
        <w:rPr>
          <w:rFonts w:hint="eastAsia" w:ascii="宋体" w:hAnsi="宋体" w:eastAsia="宋体" w:cs="宋体"/>
          <w:sz w:val="21"/>
          <w:szCs w:val="21"/>
        </w:rPr>
        <w:instrText xml:space="preserve"> PAGEREF _Toc22234 \h </w:instrText>
      </w:r>
      <w:r>
        <w:rPr>
          <w:rFonts w:hint="eastAsia" w:ascii="宋体" w:hAnsi="宋体" w:eastAsia="宋体" w:cs="宋体"/>
          <w:sz w:val="21"/>
          <w:szCs w:val="21"/>
        </w:rPr>
        <w:fldChar w:fldCharType="separate"/>
      </w:r>
      <w:r>
        <w:rPr>
          <w:rFonts w:hint="eastAsia" w:ascii="宋体" w:hAnsi="宋体" w:eastAsia="宋体" w:cs="宋体"/>
          <w:sz w:val="21"/>
          <w:szCs w:val="21"/>
        </w:rPr>
        <w:t>56</w:t>
      </w:r>
      <w:r>
        <w:rPr>
          <w:rFonts w:hint="eastAsia" w:ascii="宋体" w:hAnsi="宋体" w:eastAsia="宋体" w:cs="宋体"/>
          <w:sz w:val="21"/>
          <w:szCs w:val="21"/>
        </w:rPr>
        <w:fldChar w:fldCharType="end"/>
      </w:r>
      <w:r>
        <w:rPr>
          <w:rFonts w:hint="eastAsia" w:ascii="宋体" w:hAnsi="宋体" w:eastAsia="宋体" w:cs="宋体"/>
          <w:color w:val="auto"/>
          <w:sz w:val="21"/>
          <w:szCs w:val="21"/>
          <w:highlight w:val="none"/>
        </w:rPr>
        <w:fldChar w:fldCharType="end"/>
      </w:r>
    </w:p>
    <w:p w14:paraId="178C1C41">
      <w:pPr>
        <w:pStyle w:val="11"/>
        <w:tabs>
          <w:tab w:val="right" w:leader="dot" w:pos="8306"/>
          <w:tab w:val="clear" w:pos="8296"/>
        </w:tabs>
        <w:rPr>
          <w:rFonts w:hint="eastAsia" w:ascii="宋体" w:hAnsi="宋体" w:eastAsia="宋体" w:cs="宋体"/>
          <w:sz w:val="21"/>
          <w:szCs w:val="21"/>
        </w:rPr>
      </w:pPr>
      <w:r>
        <w:rPr>
          <w:rFonts w:hint="eastAsia" w:ascii="宋体" w:hAnsi="宋体" w:eastAsia="宋体" w:cs="宋体"/>
          <w:color w:val="auto"/>
          <w:sz w:val="21"/>
          <w:szCs w:val="21"/>
          <w:highlight w:val="none"/>
        </w:rPr>
        <w:fldChar w:fldCharType="begin"/>
      </w:r>
      <w:r>
        <w:rPr>
          <w:rFonts w:hint="eastAsia" w:ascii="宋体" w:hAnsi="宋体" w:eastAsia="宋体" w:cs="宋体"/>
          <w:sz w:val="21"/>
          <w:szCs w:val="21"/>
          <w:highlight w:val="none"/>
        </w:rPr>
        <w:instrText xml:space="preserve"> HYPERLINK \l _Toc10849 </w:instrText>
      </w:r>
      <w:r>
        <w:rPr>
          <w:rFonts w:hint="eastAsia" w:ascii="宋体" w:hAnsi="宋体" w:eastAsia="宋体" w:cs="宋体"/>
          <w:sz w:val="21"/>
          <w:szCs w:val="21"/>
          <w:highlight w:val="none"/>
        </w:rPr>
        <w:fldChar w:fldCharType="separate"/>
      </w:r>
      <w:r>
        <w:rPr>
          <w:rFonts w:hint="eastAsia" w:ascii="宋体" w:hAnsi="宋体" w:eastAsia="宋体" w:cs="宋体"/>
          <w:sz w:val="21"/>
          <w:szCs w:val="21"/>
          <w:highlight w:val="none"/>
        </w:rPr>
        <w:t>附件</w:t>
      </w:r>
      <w:r>
        <w:rPr>
          <w:rFonts w:hint="eastAsia" w:ascii="宋体" w:hAnsi="宋体" w:eastAsia="宋体" w:cs="宋体"/>
          <w:sz w:val="21"/>
          <w:szCs w:val="21"/>
          <w:highlight w:val="none"/>
          <w:lang w:val="en-US" w:eastAsia="zh-CN"/>
        </w:rPr>
        <w:t>5</w:t>
      </w:r>
      <w:r>
        <w:rPr>
          <w:rFonts w:hint="eastAsia" w:ascii="宋体" w:hAnsi="宋体" w:eastAsia="宋体" w:cs="宋体"/>
          <w:sz w:val="21"/>
          <w:szCs w:val="21"/>
          <w:highlight w:val="none"/>
        </w:rPr>
        <w:t>.资格申明</w:t>
      </w:r>
      <w:r>
        <w:rPr>
          <w:rFonts w:hint="eastAsia" w:ascii="宋体" w:hAnsi="宋体" w:eastAsia="宋体" w:cs="宋体"/>
          <w:sz w:val="21"/>
          <w:szCs w:val="21"/>
        </w:rPr>
        <w:tab/>
      </w:r>
      <w:r>
        <w:rPr>
          <w:rFonts w:hint="eastAsia" w:ascii="宋体" w:hAnsi="宋体" w:eastAsia="宋体" w:cs="宋体"/>
          <w:sz w:val="21"/>
          <w:szCs w:val="21"/>
        </w:rPr>
        <w:fldChar w:fldCharType="begin"/>
      </w:r>
      <w:r>
        <w:rPr>
          <w:rFonts w:hint="eastAsia" w:ascii="宋体" w:hAnsi="宋体" w:eastAsia="宋体" w:cs="宋体"/>
          <w:sz w:val="21"/>
          <w:szCs w:val="21"/>
        </w:rPr>
        <w:instrText xml:space="preserve"> PAGEREF _Toc10849 \h </w:instrText>
      </w:r>
      <w:r>
        <w:rPr>
          <w:rFonts w:hint="eastAsia" w:ascii="宋体" w:hAnsi="宋体" w:eastAsia="宋体" w:cs="宋体"/>
          <w:sz w:val="21"/>
          <w:szCs w:val="21"/>
        </w:rPr>
        <w:fldChar w:fldCharType="separate"/>
      </w:r>
      <w:r>
        <w:rPr>
          <w:rFonts w:hint="eastAsia" w:ascii="宋体" w:hAnsi="宋体" w:eastAsia="宋体" w:cs="宋体"/>
          <w:sz w:val="21"/>
          <w:szCs w:val="21"/>
        </w:rPr>
        <w:t>57</w:t>
      </w:r>
      <w:r>
        <w:rPr>
          <w:rFonts w:hint="eastAsia" w:ascii="宋体" w:hAnsi="宋体" w:eastAsia="宋体" w:cs="宋体"/>
          <w:sz w:val="21"/>
          <w:szCs w:val="21"/>
        </w:rPr>
        <w:fldChar w:fldCharType="end"/>
      </w:r>
      <w:r>
        <w:rPr>
          <w:rFonts w:hint="eastAsia" w:ascii="宋体" w:hAnsi="宋体" w:eastAsia="宋体" w:cs="宋体"/>
          <w:color w:val="auto"/>
          <w:sz w:val="21"/>
          <w:szCs w:val="21"/>
          <w:highlight w:val="none"/>
        </w:rPr>
        <w:fldChar w:fldCharType="end"/>
      </w:r>
    </w:p>
    <w:p w14:paraId="62AB4153">
      <w:pPr>
        <w:pStyle w:val="11"/>
        <w:tabs>
          <w:tab w:val="right" w:leader="dot" w:pos="8306"/>
          <w:tab w:val="clear" w:pos="8296"/>
        </w:tabs>
        <w:rPr>
          <w:rFonts w:hint="eastAsia" w:ascii="宋体" w:hAnsi="宋体" w:eastAsia="宋体" w:cs="宋体"/>
          <w:sz w:val="21"/>
          <w:szCs w:val="21"/>
        </w:rPr>
      </w:pPr>
      <w:r>
        <w:rPr>
          <w:rFonts w:hint="eastAsia" w:ascii="宋体" w:hAnsi="宋体" w:eastAsia="宋体" w:cs="宋体"/>
          <w:color w:val="auto"/>
          <w:sz w:val="21"/>
          <w:szCs w:val="21"/>
          <w:highlight w:val="none"/>
        </w:rPr>
        <w:fldChar w:fldCharType="begin"/>
      </w:r>
      <w:r>
        <w:rPr>
          <w:rFonts w:hint="eastAsia" w:ascii="宋体" w:hAnsi="宋体" w:eastAsia="宋体" w:cs="宋体"/>
          <w:sz w:val="21"/>
          <w:szCs w:val="21"/>
          <w:highlight w:val="none"/>
        </w:rPr>
        <w:instrText xml:space="preserve"> HYPERLINK \l _Toc28506 </w:instrText>
      </w:r>
      <w:r>
        <w:rPr>
          <w:rFonts w:hint="eastAsia" w:ascii="宋体" w:hAnsi="宋体" w:eastAsia="宋体" w:cs="宋体"/>
          <w:sz w:val="21"/>
          <w:szCs w:val="21"/>
          <w:highlight w:val="none"/>
        </w:rPr>
        <w:fldChar w:fldCharType="separate"/>
      </w:r>
      <w:r>
        <w:rPr>
          <w:rFonts w:hint="eastAsia" w:ascii="宋体" w:hAnsi="宋体" w:eastAsia="宋体" w:cs="宋体"/>
          <w:sz w:val="21"/>
          <w:szCs w:val="21"/>
          <w:highlight w:val="none"/>
        </w:rPr>
        <w:t>附件</w:t>
      </w:r>
      <w:r>
        <w:rPr>
          <w:rFonts w:hint="eastAsia" w:ascii="宋体" w:hAnsi="宋体" w:eastAsia="宋体" w:cs="宋体"/>
          <w:sz w:val="21"/>
          <w:szCs w:val="21"/>
          <w:highlight w:val="none"/>
          <w:lang w:val="en-US" w:eastAsia="zh-CN"/>
        </w:rPr>
        <w:t>6</w:t>
      </w:r>
      <w:r>
        <w:rPr>
          <w:rFonts w:hint="eastAsia" w:ascii="宋体" w:hAnsi="宋体" w:eastAsia="宋体" w:cs="宋体"/>
          <w:sz w:val="21"/>
          <w:szCs w:val="21"/>
          <w:highlight w:val="none"/>
        </w:rPr>
        <w:t>.投标人资格证明文件</w:t>
      </w:r>
      <w:r>
        <w:rPr>
          <w:rFonts w:hint="eastAsia" w:ascii="宋体" w:hAnsi="宋体" w:eastAsia="宋体" w:cs="宋体"/>
          <w:sz w:val="21"/>
          <w:szCs w:val="21"/>
        </w:rPr>
        <w:tab/>
      </w:r>
      <w:r>
        <w:rPr>
          <w:rFonts w:hint="eastAsia" w:ascii="宋体" w:hAnsi="宋体" w:eastAsia="宋体" w:cs="宋体"/>
          <w:sz w:val="21"/>
          <w:szCs w:val="21"/>
        </w:rPr>
        <w:fldChar w:fldCharType="begin"/>
      </w:r>
      <w:r>
        <w:rPr>
          <w:rFonts w:hint="eastAsia" w:ascii="宋体" w:hAnsi="宋体" w:eastAsia="宋体" w:cs="宋体"/>
          <w:sz w:val="21"/>
          <w:szCs w:val="21"/>
        </w:rPr>
        <w:instrText xml:space="preserve"> PAGEREF _Toc28506 \h </w:instrText>
      </w:r>
      <w:r>
        <w:rPr>
          <w:rFonts w:hint="eastAsia" w:ascii="宋体" w:hAnsi="宋体" w:eastAsia="宋体" w:cs="宋体"/>
          <w:sz w:val="21"/>
          <w:szCs w:val="21"/>
        </w:rPr>
        <w:fldChar w:fldCharType="separate"/>
      </w:r>
      <w:r>
        <w:rPr>
          <w:rFonts w:hint="eastAsia" w:ascii="宋体" w:hAnsi="宋体" w:eastAsia="宋体" w:cs="宋体"/>
          <w:sz w:val="21"/>
          <w:szCs w:val="21"/>
        </w:rPr>
        <w:t>58</w:t>
      </w:r>
      <w:r>
        <w:rPr>
          <w:rFonts w:hint="eastAsia" w:ascii="宋体" w:hAnsi="宋体" w:eastAsia="宋体" w:cs="宋体"/>
          <w:sz w:val="21"/>
          <w:szCs w:val="21"/>
        </w:rPr>
        <w:fldChar w:fldCharType="end"/>
      </w:r>
      <w:r>
        <w:rPr>
          <w:rFonts w:hint="eastAsia" w:ascii="宋体" w:hAnsi="宋体" w:eastAsia="宋体" w:cs="宋体"/>
          <w:color w:val="auto"/>
          <w:sz w:val="21"/>
          <w:szCs w:val="21"/>
          <w:highlight w:val="none"/>
        </w:rPr>
        <w:fldChar w:fldCharType="end"/>
      </w:r>
    </w:p>
    <w:p w14:paraId="4068C8C7">
      <w:pPr>
        <w:pStyle w:val="11"/>
        <w:tabs>
          <w:tab w:val="right" w:leader="dot" w:pos="8306"/>
          <w:tab w:val="clear" w:pos="8296"/>
        </w:tabs>
        <w:rPr>
          <w:rFonts w:hint="eastAsia" w:ascii="宋体" w:hAnsi="宋体" w:eastAsia="宋体" w:cs="宋体"/>
          <w:sz w:val="21"/>
          <w:szCs w:val="21"/>
        </w:rPr>
      </w:pPr>
      <w:r>
        <w:rPr>
          <w:rFonts w:hint="eastAsia" w:ascii="宋体" w:hAnsi="宋体" w:eastAsia="宋体" w:cs="宋体"/>
          <w:color w:val="auto"/>
          <w:sz w:val="21"/>
          <w:szCs w:val="21"/>
          <w:highlight w:val="none"/>
        </w:rPr>
        <w:fldChar w:fldCharType="begin"/>
      </w:r>
      <w:r>
        <w:rPr>
          <w:rFonts w:hint="eastAsia" w:ascii="宋体" w:hAnsi="宋体" w:eastAsia="宋体" w:cs="宋体"/>
          <w:sz w:val="21"/>
          <w:szCs w:val="21"/>
          <w:highlight w:val="none"/>
        </w:rPr>
        <w:instrText xml:space="preserve"> HYPERLINK \l _Toc23289 </w:instrText>
      </w:r>
      <w:r>
        <w:rPr>
          <w:rFonts w:hint="eastAsia" w:ascii="宋体" w:hAnsi="宋体" w:eastAsia="宋体" w:cs="宋体"/>
          <w:sz w:val="21"/>
          <w:szCs w:val="21"/>
          <w:highlight w:val="none"/>
        </w:rPr>
        <w:fldChar w:fldCharType="separate"/>
      </w:r>
      <w:r>
        <w:rPr>
          <w:rFonts w:hint="eastAsia" w:ascii="宋体" w:hAnsi="宋体" w:eastAsia="宋体" w:cs="宋体"/>
          <w:sz w:val="21"/>
          <w:szCs w:val="21"/>
          <w:highlight w:val="none"/>
        </w:rPr>
        <w:t>附件</w:t>
      </w:r>
      <w:r>
        <w:rPr>
          <w:rFonts w:hint="eastAsia" w:ascii="宋体" w:hAnsi="宋体" w:eastAsia="宋体" w:cs="宋体"/>
          <w:sz w:val="21"/>
          <w:szCs w:val="21"/>
          <w:highlight w:val="none"/>
          <w:lang w:val="en-US" w:eastAsia="zh-CN"/>
        </w:rPr>
        <w:t>7</w:t>
      </w:r>
      <w:r>
        <w:rPr>
          <w:rFonts w:hint="eastAsia" w:ascii="宋体" w:hAnsi="宋体" w:eastAsia="宋体" w:cs="宋体"/>
          <w:sz w:val="21"/>
          <w:szCs w:val="21"/>
          <w:highlight w:val="none"/>
        </w:rPr>
        <w:t>.在经营活动中没有重大违法记录的书面声明格式</w:t>
      </w:r>
      <w:r>
        <w:rPr>
          <w:rFonts w:hint="eastAsia" w:ascii="宋体" w:hAnsi="宋体" w:eastAsia="宋体" w:cs="宋体"/>
          <w:sz w:val="21"/>
          <w:szCs w:val="21"/>
        </w:rPr>
        <w:tab/>
      </w:r>
      <w:r>
        <w:rPr>
          <w:rFonts w:hint="eastAsia" w:ascii="宋体" w:hAnsi="宋体" w:eastAsia="宋体" w:cs="宋体"/>
          <w:sz w:val="21"/>
          <w:szCs w:val="21"/>
        </w:rPr>
        <w:fldChar w:fldCharType="begin"/>
      </w:r>
      <w:r>
        <w:rPr>
          <w:rFonts w:hint="eastAsia" w:ascii="宋体" w:hAnsi="宋体" w:eastAsia="宋体" w:cs="宋体"/>
          <w:sz w:val="21"/>
          <w:szCs w:val="21"/>
        </w:rPr>
        <w:instrText xml:space="preserve"> PAGEREF _Toc23289 \h </w:instrText>
      </w:r>
      <w:r>
        <w:rPr>
          <w:rFonts w:hint="eastAsia" w:ascii="宋体" w:hAnsi="宋体" w:eastAsia="宋体" w:cs="宋体"/>
          <w:sz w:val="21"/>
          <w:szCs w:val="21"/>
        </w:rPr>
        <w:fldChar w:fldCharType="separate"/>
      </w:r>
      <w:r>
        <w:rPr>
          <w:rFonts w:hint="eastAsia" w:ascii="宋体" w:hAnsi="宋体" w:eastAsia="宋体" w:cs="宋体"/>
          <w:sz w:val="21"/>
          <w:szCs w:val="21"/>
        </w:rPr>
        <w:t>59</w:t>
      </w:r>
      <w:r>
        <w:rPr>
          <w:rFonts w:hint="eastAsia" w:ascii="宋体" w:hAnsi="宋体" w:eastAsia="宋体" w:cs="宋体"/>
          <w:sz w:val="21"/>
          <w:szCs w:val="21"/>
        </w:rPr>
        <w:fldChar w:fldCharType="end"/>
      </w:r>
      <w:r>
        <w:rPr>
          <w:rFonts w:hint="eastAsia" w:ascii="宋体" w:hAnsi="宋体" w:eastAsia="宋体" w:cs="宋体"/>
          <w:color w:val="auto"/>
          <w:sz w:val="21"/>
          <w:szCs w:val="21"/>
          <w:highlight w:val="none"/>
        </w:rPr>
        <w:fldChar w:fldCharType="end"/>
      </w:r>
    </w:p>
    <w:p w14:paraId="1C8E3889">
      <w:pPr>
        <w:pStyle w:val="11"/>
        <w:tabs>
          <w:tab w:val="right" w:leader="dot" w:pos="8306"/>
          <w:tab w:val="clear" w:pos="8296"/>
        </w:tabs>
        <w:rPr>
          <w:rFonts w:hint="eastAsia" w:ascii="宋体" w:hAnsi="宋体" w:eastAsia="宋体" w:cs="宋体"/>
          <w:sz w:val="21"/>
          <w:szCs w:val="21"/>
        </w:rPr>
      </w:pPr>
      <w:r>
        <w:rPr>
          <w:rFonts w:hint="eastAsia" w:ascii="宋体" w:hAnsi="宋体" w:eastAsia="宋体" w:cs="宋体"/>
          <w:color w:val="auto"/>
          <w:sz w:val="21"/>
          <w:szCs w:val="21"/>
          <w:highlight w:val="none"/>
        </w:rPr>
        <w:fldChar w:fldCharType="begin"/>
      </w:r>
      <w:r>
        <w:rPr>
          <w:rFonts w:hint="eastAsia" w:ascii="宋体" w:hAnsi="宋体" w:eastAsia="宋体" w:cs="宋体"/>
          <w:sz w:val="21"/>
          <w:szCs w:val="21"/>
          <w:highlight w:val="none"/>
        </w:rPr>
        <w:instrText xml:space="preserve"> HYPERLINK \l _Toc15596 </w:instrText>
      </w:r>
      <w:r>
        <w:rPr>
          <w:rFonts w:hint="eastAsia" w:ascii="宋体" w:hAnsi="宋体" w:eastAsia="宋体" w:cs="宋体"/>
          <w:sz w:val="21"/>
          <w:szCs w:val="21"/>
          <w:highlight w:val="none"/>
        </w:rPr>
        <w:fldChar w:fldCharType="separate"/>
      </w:r>
      <w:r>
        <w:rPr>
          <w:rFonts w:hint="eastAsia" w:ascii="宋体" w:hAnsi="宋体" w:eastAsia="宋体" w:cs="宋体"/>
          <w:sz w:val="21"/>
          <w:szCs w:val="21"/>
          <w:highlight w:val="none"/>
        </w:rPr>
        <w:t>附件</w:t>
      </w:r>
      <w:r>
        <w:rPr>
          <w:rFonts w:hint="eastAsia" w:ascii="宋体" w:hAnsi="宋体" w:eastAsia="宋体" w:cs="宋体"/>
          <w:sz w:val="21"/>
          <w:szCs w:val="21"/>
          <w:highlight w:val="none"/>
          <w:lang w:val="en-US" w:eastAsia="zh-CN"/>
        </w:rPr>
        <w:t>8</w:t>
      </w:r>
      <w:r>
        <w:rPr>
          <w:rFonts w:hint="eastAsia" w:ascii="宋体" w:hAnsi="宋体" w:eastAsia="宋体" w:cs="宋体"/>
          <w:sz w:val="21"/>
          <w:szCs w:val="21"/>
          <w:highlight w:val="none"/>
        </w:rPr>
        <w:t>.承诺书格式</w:t>
      </w:r>
      <w:r>
        <w:rPr>
          <w:rFonts w:hint="eastAsia" w:ascii="宋体" w:hAnsi="宋体" w:eastAsia="宋体" w:cs="宋体"/>
          <w:sz w:val="21"/>
          <w:szCs w:val="21"/>
        </w:rPr>
        <w:tab/>
      </w:r>
      <w:r>
        <w:rPr>
          <w:rFonts w:hint="eastAsia" w:ascii="宋体" w:hAnsi="宋体" w:eastAsia="宋体" w:cs="宋体"/>
          <w:sz w:val="21"/>
          <w:szCs w:val="21"/>
        </w:rPr>
        <w:fldChar w:fldCharType="begin"/>
      </w:r>
      <w:r>
        <w:rPr>
          <w:rFonts w:hint="eastAsia" w:ascii="宋体" w:hAnsi="宋体" w:eastAsia="宋体" w:cs="宋体"/>
          <w:sz w:val="21"/>
          <w:szCs w:val="21"/>
        </w:rPr>
        <w:instrText xml:space="preserve"> PAGEREF _Toc15596 \h </w:instrText>
      </w:r>
      <w:r>
        <w:rPr>
          <w:rFonts w:hint="eastAsia" w:ascii="宋体" w:hAnsi="宋体" w:eastAsia="宋体" w:cs="宋体"/>
          <w:sz w:val="21"/>
          <w:szCs w:val="21"/>
        </w:rPr>
        <w:fldChar w:fldCharType="separate"/>
      </w:r>
      <w:r>
        <w:rPr>
          <w:rFonts w:hint="eastAsia" w:ascii="宋体" w:hAnsi="宋体" w:eastAsia="宋体" w:cs="宋体"/>
          <w:sz w:val="21"/>
          <w:szCs w:val="21"/>
        </w:rPr>
        <w:t>60</w:t>
      </w:r>
      <w:r>
        <w:rPr>
          <w:rFonts w:hint="eastAsia" w:ascii="宋体" w:hAnsi="宋体" w:eastAsia="宋体" w:cs="宋体"/>
          <w:sz w:val="21"/>
          <w:szCs w:val="21"/>
        </w:rPr>
        <w:fldChar w:fldCharType="end"/>
      </w:r>
      <w:r>
        <w:rPr>
          <w:rFonts w:hint="eastAsia" w:ascii="宋体" w:hAnsi="宋体" w:eastAsia="宋体" w:cs="宋体"/>
          <w:color w:val="auto"/>
          <w:sz w:val="21"/>
          <w:szCs w:val="21"/>
          <w:highlight w:val="none"/>
        </w:rPr>
        <w:fldChar w:fldCharType="end"/>
      </w:r>
    </w:p>
    <w:p w14:paraId="63278CE8">
      <w:pPr>
        <w:pStyle w:val="11"/>
        <w:tabs>
          <w:tab w:val="right" w:leader="dot" w:pos="8306"/>
          <w:tab w:val="clear" w:pos="8296"/>
        </w:tabs>
        <w:rPr>
          <w:rFonts w:hint="eastAsia" w:ascii="宋体" w:hAnsi="宋体" w:eastAsia="宋体" w:cs="宋体"/>
          <w:sz w:val="21"/>
          <w:szCs w:val="21"/>
        </w:rPr>
      </w:pPr>
      <w:r>
        <w:rPr>
          <w:rFonts w:hint="eastAsia" w:ascii="宋体" w:hAnsi="宋体" w:eastAsia="宋体" w:cs="宋体"/>
          <w:color w:val="auto"/>
          <w:sz w:val="21"/>
          <w:szCs w:val="21"/>
          <w:highlight w:val="none"/>
        </w:rPr>
        <w:fldChar w:fldCharType="begin"/>
      </w:r>
      <w:r>
        <w:rPr>
          <w:rFonts w:hint="eastAsia" w:ascii="宋体" w:hAnsi="宋体" w:eastAsia="宋体" w:cs="宋体"/>
          <w:sz w:val="21"/>
          <w:szCs w:val="21"/>
          <w:highlight w:val="none"/>
        </w:rPr>
        <w:instrText xml:space="preserve"> HYPERLINK \l _Toc27472 </w:instrText>
      </w:r>
      <w:r>
        <w:rPr>
          <w:rFonts w:hint="eastAsia" w:ascii="宋体" w:hAnsi="宋体" w:eastAsia="宋体" w:cs="宋体"/>
          <w:sz w:val="21"/>
          <w:szCs w:val="21"/>
          <w:highlight w:val="none"/>
        </w:rPr>
        <w:fldChar w:fldCharType="separate"/>
      </w:r>
      <w:r>
        <w:rPr>
          <w:rFonts w:hint="eastAsia" w:ascii="宋体" w:hAnsi="宋体" w:eastAsia="宋体" w:cs="宋体"/>
          <w:sz w:val="21"/>
          <w:szCs w:val="21"/>
          <w:highlight w:val="none"/>
        </w:rPr>
        <w:t>附件</w:t>
      </w:r>
      <w:r>
        <w:rPr>
          <w:rFonts w:hint="eastAsia" w:ascii="宋体" w:hAnsi="宋体" w:eastAsia="宋体" w:cs="宋体"/>
          <w:sz w:val="21"/>
          <w:szCs w:val="21"/>
          <w:highlight w:val="none"/>
          <w:lang w:val="en-US" w:eastAsia="zh-CN"/>
        </w:rPr>
        <w:t>9</w:t>
      </w:r>
      <w:r>
        <w:rPr>
          <w:rFonts w:hint="eastAsia" w:ascii="宋体" w:hAnsi="宋体" w:eastAsia="宋体" w:cs="宋体"/>
          <w:sz w:val="21"/>
          <w:szCs w:val="21"/>
          <w:highlight w:val="none"/>
        </w:rPr>
        <w:t>.星号条款承诺书</w:t>
      </w:r>
      <w:r>
        <w:rPr>
          <w:rFonts w:hint="eastAsia" w:ascii="宋体" w:hAnsi="宋体" w:eastAsia="宋体" w:cs="宋体"/>
          <w:sz w:val="21"/>
          <w:szCs w:val="21"/>
        </w:rPr>
        <w:tab/>
      </w:r>
      <w:r>
        <w:rPr>
          <w:rFonts w:hint="eastAsia" w:ascii="宋体" w:hAnsi="宋体" w:eastAsia="宋体" w:cs="宋体"/>
          <w:sz w:val="21"/>
          <w:szCs w:val="21"/>
        </w:rPr>
        <w:fldChar w:fldCharType="begin"/>
      </w:r>
      <w:r>
        <w:rPr>
          <w:rFonts w:hint="eastAsia" w:ascii="宋体" w:hAnsi="宋体" w:eastAsia="宋体" w:cs="宋体"/>
          <w:sz w:val="21"/>
          <w:szCs w:val="21"/>
        </w:rPr>
        <w:instrText xml:space="preserve"> PAGEREF _Toc27472 \h </w:instrText>
      </w:r>
      <w:r>
        <w:rPr>
          <w:rFonts w:hint="eastAsia" w:ascii="宋体" w:hAnsi="宋体" w:eastAsia="宋体" w:cs="宋体"/>
          <w:sz w:val="21"/>
          <w:szCs w:val="21"/>
        </w:rPr>
        <w:fldChar w:fldCharType="separate"/>
      </w:r>
      <w:r>
        <w:rPr>
          <w:rFonts w:hint="eastAsia" w:ascii="宋体" w:hAnsi="宋体" w:eastAsia="宋体" w:cs="宋体"/>
          <w:sz w:val="21"/>
          <w:szCs w:val="21"/>
        </w:rPr>
        <w:t>61</w:t>
      </w:r>
      <w:r>
        <w:rPr>
          <w:rFonts w:hint="eastAsia" w:ascii="宋体" w:hAnsi="宋体" w:eastAsia="宋体" w:cs="宋体"/>
          <w:sz w:val="21"/>
          <w:szCs w:val="21"/>
        </w:rPr>
        <w:fldChar w:fldCharType="end"/>
      </w:r>
      <w:r>
        <w:rPr>
          <w:rFonts w:hint="eastAsia" w:ascii="宋体" w:hAnsi="宋体" w:eastAsia="宋体" w:cs="宋体"/>
          <w:color w:val="auto"/>
          <w:sz w:val="21"/>
          <w:szCs w:val="21"/>
          <w:highlight w:val="none"/>
        </w:rPr>
        <w:fldChar w:fldCharType="end"/>
      </w:r>
    </w:p>
    <w:p w14:paraId="620EB270">
      <w:pPr>
        <w:pStyle w:val="11"/>
        <w:tabs>
          <w:tab w:val="right" w:leader="dot" w:pos="8306"/>
          <w:tab w:val="clear" w:pos="8296"/>
        </w:tabs>
        <w:rPr>
          <w:rFonts w:hint="eastAsia" w:ascii="宋体" w:hAnsi="宋体" w:eastAsia="宋体" w:cs="宋体"/>
          <w:sz w:val="21"/>
          <w:szCs w:val="21"/>
        </w:rPr>
      </w:pPr>
      <w:r>
        <w:rPr>
          <w:rFonts w:hint="eastAsia" w:ascii="宋体" w:hAnsi="宋体" w:eastAsia="宋体" w:cs="宋体"/>
          <w:color w:val="auto"/>
          <w:sz w:val="21"/>
          <w:szCs w:val="21"/>
          <w:highlight w:val="none"/>
        </w:rPr>
        <w:fldChar w:fldCharType="begin"/>
      </w:r>
      <w:r>
        <w:rPr>
          <w:rFonts w:hint="eastAsia" w:ascii="宋体" w:hAnsi="宋体" w:eastAsia="宋体" w:cs="宋体"/>
          <w:sz w:val="21"/>
          <w:szCs w:val="21"/>
          <w:highlight w:val="none"/>
        </w:rPr>
        <w:instrText xml:space="preserve"> HYPERLINK \l _Toc23388 </w:instrText>
      </w:r>
      <w:r>
        <w:rPr>
          <w:rFonts w:hint="eastAsia" w:ascii="宋体" w:hAnsi="宋体" w:eastAsia="宋体" w:cs="宋体"/>
          <w:sz w:val="21"/>
          <w:szCs w:val="21"/>
          <w:highlight w:val="none"/>
        </w:rPr>
        <w:fldChar w:fldCharType="separate"/>
      </w:r>
      <w:r>
        <w:rPr>
          <w:rFonts w:hint="eastAsia" w:ascii="宋体" w:hAnsi="宋体" w:eastAsia="宋体" w:cs="宋体"/>
          <w:sz w:val="21"/>
          <w:szCs w:val="21"/>
          <w:highlight w:val="none"/>
          <w:lang w:val="en-US" w:eastAsia="zh-CN"/>
        </w:rPr>
        <w:t>附件10.场地证明材料</w:t>
      </w:r>
      <w:r>
        <w:rPr>
          <w:rFonts w:hint="eastAsia" w:ascii="宋体" w:hAnsi="宋体" w:eastAsia="宋体" w:cs="宋体"/>
          <w:sz w:val="21"/>
          <w:szCs w:val="21"/>
        </w:rPr>
        <w:tab/>
      </w:r>
      <w:r>
        <w:rPr>
          <w:rFonts w:hint="eastAsia" w:ascii="宋体" w:hAnsi="宋体" w:eastAsia="宋体" w:cs="宋体"/>
          <w:sz w:val="21"/>
          <w:szCs w:val="21"/>
        </w:rPr>
        <w:fldChar w:fldCharType="begin"/>
      </w:r>
      <w:r>
        <w:rPr>
          <w:rFonts w:hint="eastAsia" w:ascii="宋体" w:hAnsi="宋体" w:eastAsia="宋体" w:cs="宋体"/>
          <w:sz w:val="21"/>
          <w:szCs w:val="21"/>
        </w:rPr>
        <w:instrText xml:space="preserve"> PAGEREF _Toc23388 \h </w:instrText>
      </w:r>
      <w:r>
        <w:rPr>
          <w:rFonts w:hint="eastAsia" w:ascii="宋体" w:hAnsi="宋体" w:eastAsia="宋体" w:cs="宋体"/>
          <w:sz w:val="21"/>
          <w:szCs w:val="21"/>
        </w:rPr>
        <w:fldChar w:fldCharType="separate"/>
      </w:r>
      <w:r>
        <w:rPr>
          <w:rFonts w:hint="eastAsia" w:ascii="宋体" w:hAnsi="宋体" w:eastAsia="宋体" w:cs="宋体"/>
          <w:sz w:val="21"/>
          <w:szCs w:val="21"/>
        </w:rPr>
        <w:t>62</w:t>
      </w:r>
      <w:r>
        <w:rPr>
          <w:rFonts w:hint="eastAsia" w:ascii="宋体" w:hAnsi="宋体" w:eastAsia="宋体" w:cs="宋体"/>
          <w:sz w:val="21"/>
          <w:szCs w:val="21"/>
        </w:rPr>
        <w:fldChar w:fldCharType="end"/>
      </w:r>
      <w:r>
        <w:rPr>
          <w:rFonts w:hint="eastAsia" w:ascii="宋体" w:hAnsi="宋体" w:eastAsia="宋体" w:cs="宋体"/>
          <w:color w:val="auto"/>
          <w:sz w:val="21"/>
          <w:szCs w:val="21"/>
          <w:highlight w:val="none"/>
        </w:rPr>
        <w:fldChar w:fldCharType="end"/>
      </w:r>
    </w:p>
    <w:p w14:paraId="7E23F0C6">
      <w:pPr>
        <w:pStyle w:val="11"/>
        <w:tabs>
          <w:tab w:val="right" w:leader="dot" w:pos="8306"/>
          <w:tab w:val="clear" w:pos="8296"/>
        </w:tabs>
        <w:rPr>
          <w:rFonts w:hint="eastAsia" w:ascii="宋体" w:hAnsi="宋体" w:eastAsia="宋体" w:cs="宋体"/>
          <w:sz w:val="21"/>
          <w:szCs w:val="21"/>
        </w:rPr>
      </w:pPr>
      <w:r>
        <w:rPr>
          <w:rFonts w:hint="eastAsia" w:ascii="宋体" w:hAnsi="宋体" w:eastAsia="宋体" w:cs="宋体"/>
          <w:color w:val="auto"/>
          <w:sz w:val="21"/>
          <w:szCs w:val="21"/>
          <w:highlight w:val="none"/>
        </w:rPr>
        <w:fldChar w:fldCharType="begin"/>
      </w:r>
      <w:r>
        <w:rPr>
          <w:rFonts w:hint="eastAsia" w:ascii="宋体" w:hAnsi="宋体" w:eastAsia="宋体" w:cs="宋体"/>
          <w:sz w:val="21"/>
          <w:szCs w:val="21"/>
          <w:highlight w:val="none"/>
        </w:rPr>
        <w:instrText xml:space="preserve"> HYPERLINK \l _Toc29118 </w:instrText>
      </w:r>
      <w:r>
        <w:rPr>
          <w:rFonts w:hint="eastAsia" w:ascii="宋体" w:hAnsi="宋体" w:eastAsia="宋体" w:cs="宋体"/>
          <w:sz w:val="21"/>
          <w:szCs w:val="21"/>
          <w:highlight w:val="none"/>
        </w:rPr>
        <w:fldChar w:fldCharType="separate"/>
      </w:r>
      <w:r>
        <w:rPr>
          <w:rFonts w:hint="eastAsia" w:ascii="宋体" w:hAnsi="宋体" w:eastAsia="宋体" w:cs="宋体"/>
          <w:sz w:val="21"/>
          <w:szCs w:val="21"/>
          <w:highlight w:val="none"/>
        </w:rPr>
        <w:t>附件1</w:t>
      </w:r>
      <w:r>
        <w:rPr>
          <w:rFonts w:hint="eastAsia" w:ascii="宋体" w:hAnsi="宋体" w:eastAsia="宋体" w:cs="宋体"/>
          <w:sz w:val="21"/>
          <w:szCs w:val="21"/>
          <w:highlight w:val="none"/>
          <w:lang w:val="en-US" w:eastAsia="zh-CN"/>
        </w:rPr>
        <w:t>1</w:t>
      </w:r>
      <w:r>
        <w:rPr>
          <w:rFonts w:hint="eastAsia" w:ascii="宋体" w:hAnsi="宋体" w:eastAsia="宋体" w:cs="宋体"/>
          <w:sz w:val="21"/>
          <w:szCs w:val="21"/>
          <w:highlight w:val="none"/>
        </w:rPr>
        <w:t>.业绩表</w:t>
      </w:r>
      <w:r>
        <w:rPr>
          <w:rFonts w:hint="eastAsia" w:ascii="宋体" w:hAnsi="宋体" w:eastAsia="宋体" w:cs="宋体"/>
          <w:sz w:val="21"/>
          <w:szCs w:val="21"/>
        </w:rPr>
        <w:tab/>
      </w:r>
      <w:r>
        <w:rPr>
          <w:rFonts w:hint="eastAsia" w:ascii="宋体" w:hAnsi="宋体" w:eastAsia="宋体" w:cs="宋体"/>
          <w:sz w:val="21"/>
          <w:szCs w:val="21"/>
        </w:rPr>
        <w:fldChar w:fldCharType="begin"/>
      </w:r>
      <w:r>
        <w:rPr>
          <w:rFonts w:hint="eastAsia" w:ascii="宋体" w:hAnsi="宋体" w:eastAsia="宋体" w:cs="宋体"/>
          <w:sz w:val="21"/>
          <w:szCs w:val="21"/>
        </w:rPr>
        <w:instrText xml:space="preserve"> PAGEREF _Toc29118 \h </w:instrText>
      </w:r>
      <w:r>
        <w:rPr>
          <w:rFonts w:hint="eastAsia" w:ascii="宋体" w:hAnsi="宋体" w:eastAsia="宋体" w:cs="宋体"/>
          <w:sz w:val="21"/>
          <w:szCs w:val="21"/>
        </w:rPr>
        <w:fldChar w:fldCharType="separate"/>
      </w:r>
      <w:r>
        <w:rPr>
          <w:rFonts w:hint="eastAsia" w:ascii="宋体" w:hAnsi="宋体" w:eastAsia="宋体" w:cs="宋体"/>
          <w:sz w:val="21"/>
          <w:szCs w:val="21"/>
        </w:rPr>
        <w:t>63</w:t>
      </w:r>
      <w:r>
        <w:rPr>
          <w:rFonts w:hint="eastAsia" w:ascii="宋体" w:hAnsi="宋体" w:eastAsia="宋体" w:cs="宋体"/>
          <w:sz w:val="21"/>
          <w:szCs w:val="21"/>
        </w:rPr>
        <w:fldChar w:fldCharType="end"/>
      </w:r>
      <w:r>
        <w:rPr>
          <w:rFonts w:hint="eastAsia" w:ascii="宋体" w:hAnsi="宋体" w:eastAsia="宋体" w:cs="宋体"/>
          <w:color w:val="auto"/>
          <w:sz w:val="21"/>
          <w:szCs w:val="21"/>
          <w:highlight w:val="none"/>
        </w:rPr>
        <w:fldChar w:fldCharType="end"/>
      </w:r>
    </w:p>
    <w:p w14:paraId="4867E2E4">
      <w:pPr>
        <w:pStyle w:val="11"/>
        <w:tabs>
          <w:tab w:val="right" w:leader="dot" w:pos="8306"/>
          <w:tab w:val="clear" w:pos="8296"/>
        </w:tabs>
        <w:rPr>
          <w:rFonts w:hint="eastAsia" w:ascii="宋体" w:hAnsi="宋体" w:eastAsia="宋体" w:cs="宋体"/>
          <w:sz w:val="21"/>
          <w:szCs w:val="21"/>
        </w:rPr>
      </w:pPr>
      <w:r>
        <w:rPr>
          <w:rFonts w:hint="eastAsia" w:ascii="宋体" w:hAnsi="宋体" w:eastAsia="宋体" w:cs="宋体"/>
          <w:color w:val="auto"/>
          <w:sz w:val="21"/>
          <w:szCs w:val="21"/>
          <w:highlight w:val="none"/>
        </w:rPr>
        <w:fldChar w:fldCharType="begin"/>
      </w:r>
      <w:r>
        <w:rPr>
          <w:rFonts w:hint="eastAsia" w:ascii="宋体" w:hAnsi="宋体" w:eastAsia="宋体" w:cs="宋体"/>
          <w:sz w:val="21"/>
          <w:szCs w:val="21"/>
          <w:highlight w:val="none"/>
        </w:rPr>
        <w:instrText xml:space="preserve"> HYPERLINK \l _Toc12915 </w:instrText>
      </w:r>
      <w:r>
        <w:rPr>
          <w:rFonts w:hint="eastAsia" w:ascii="宋体" w:hAnsi="宋体" w:eastAsia="宋体" w:cs="宋体"/>
          <w:sz w:val="21"/>
          <w:szCs w:val="21"/>
          <w:highlight w:val="none"/>
        </w:rPr>
        <w:fldChar w:fldCharType="separate"/>
      </w:r>
      <w:r>
        <w:rPr>
          <w:rFonts w:hint="eastAsia" w:ascii="宋体" w:hAnsi="宋体" w:eastAsia="宋体" w:cs="宋体"/>
          <w:bCs/>
          <w:sz w:val="21"/>
          <w:szCs w:val="21"/>
          <w:highlight w:val="none"/>
          <w:lang w:val="en-US" w:eastAsia="zh-CN"/>
        </w:rPr>
        <w:t>附件12.</w:t>
      </w:r>
      <w:r>
        <w:rPr>
          <w:rFonts w:hint="eastAsia" w:ascii="宋体" w:hAnsi="宋体" w:eastAsia="宋体" w:cs="宋体"/>
          <w:bCs/>
          <w:sz w:val="21"/>
          <w:szCs w:val="21"/>
          <w:highlight w:val="none"/>
        </w:rPr>
        <w:t>依法缴纳税收及无欠税的证明材料（加盖</w:t>
      </w:r>
      <w:r>
        <w:rPr>
          <w:rFonts w:hint="eastAsia" w:ascii="宋体" w:hAnsi="宋体" w:eastAsia="宋体" w:cs="宋体"/>
          <w:bCs/>
          <w:sz w:val="21"/>
          <w:szCs w:val="21"/>
          <w:highlight w:val="none"/>
          <w:lang w:val="en-US" w:eastAsia="zh-CN"/>
        </w:rPr>
        <w:t>投标人</w:t>
      </w:r>
      <w:r>
        <w:rPr>
          <w:rFonts w:hint="eastAsia" w:ascii="宋体" w:hAnsi="宋体" w:eastAsia="宋体" w:cs="宋体"/>
          <w:bCs/>
          <w:sz w:val="21"/>
          <w:szCs w:val="21"/>
          <w:highlight w:val="none"/>
        </w:rPr>
        <w:t>公章）</w:t>
      </w:r>
      <w:r>
        <w:rPr>
          <w:rFonts w:hint="eastAsia" w:ascii="宋体" w:hAnsi="宋体" w:eastAsia="宋体" w:cs="宋体"/>
          <w:sz w:val="21"/>
          <w:szCs w:val="21"/>
        </w:rPr>
        <w:tab/>
      </w:r>
      <w:r>
        <w:rPr>
          <w:rFonts w:hint="eastAsia" w:ascii="宋体" w:hAnsi="宋体" w:eastAsia="宋体" w:cs="宋体"/>
          <w:sz w:val="21"/>
          <w:szCs w:val="21"/>
        </w:rPr>
        <w:fldChar w:fldCharType="begin"/>
      </w:r>
      <w:r>
        <w:rPr>
          <w:rFonts w:hint="eastAsia" w:ascii="宋体" w:hAnsi="宋体" w:eastAsia="宋体" w:cs="宋体"/>
          <w:sz w:val="21"/>
          <w:szCs w:val="21"/>
        </w:rPr>
        <w:instrText xml:space="preserve"> PAGEREF _Toc12915 \h </w:instrText>
      </w:r>
      <w:r>
        <w:rPr>
          <w:rFonts w:hint="eastAsia" w:ascii="宋体" w:hAnsi="宋体" w:eastAsia="宋体" w:cs="宋体"/>
          <w:sz w:val="21"/>
          <w:szCs w:val="21"/>
        </w:rPr>
        <w:fldChar w:fldCharType="separate"/>
      </w:r>
      <w:r>
        <w:rPr>
          <w:rFonts w:hint="eastAsia" w:ascii="宋体" w:hAnsi="宋体" w:eastAsia="宋体" w:cs="宋体"/>
          <w:sz w:val="21"/>
          <w:szCs w:val="21"/>
        </w:rPr>
        <w:t>64</w:t>
      </w:r>
      <w:r>
        <w:rPr>
          <w:rFonts w:hint="eastAsia" w:ascii="宋体" w:hAnsi="宋体" w:eastAsia="宋体" w:cs="宋体"/>
          <w:sz w:val="21"/>
          <w:szCs w:val="21"/>
        </w:rPr>
        <w:fldChar w:fldCharType="end"/>
      </w:r>
      <w:r>
        <w:rPr>
          <w:rFonts w:hint="eastAsia" w:ascii="宋体" w:hAnsi="宋体" w:eastAsia="宋体" w:cs="宋体"/>
          <w:color w:val="auto"/>
          <w:sz w:val="21"/>
          <w:szCs w:val="21"/>
          <w:highlight w:val="none"/>
        </w:rPr>
        <w:fldChar w:fldCharType="end"/>
      </w:r>
    </w:p>
    <w:p w14:paraId="3F1372AC">
      <w:pPr>
        <w:pStyle w:val="11"/>
        <w:tabs>
          <w:tab w:val="right" w:leader="dot" w:pos="8306"/>
          <w:tab w:val="clear" w:pos="8296"/>
        </w:tabs>
        <w:rPr>
          <w:rFonts w:hint="eastAsia" w:ascii="宋体" w:hAnsi="宋体" w:eastAsia="宋体" w:cs="宋体"/>
          <w:sz w:val="21"/>
          <w:szCs w:val="21"/>
        </w:rPr>
      </w:pPr>
      <w:r>
        <w:rPr>
          <w:rFonts w:hint="eastAsia" w:ascii="宋体" w:hAnsi="宋体" w:eastAsia="宋体" w:cs="宋体"/>
          <w:color w:val="auto"/>
          <w:sz w:val="21"/>
          <w:szCs w:val="21"/>
          <w:highlight w:val="none"/>
        </w:rPr>
        <w:fldChar w:fldCharType="begin"/>
      </w:r>
      <w:r>
        <w:rPr>
          <w:rFonts w:hint="eastAsia" w:ascii="宋体" w:hAnsi="宋体" w:eastAsia="宋体" w:cs="宋体"/>
          <w:sz w:val="21"/>
          <w:szCs w:val="21"/>
          <w:highlight w:val="none"/>
        </w:rPr>
        <w:instrText xml:space="preserve"> HYPERLINK \l _Toc32373 </w:instrText>
      </w:r>
      <w:r>
        <w:rPr>
          <w:rFonts w:hint="eastAsia" w:ascii="宋体" w:hAnsi="宋体" w:eastAsia="宋体" w:cs="宋体"/>
          <w:sz w:val="21"/>
          <w:szCs w:val="21"/>
          <w:highlight w:val="none"/>
        </w:rPr>
        <w:fldChar w:fldCharType="separate"/>
      </w:r>
      <w:r>
        <w:rPr>
          <w:rFonts w:hint="eastAsia" w:ascii="宋体" w:hAnsi="宋体" w:eastAsia="宋体" w:cs="宋体"/>
          <w:sz w:val="21"/>
          <w:szCs w:val="21"/>
          <w:highlight w:val="none"/>
        </w:rPr>
        <w:t>附件1</w:t>
      </w:r>
      <w:r>
        <w:rPr>
          <w:rFonts w:hint="eastAsia" w:ascii="宋体" w:hAnsi="宋体" w:eastAsia="宋体" w:cs="宋体"/>
          <w:sz w:val="21"/>
          <w:szCs w:val="21"/>
          <w:highlight w:val="none"/>
          <w:lang w:val="en-US" w:eastAsia="zh-CN"/>
        </w:rPr>
        <w:t>3</w:t>
      </w:r>
      <w:r>
        <w:rPr>
          <w:rFonts w:hint="eastAsia" w:ascii="宋体" w:hAnsi="宋体" w:eastAsia="宋体" w:cs="宋体"/>
          <w:sz w:val="21"/>
          <w:szCs w:val="21"/>
          <w:highlight w:val="none"/>
        </w:rPr>
        <w:t>.用户需求条款偏离表格式</w:t>
      </w:r>
      <w:r>
        <w:rPr>
          <w:rFonts w:hint="eastAsia" w:ascii="宋体" w:hAnsi="宋体" w:eastAsia="宋体" w:cs="宋体"/>
          <w:sz w:val="21"/>
          <w:szCs w:val="21"/>
        </w:rPr>
        <w:tab/>
      </w:r>
      <w:r>
        <w:rPr>
          <w:rFonts w:hint="eastAsia" w:ascii="宋体" w:hAnsi="宋体" w:eastAsia="宋体" w:cs="宋体"/>
          <w:sz w:val="21"/>
          <w:szCs w:val="21"/>
        </w:rPr>
        <w:fldChar w:fldCharType="begin"/>
      </w:r>
      <w:r>
        <w:rPr>
          <w:rFonts w:hint="eastAsia" w:ascii="宋体" w:hAnsi="宋体" w:eastAsia="宋体" w:cs="宋体"/>
          <w:sz w:val="21"/>
          <w:szCs w:val="21"/>
        </w:rPr>
        <w:instrText xml:space="preserve"> PAGEREF _Toc32373 \h </w:instrText>
      </w:r>
      <w:r>
        <w:rPr>
          <w:rFonts w:hint="eastAsia" w:ascii="宋体" w:hAnsi="宋体" w:eastAsia="宋体" w:cs="宋体"/>
          <w:sz w:val="21"/>
          <w:szCs w:val="21"/>
        </w:rPr>
        <w:fldChar w:fldCharType="separate"/>
      </w:r>
      <w:r>
        <w:rPr>
          <w:rFonts w:hint="eastAsia" w:ascii="宋体" w:hAnsi="宋体" w:eastAsia="宋体" w:cs="宋体"/>
          <w:sz w:val="21"/>
          <w:szCs w:val="21"/>
        </w:rPr>
        <w:t>65</w:t>
      </w:r>
      <w:r>
        <w:rPr>
          <w:rFonts w:hint="eastAsia" w:ascii="宋体" w:hAnsi="宋体" w:eastAsia="宋体" w:cs="宋体"/>
          <w:sz w:val="21"/>
          <w:szCs w:val="21"/>
        </w:rPr>
        <w:fldChar w:fldCharType="end"/>
      </w:r>
      <w:r>
        <w:rPr>
          <w:rFonts w:hint="eastAsia" w:ascii="宋体" w:hAnsi="宋体" w:eastAsia="宋体" w:cs="宋体"/>
          <w:color w:val="auto"/>
          <w:sz w:val="21"/>
          <w:szCs w:val="21"/>
          <w:highlight w:val="none"/>
        </w:rPr>
        <w:fldChar w:fldCharType="end"/>
      </w:r>
    </w:p>
    <w:p w14:paraId="342BCC05">
      <w:pPr>
        <w:pStyle w:val="11"/>
        <w:tabs>
          <w:tab w:val="right" w:leader="dot" w:pos="8306"/>
          <w:tab w:val="clear" w:pos="8296"/>
        </w:tabs>
        <w:rPr>
          <w:rFonts w:hint="eastAsia" w:ascii="宋体" w:hAnsi="宋体" w:eastAsia="宋体" w:cs="宋体"/>
          <w:sz w:val="21"/>
          <w:szCs w:val="21"/>
        </w:rPr>
      </w:pPr>
      <w:r>
        <w:rPr>
          <w:rFonts w:hint="eastAsia" w:ascii="宋体" w:hAnsi="宋体" w:eastAsia="宋体" w:cs="宋体"/>
          <w:color w:val="auto"/>
          <w:sz w:val="21"/>
          <w:szCs w:val="21"/>
          <w:highlight w:val="none"/>
        </w:rPr>
        <w:fldChar w:fldCharType="begin"/>
      </w:r>
      <w:r>
        <w:rPr>
          <w:rFonts w:hint="eastAsia" w:ascii="宋体" w:hAnsi="宋体" w:eastAsia="宋体" w:cs="宋体"/>
          <w:sz w:val="21"/>
          <w:szCs w:val="21"/>
          <w:highlight w:val="none"/>
        </w:rPr>
        <w:instrText xml:space="preserve"> HYPERLINK \l _Toc25343 </w:instrText>
      </w:r>
      <w:r>
        <w:rPr>
          <w:rFonts w:hint="eastAsia" w:ascii="宋体" w:hAnsi="宋体" w:eastAsia="宋体" w:cs="宋体"/>
          <w:sz w:val="21"/>
          <w:szCs w:val="21"/>
          <w:highlight w:val="none"/>
        </w:rPr>
        <w:fldChar w:fldCharType="separate"/>
      </w:r>
      <w:r>
        <w:rPr>
          <w:rFonts w:hint="eastAsia" w:ascii="宋体" w:hAnsi="宋体" w:eastAsia="宋体" w:cs="宋体"/>
          <w:sz w:val="21"/>
          <w:szCs w:val="21"/>
          <w:highlight w:val="none"/>
        </w:rPr>
        <w:t>附件1</w:t>
      </w:r>
      <w:r>
        <w:rPr>
          <w:rFonts w:hint="eastAsia" w:ascii="宋体" w:hAnsi="宋体" w:eastAsia="宋体" w:cs="宋体"/>
          <w:sz w:val="21"/>
          <w:szCs w:val="21"/>
          <w:highlight w:val="none"/>
          <w:lang w:val="en-US" w:eastAsia="zh-CN"/>
        </w:rPr>
        <w:t>4</w:t>
      </w:r>
      <w:r>
        <w:rPr>
          <w:rFonts w:hint="eastAsia" w:ascii="宋体" w:hAnsi="宋体" w:eastAsia="宋体" w:cs="宋体"/>
          <w:sz w:val="21"/>
          <w:szCs w:val="21"/>
          <w:highlight w:val="none"/>
        </w:rPr>
        <w:t>.投标保证金汇入情况说明格式</w:t>
      </w:r>
      <w:r>
        <w:rPr>
          <w:rFonts w:hint="eastAsia" w:ascii="宋体" w:hAnsi="宋体" w:eastAsia="宋体" w:cs="宋体"/>
          <w:sz w:val="21"/>
          <w:szCs w:val="21"/>
        </w:rPr>
        <w:tab/>
      </w:r>
      <w:r>
        <w:rPr>
          <w:rFonts w:hint="eastAsia" w:ascii="宋体" w:hAnsi="宋体" w:eastAsia="宋体" w:cs="宋体"/>
          <w:sz w:val="21"/>
          <w:szCs w:val="21"/>
        </w:rPr>
        <w:fldChar w:fldCharType="begin"/>
      </w:r>
      <w:r>
        <w:rPr>
          <w:rFonts w:hint="eastAsia" w:ascii="宋体" w:hAnsi="宋体" w:eastAsia="宋体" w:cs="宋体"/>
          <w:sz w:val="21"/>
          <w:szCs w:val="21"/>
        </w:rPr>
        <w:instrText xml:space="preserve"> PAGEREF _Toc25343 \h </w:instrText>
      </w:r>
      <w:r>
        <w:rPr>
          <w:rFonts w:hint="eastAsia" w:ascii="宋体" w:hAnsi="宋体" w:eastAsia="宋体" w:cs="宋体"/>
          <w:sz w:val="21"/>
          <w:szCs w:val="21"/>
        </w:rPr>
        <w:fldChar w:fldCharType="separate"/>
      </w:r>
      <w:r>
        <w:rPr>
          <w:rFonts w:hint="eastAsia" w:ascii="宋体" w:hAnsi="宋体" w:eastAsia="宋体" w:cs="宋体"/>
          <w:sz w:val="21"/>
          <w:szCs w:val="21"/>
        </w:rPr>
        <w:t>66</w:t>
      </w:r>
      <w:r>
        <w:rPr>
          <w:rFonts w:hint="eastAsia" w:ascii="宋体" w:hAnsi="宋体" w:eastAsia="宋体" w:cs="宋体"/>
          <w:sz w:val="21"/>
          <w:szCs w:val="21"/>
        </w:rPr>
        <w:fldChar w:fldCharType="end"/>
      </w:r>
      <w:r>
        <w:rPr>
          <w:rFonts w:hint="eastAsia" w:ascii="宋体" w:hAnsi="宋体" w:eastAsia="宋体" w:cs="宋体"/>
          <w:color w:val="auto"/>
          <w:sz w:val="21"/>
          <w:szCs w:val="21"/>
          <w:highlight w:val="none"/>
        </w:rPr>
        <w:fldChar w:fldCharType="end"/>
      </w:r>
    </w:p>
    <w:p w14:paraId="7E151EF4">
      <w:pPr>
        <w:pStyle w:val="11"/>
        <w:tabs>
          <w:tab w:val="right" w:leader="dot" w:pos="8306"/>
          <w:tab w:val="clear" w:pos="8296"/>
        </w:tabs>
        <w:rPr>
          <w:rFonts w:hint="eastAsia" w:ascii="宋体" w:hAnsi="宋体" w:eastAsia="宋体" w:cs="宋体"/>
          <w:sz w:val="21"/>
          <w:szCs w:val="21"/>
        </w:rPr>
      </w:pPr>
      <w:r>
        <w:rPr>
          <w:rFonts w:hint="eastAsia" w:ascii="宋体" w:hAnsi="宋体" w:eastAsia="宋体" w:cs="宋体"/>
          <w:color w:val="auto"/>
          <w:sz w:val="21"/>
          <w:szCs w:val="21"/>
          <w:highlight w:val="none"/>
        </w:rPr>
        <w:fldChar w:fldCharType="begin"/>
      </w:r>
      <w:r>
        <w:rPr>
          <w:rFonts w:hint="eastAsia" w:ascii="宋体" w:hAnsi="宋体" w:eastAsia="宋体" w:cs="宋体"/>
          <w:sz w:val="21"/>
          <w:szCs w:val="21"/>
          <w:highlight w:val="none"/>
        </w:rPr>
        <w:instrText xml:space="preserve"> HYPERLINK \l _Toc17120 </w:instrText>
      </w:r>
      <w:r>
        <w:rPr>
          <w:rFonts w:hint="eastAsia" w:ascii="宋体" w:hAnsi="宋体" w:eastAsia="宋体" w:cs="宋体"/>
          <w:sz w:val="21"/>
          <w:szCs w:val="21"/>
          <w:highlight w:val="none"/>
        </w:rPr>
        <w:fldChar w:fldCharType="separate"/>
      </w:r>
      <w:r>
        <w:rPr>
          <w:rFonts w:hint="eastAsia" w:ascii="宋体" w:hAnsi="宋体" w:eastAsia="宋体" w:cs="宋体"/>
          <w:sz w:val="21"/>
          <w:szCs w:val="21"/>
          <w:highlight w:val="none"/>
        </w:rPr>
        <w:t>附件</w:t>
      </w:r>
      <w:r>
        <w:rPr>
          <w:rFonts w:hint="eastAsia" w:ascii="宋体" w:hAnsi="宋体" w:eastAsia="宋体" w:cs="宋体"/>
          <w:sz w:val="21"/>
          <w:szCs w:val="21"/>
          <w:highlight w:val="none"/>
          <w:lang w:val="en-US" w:eastAsia="zh-CN"/>
        </w:rPr>
        <w:t>15</w:t>
      </w:r>
      <w:r>
        <w:rPr>
          <w:rFonts w:hint="eastAsia" w:ascii="宋体" w:hAnsi="宋体" w:eastAsia="宋体" w:cs="宋体"/>
          <w:sz w:val="21"/>
          <w:szCs w:val="21"/>
          <w:highlight w:val="none"/>
        </w:rPr>
        <w:t>.不可撤销履约保函（投标时无须提供本模板格式）</w:t>
      </w:r>
      <w:r>
        <w:rPr>
          <w:rFonts w:hint="eastAsia" w:ascii="宋体" w:hAnsi="宋体" w:eastAsia="宋体" w:cs="宋体"/>
          <w:sz w:val="21"/>
          <w:szCs w:val="21"/>
        </w:rPr>
        <w:tab/>
      </w:r>
      <w:r>
        <w:rPr>
          <w:rFonts w:hint="eastAsia" w:ascii="宋体" w:hAnsi="宋体" w:eastAsia="宋体" w:cs="宋体"/>
          <w:sz w:val="21"/>
          <w:szCs w:val="21"/>
        </w:rPr>
        <w:fldChar w:fldCharType="begin"/>
      </w:r>
      <w:r>
        <w:rPr>
          <w:rFonts w:hint="eastAsia" w:ascii="宋体" w:hAnsi="宋体" w:eastAsia="宋体" w:cs="宋体"/>
          <w:sz w:val="21"/>
          <w:szCs w:val="21"/>
        </w:rPr>
        <w:instrText xml:space="preserve"> PAGEREF _Toc17120 \h </w:instrText>
      </w:r>
      <w:r>
        <w:rPr>
          <w:rFonts w:hint="eastAsia" w:ascii="宋体" w:hAnsi="宋体" w:eastAsia="宋体" w:cs="宋体"/>
          <w:sz w:val="21"/>
          <w:szCs w:val="21"/>
        </w:rPr>
        <w:fldChar w:fldCharType="separate"/>
      </w:r>
      <w:r>
        <w:rPr>
          <w:rFonts w:hint="eastAsia" w:ascii="宋体" w:hAnsi="宋体" w:eastAsia="宋体" w:cs="宋体"/>
          <w:sz w:val="21"/>
          <w:szCs w:val="21"/>
        </w:rPr>
        <w:t>68</w:t>
      </w:r>
      <w:r>
        <w:rPr>
          <w:rFonts w:hint="eastAsia" w:ascii="宋体" w:hAnsi="宋体" w:eastAsia="宋体" w:cs="宋体"/>
          <w:sz w:val="21"/>
          <w:szCs w:val="21"/>
        </w:rPr>
        <w:fldChar w:fldCharType="end"/>
      </w:r>
      <w:r>
        <w:rPr>
          <w:rFonts w:hint="eastAsia" w:ascii="宋体" w:hAnsi="宋体" w:eastAsia="宋体" w:cs="宋体"/>
          <w:color w:val="auto"/>
          <w:sz w:val="21"/>
          <w:szCs w:val="21"/>
          <w:highlight w:val="none"/>
        </w:rPr>
        <w:fldChar w:fldCharType="end"/>
      </w:r>
    </w:p>
    <w:p w14:paraId="13D42AE9">
      <w:pPr>
        <w:pStyle w:val="11"/>
        <w:tabs>
          <w:tab w:val="right" w:leader="dot" w:pos="8306"/>
          <w:tab w:val="clear" w:pos="8296"/>
        </w:tabs>
        <w:rPr>
          <w:rFonts w:hint="eastAsia" w:ascii="宋体" w:hAnsi="宋体" w:eastAsia="宋体" w:cs="宋体"/>
          <w:sz w:val="21"/>
          <w:szCs w:val="21"/>
        </w:rPr>
      </w:pPr>
      <w:r>
        <w:rPr>
          <w:rFonts w:hint="eastAsia" w:ascii="宋体" w:hAnsi="宋体" w:eastAsia="宋体" w:cs="宋体"/>
          <w:color w:val="auto"/>
          <w:sz w:val="21"/>
          <w:szCs w:val="21"/>
          <w:highlight w:val="none"/>
        </w:rPr>
        <w:fldChar w:fldCharType="begin"/>
      </w:r>
      <w:r>
        <w:rPr>
          <w:rFonts w:hint="eastAsia" w:ascii="宋体" w:hAnsi="宋体" w:eastAsia="宋体" w:cs="宋体"/>
          <w:sz w:val="21"/>
          <w:szCs w:val="21"/>
          <w:highlight w:val="none"/>
        </w:rPr>
        <w:instrText xml:space="preserve"> HYPERLINK \l _Toc1326 </w:instrText>
      </w:r>
      <w:r>
        <w:rPr>
          <w:rFonts w:hint="eastAsia" w:ascii="宋体" w:hAnsi="宋体" w:eastAsia="宋体" w:cs="宋体"/>
          <w:sz w:val="21"/>
          <w:szCs w:val="21"/>
          <w:highlight w:val="none"/>
        </w:rPr>
        <w:fldChar w:fldCharType="separate"/>
      </w:r>
      <w:r>
        <w:rPr>
          <w:rFonts w:hint="eastAsia" w:ascii="宋体" w:hAnsi="宋体" w:eastAsia="宋体" w:cs="宋体"/>
          <w:sz w:val="21"/>
          <w:szCs w:val="21"/>
          <w:highlight w:val="none"/>
        </w:rPr>
        <w:t>附件</w:t>
      </w:r>
      <w:r>
        <w:rPr>
          <w:rFonts w:hint="eastAsia" w:ascii="宋体" w:hAnsi="宋体" w:eastAsia="宋体" w:cs="宋体"/>
          <w:sz w:val="21"/>
          <w:szCs w:val="21"/>
          <w:highlight w:val="none"/>
          <w:lang w:val="en-US" w:eastAsia="zh-CN"/>
        </w:rPr>
        <w:t>16</w:t>
      </w:r>
      <w:r>
        <w:rPr>
          <w:rFonts w:hint="eastAsia" w:ascii="宋体" w:hAnsi="宋体" w:eastAsia="宋体" w:cs="宋体"/>
          <w:sz w:val="21"/>
          <w:szCs w:val="21"/>
          <w:highlight w:val="none"/>
        </w:rPr>
        <w:t>.预付款保函（适用于预付款支付）（投标时无须提供本模板格式）</w:t>
      </w:r>
      <w:r>
        <w:rPr>
          <w:rFonts w:hint="eastAsia" w:ascii="宋体" w:hAnsi="宋体" w:eastAsia="宋体" w:cs="宋体"/>
          <w:sz w:val="21"/>
          <w:szCs w:val="21"/>
        </w:rPr>
        <w:tab/>
      </w:r>
      <w:r>
        <w:rPr>
          <w:rFonts w:hint="eastAsia" w:ascii="宋体" w:hAnsi="宋体" w:eastAsia="宋体" w:cs="宋体"/>
          <w:sz w:val="21"/>
          <w:szCs w:val="21"/>
        </w:rPr>
        <w:fldChar w:fldCharType="begin"/>
      </w:r>
      <w:r>
        <w:rPr>
          <w:rFonts w:hint="eastAsia" w:ascii="宋体" w:hAnsi="宋体" w:eastAsia="宋体" w:cs="宋体"/>
          <w:sz w:val="21"/>
          <w:szCs w:val="21"/>
        </w:rPr>
        <w:instrText xml:space="preserve"> PAGEREF _Toc1326 \h </w:instrText>
      </w:r>
      <w:r>
        <w:rPr>
          <w:rFonts w:hint="eastAsia" w:ascii="宋体" w:hAnsi="宋体" w:eastAsia="宋体" w:cs="宋体"/>
          <w:sz w:val="21"/>
          <w:szCs w:val="21"/>
        </w:rPr>
        <w:fldChar w:fldCharType="separate"/>
      </w:r>
      <w:r>
        <w:rPr>
          <w:rFonts w:hint="eastAsia" w:ascii="宋体" w:hAnsi="宋体" w:eastAsia="宋体" w:cs="宋体"/>
          <w:sz w:val="21"/>
          <w:szCs w:val="21"/>
        </w:rPr>
        <w:t>69</w:t>
      </w:r>
      <w:r>
        <w:rPr>
          <w:rFonts w:hint="eastAsia" w:ascii="宋体" w:hAnsi="宋体" w:eastAsia="宋体" w:cs="宋体"/>
          <w:sz w:val="21"/>
          <w:szCs w:val="21"/>
        </w:rPr>
        <w:fldChar w:fldCharType="end"/>
      </w:r>
      <w:r>
        <w:rPr>
          <w:rFonts w:hint="eastAsia" w:ascii="宋体" w:hAnsi="宋体" w:eastAsia="宋体" w:cs="宋体"/>
          <w:color w:val="auto"/>
          <w:sz w:val="21"/>
          <w:szCs w:val="21"/>
          <w:highlight w:val="none"/>
        </w:rPr>
        <w:fldChar w:fldCharType="end"/>
      </w:r>
    </w:p>
    <w:p w14:paraId="1CEC9EBB">
      <w:pPr>
        <w:pStyle w:val="13"/>
        <w:tabs>
          <w:tab w:val="right" w:leader="dot" w:pos="8306"/>
          <w:tab w:val="clear" w:pos="8296"/>
        </w:tabs>
        <w:rPr>
          <w:rFonts w:hint="eastAsia" w:ascii="宋体" w:hAnsi="宋体" w:eastAsia="宋体" w:cs="宋体"/>
          <w:sz w:val="21"/>
          <w:szCs w:val="21"/>
        </w:rPr>
      </w:pPr>
      <w:r>
        <w:rPr>
          <w:rFonts w:hint="eastAsia" w:ascii="宋体" w:hAnsi="宋体" w:eastAsia="宋体" w:cs="宋体"/>
          <w:color w:val="auto"/>
          <w:sz w:val="21"/>
          <w:szCs w:val="21"/>
          <w:highlight w:val="none"/>
        </w:rPr>
        <w:fldChar w:fldCharType="begin"/>
      </w:r>
      <w:r>
        <w:rPr>
          <w:rFonts w:hint="eastAsia" w:ascii="宋体" w:hAnsi="宋体" w:eastAsia="宋体" w:cs="宋体"/>
          <w:sz w:val="21"/>
          <w:szCs w:val="21"/>
          <w:highlight w:val="none"/>
        </w:rPr>
        <w:instrText xml:space="preserve"> HYPERLINK \l _Toc14628 </w:instrText>
      </w:r>
      <w:r>
        <w:rPr>
          <w:rFonts w:hint="eastAsia" w:ascii="宋体" w:hAnsi="宋体" w:eastAsia="宋体" w:cs="宋体"/>
          <w:sz w:val="21"/>
          <w:szCs w:val="21"/>
          <w:highlight w:val="none"/>
        </w:rPr>
        <w:fldChar w:fldCharType="separate"/>
      </w:r>
      <w:r>
        <w:rPr>
          <w:rFonts w:hint="eastAsia" w:ascii="宋体" w:hAnsi="宋体" w:eastAsia="宋体" w:cs="宋体"/>
          <w:sz w:val="21"/>
          <w:szCs w:val="21"/>
          <w:highlight w:val="none"/>
        </w:rPr>
        <w:t>唱标信封</w:t>
      </w:r>
      <w:r>
        <w:rPr>
          <w:rFonts w:hint="eastAsia" w:ascii="宋体" w:hAnsi="宋体" w:eastAsia="宋体" w:cs="宋体"/>
          <w:sz w:val="21"/>
          <w:szCs w:val="21"/>
        </w:rPr>
        <w:tab/>
      </w:r>
      <w:r>
        <w:rPr>
          <w:rFonts w:hint="eastAsia" w:ascii="宋体" w:hAnsi="宋体" w:eastAsia="宋体" w:cs="宋体"/>
          <w:sz w:val="21"/>
          <w:szCs w:val="21"/>
        </w:rPr>
        <w:fldChar w:fldCharType="begin"/>
      </w:r>
      <w:r>
        <w:rPr>
          <w:rFonts w:hint="eastAsia" w:ascii="宋体" w:hAnsi="宋体" w:eastAsia="宋体" w:cs="宋体"/>
          <w:sz w:val="21"/>
          <w:szCs w:val="21"/>
        </w:rPr>
        <w:instrText xml:space="preserve"> PAGEREF _Toc14628 \h </w:instrText>
      </w:r>
      <w:r>
        <w:rPr>
          <w:rFonts w:hint="eastAsia" w:ascii="宋体" w:hAnsi="宋体" w:eastAsia="宋体" w:cs="宋体"/>
          <w:sz w:val="21"/>
          <w:szCs w:val="21"/>
        </w:rPr>
        <w:fldChar w:fldCharType="separate"/>
      </w:r>
      <w:r>
        <w:rPr>
          <w:rFonts w:hint="eastAsia" w:ascii="宋体" w:hAnsi="宋体" w:eastAsia="宋体" w:cs="宋体"/>
          <w:sz w:val="21"/>
          <w:szCs w:val="21"/>
        </w:rPr>
        <w:t>70</w:t>
      </w:r>
      <w:r>
        <w:rPr>
          <w:rFonts w:hint="eastAsia" w:ascii="宋体" w:hAnsi="宋体" w:eastAsia="宋体" w:cs="宋体"/>
          <w:sz w:val="21"/>
          <w:szCs w:val="21"/>
        </w:rPr>
        <w:fldChar w:fldCharType="end"/>
      </w:r>
      <w:r>
        <w:rPr>
          <w:rFonts w:hint="eastAsia" w:ascii="宋体" w:hAnsi="宋体" w:eastAsia="宋体" w:cs="宋体"/>
          <w:color w:val="auto"/>
          <w:sz w:val="21"/>
          <w:szCs w:val="21"/>
          <w:highlight w:val="none"/>
        </w:rPr>
        <w:fldChar w:fldCharType="end"/>
      </w:r>
    </w:p>
    <w:p w14:paraId="4B9E36CB">
      <w:pPr>
        <w:pStyle w:val="11"/>
        <w:tabs>
          <w:tab w:val="right" w:leader="dot" w:pos="8306"/>
          <w:tab w:val="clear" w:pos="8296"/>
        </w:tabs>
        <w:rPr>
          <w:rFonts w:hint="eastAsia" w:ascii="宋体" w:hAnsi="宋体" w:eastAsia="宋体" w:cs="宋体"/>
          <w:sz w:val="21"/>
          <w:szCs w:val="21"/>
        </w:rPr>
      </w:pPr>
      <w:r>
        <w:rPr>
          <w:rFonts w:hint="eastAsia" w:ascii="宋体" w:hAnsi="宋体" w:eastAsia="宋体" w:cs="宋体"/>
          <w:color w:val="auto"/>
          <w:sz w:val="21"/>
          <w:szCs w:val="21"/>
          <w:highlight w:val="none"/>
        </w:rPr>
        <w:fldChar w:fldCharType="begin"/>
      </w:r>
      <w:r>
        <w:rPr>
          <w:rFonts w:hint="eastAsia" w:ascii="宋体" w:hAnsi="宋体" w:eastAsia="宋体" w:cs="宋体"/>
          <w:sz w:val="21"/>
          <w:szCs w:val="21"/>
          <w:highlight w:val="none"/>
        </w:rPr>
        <w:instrText xml:space="preserve"> HYPERLINK \l _Toc2708 </w:instrText>
      </w:r>
      <w:r>
        <w:rPr>
          <w:rFonts w:hint="eastAsia" w:ascii="宋体" w:hAnsi="宋体" w:eastAsia="宋体" w:cs="宋体"/>
          <w:sz w:val="21"/>
          <w:szCs w:val="21"/>
          <w:highlight w:val="none"/>
        </w:rPr>
        <w:fldChar w:fldCharType="separate"/>
      </w:r>
      <w:r>
        <w:rPr>
          <w:rFonts w:hint="eastAsia" w:ascii="宋体" w:hAnsi="宋体" w:eastAsia="宋体" w:cs="宋体"/>
          <w:sz w:val="21"/>
          <w:szCs w:val="21"/>
          <w:highlight w:val="none"/>
        </w:rPr>
        <w:t>附件</w:t>
      </w:r>
      <w:r>
        <w:rPr>
          <w:rFonts w:hint="eastAsia" w:ascii="宋体" w:hAnsi="宋体" w:eastAsia="宋体" w:cs="宋体"/>
          <w:sz w:val="21"/>
          <w:szCs w:val="21"/>
          <w:highlight w:val="none"/>
          <w:lang w:val="en-US" w:eastAsia="zh-CN"/>
        </w:rPr>
        <w:t>17</w:t>
      </w:r>
      <w:r>
        <w:rPr>
          <w:rFonts w:hint="eastAsia" w:ascii="宋体" w:hAnsi="宋体" w:eastAsia="宋体" w:cs="宋体"/>
          <w:sz w:val="21"/>
          <w:szCs w:val="21"/>
          <w:highlight w:val="none"/>
        </w:rPr>
        <w:t>.唱标信封内装（内容务必与投标文件正本一致）</w:t>
      </w:r>
      <w:r>
        <w:rPr>
          <w:rFonts w:hint="eastAsia" w:ascii="宋体" w:hAnsi="宋体" w:eastAsia="宋体" w:cs="宋体"/>
          <w:sz w:val="21"/>
          <w:szCs w:val="21"/>
        </w:rPr>
        <w:tab/>
      </w:r>
      <w:r>
        <w:rPr>
          <w:rFonts w:hint="eastAsia" w:ascii="宋体" w:hAnsi="宋体" w:eastAsia="宋体" w:cs="宋体"/>
          <w:sz w:val="21"/>
          <w:szCs w:val="21"/>
        </w:rPr>
        <w:fldChar w:fldCharType="begin"/>
      </w:r>
      <w:r>
        <w:rPr>
          <w:rFonts w:hint="eastAsia" w:ascii="宋体" w:hAnsi="宋体" w:eastAsia="宋体" w:cs="宋体"/>
          <w:sz w:val="21"/>
          <w:szCs w:val="21"/>
        </w:rPr>
        <w:instrText xml:space="preserve"> PAGEREF _Toc2708 \h </w:instrText>
      </w:r>
      <w:r>
        <w:rPr>
          <w:rFonts w:hint="eastAsia" w:ascii="宋体" w:hAnsi="宋体" w:eastAsia="宋体" w:cs="宋体"/>
          <w:sz w:val="21"/>
          <w:szCs w:val="21"/>
        </w:rPr>
        <w:fldChar w:fldCharType="separate"/>
      </w:r>
      <w:r>
        <w:rPr>
          <w:rFonts w:hint="eastAsia" w:ascii="宋体" w:hAnsi="宋体" w:eastAsia="宋体" w:cs="宋体"/>
          <w:sz w:val="21"/>
          <w:szCs w:val="21"/>
        </w:rPr>
        <w:t>71</w:t>
      </w:r>
      <w:r>
        <w:rPr>
          <w:rFonts w:hint="eastAsia" w:ascii="宋体" w:hAnsi="宋体" w:eastAsia="宋体" w:cs="宋体"/>
          <w:sz w:val="21"/>
          <w:szCs w:val="21"/>
        </w:rPr>
        <w:fldChar w:fldCharType="end"/>
      </w:r>
      <w:r>
        <w:rPr>
          <w:rFonts w:hint="eastAsia" w:ascii="宋体" w:hAnsi="宋体" w:eastAsia="宋体" w:cs="宋体"/>
          <w:color w:val="auto"/>
          <w:sz w:val="21"/>
          <w:szCs w:val="21"/>
          <w:highlight w:val="none"/>
        </w:rPr>
        <w:fldChar w:fldCharType="end"/>
      </w:r>
    </w:p>
    <w:p w14:paraId="1D1A1FAE">
      <w:pPr>
        <w:pStyle w:val="13"/>
        <w:tabs>
          <w:tab w:val="right" w:leader="dot" w:pos="8306"/>
          <w:tab w:val="clear" w:pos="8296"/>
        </w:tabs>
        <w:ind w:left="0" w:leftChars="0"/>
        <w:rPr>
          <w:rFonts w:cs="宋体"/>
          <w:color w:val="auto"/>
          <w:sz w:val="21"/>
          <w:szCs w:val="21"/>
          <w:highlight w:val="none"/>
        </w:rPr>
      </w:pPr>
      <w:r>
        <w:rPr>
          <w:rFonts w:hint="eastAsia" w:ascii="宋体" w:hAnsi="宋体" w:eastAsia="宋体" w:cs="宋体"/>
          <w:color w:val="auto"/>
          <w:sz w:val="21"/>
          <w:szCs w:val="21"/>
          <w:highlight w:val="none"/>
        </w:rPr>
        <w:fldChar w:fldCharType="end"/>
      </w:r>
    </w:p>
    <w:p w14:paraId="5CC3596E">
      <w:pPr>
        <w:rPr>
          <w:rFonts w:ascii="宋体" w:hAnsi="宋体" w:cs="宋体"/>
          <w:color w:val="auto"/>
          <w:szCs w:val="21"/>
          <w:highlight w:val="none"/>
        </w:rPr>
      </w:pPr>
      <w:r>
        <w:rPr>
          <w:rFonts w:hint="eastAsia" w:ascii="宋体" w:hAnsi="宋体" w:cs="宋体"/>
          <w:color w:val="auto"/>
          <w:szCs w:val="21"/>
          <w:highlight w:val="none"/>
        </w:rPr>
        <w:br w:type="page"/>
      </w:r>
    </w:p>
    <w:p w14:paraId="5E13B783">
      <w:pPr>
        <w:pStyle w:val="2"/>
        <w:spacing w:before="0" w:after="0" w:line="240" w:lineRule="auto"/>
        <w:rPr>
          <w:color w:val="auto"/>
          <w:sz w:val="28"/>
          <w:szCs w:val="28"/>
          <w:highlight w:val="none"/>
        </w:rPr>
      </w:pPr>
      <w:bookmarkStart w:id="0" w:name="_Toc9813"/>
      <w:bookmarkStart w:id="1" w:name="_Toc21044"/>
      <w:r>
        <w:rPr>
          <w:rFonts w:hint="eastAsia"/>
          <w:color w:val="auto"/>
          <w:sz w:val="28"/>
          <w:szCs w:val="28"/>
          <w:highlight w:val="none"/>
        </w:rPr>
        <w:t>第一部分投标邀请</w:t>
      </w:r>
      <w:bookmarkEnd w:id="0"/>
      <w:bookmarkEnd w:id="1"/>
    </w:p>
    <w:p w14:paraId="223F397A">
      <w:pPr>
        <w:pStyle w:val="3"/>
        <w:spacing w:before="0" w:after="0" w:line="360" w:lineRule="auto"/>
        <w:jc w:val="center"/>
        <w:rPr>
          <w:rFonts w:ascii="宋体" w:hAnsi="宋体" w:cs="宋体"/>
          <w:color w:val="auto"/>
          <w:highlight w:val="none"/>
        </w:rPr>
      </w:pPr>
      <w:bookmarkStart w:id="2" w:name="_Toc14365"/>
      <w:bookmarkStart w:id="3" w:name="_Toc8950"/>
      <w:r>
        <w:rPr>
          <w:rFonts w:hint="eastAsia" w:ascii="宋体" w:hAnsi="宋体" w:cs="宋体"/>
          <w:color w:val="auto"/>
          <w:highlight w:val="none"/>
        </w:rPr>
        <w:t>投标邀请书</w:t>
      </w:r>
      <w:bookmarkEnd w:id="2"/>
      <w:bookmarkEnd w:id="3"/>
    </w:p>
    <w:p w14:paraId="667B94CE">
      <w:pPr>
        <w:ind w:firstLine="422" w:firstLineChars="200"/>
        <w:rPr>
          <w:rFonts w:ascii="宋体" w:hAnsi="宋体"/>
          <w:color w:val="auto"/>
          <w:szCs w:val="21"/>
          <w:highlight w:val="none"/>
        </w:rPr>
      </w:pPr>
      <w:r>
        <w:rPr>
          <w:rFonts w:hint="eastAsia" w:ascii="宋体" w:hAnsi="宋体"/>
          <w:b/>
          <w:bCs/>
          <w:color w:val="auto"/>
          <w:szCs w:val="21"/>
          <w:highlight w:val="none"/>
          <w:u w:val="single"/>
        </w:rPr>
        <w:t>广东政通招标有限公司</w:t>
      </w:r>
      <w:r>
        <w:rPr>
          <w:rFonts w:ascii="宋体" w:hAnsi="宋体"/>
          <w:color w:val="auto"/>
          <w:szCs w:val="21"/>
          <w:highlight w:val="none"/>
        </w:rPr>
        <w:t>（以下简称</w:t>
      </w:r>
      <w:r>
        <w:rPr>
          <w:rFonts w:hint="eastAsia" w:ascii="宋体" w:hAnsi="宋体"/>
          <w:color w:val="auto"/>
          <w:szCs w:val="21"/>
          <w:highlight w:val="none"/>
        </w:rPr>
        <w:t>“采购代理机构”</w:t>
      </w:r>
      <w:r>
        <w:rPr>
          <w:rFonts w:ascii="宋体" w:hAnsi="宋体"/>
          <w:color w:val="auto"/>
          <w:szCs w:val="21"/>
          <w:highlight w:val="none"/>
        </w:rPr>
        <w:t>）受</w:t>
      </w:r>
      <w:r>
        <w:rPr>
          <w:rFonts w:hint="eastAsia" w:ascii="宋体" w:hAnsi="宋体"/>
          <w:b/>
          <w:color w:val="auto"/>
          <w:szCs w:val="21"/>
          <w:highlight w:val="none"/>
          <w:u w:val="single"/>
        </w:rPr>
        <w:t>广东东实环境股份有限公司</w:t>
      </w:r>
      <w:r>
        <w:rPr>
          <w:rFonts w:ascii="宋体" w:hAnsi="宋体"/>
          <w:color w:val="auto"/>
          <w:szCs w:val="21"/>
          <w:highlight w:val="none"/>
        </w:rPr>
        <w:t>（以下简称</w:t>
      </w:r>
      <w:r>
        <w:rPr>
          <w:rFonts w:hint="eastAsia" w:ascii="宋体" w:hAnsi="宋体"/>
          <w:color w:val="auto"/>
          <w:szCs w:val="21"/>
          <w:highlight w:val="none"/>
        </w:rPr>
        <w:t>“采购人”</w:t>
      </w:r>
      <w:r>
        <w:rPr>
          <w:rFonts w:ascii="宋体" w:hAnsi="宋体"/>
          <w:color w:val="auto"/>
          <w:szCs w:val="21"/>
          <w:highlight w:val="none"/>
        </w:rPr>
        <w:t>）委托，</w:t>
      </w:r>
      <w:r>
        <w:rPr>
          <w:rFonts w:hint="eastAsia" w:ascii="宋体" w:hAnsi="宋体"/>
          <w:color w:val="auto"/>
          <w:szCs w:val="21"/>
          <w:highlight w:val="none"/>
        </w:rPr>
        <w:t>现</w:t>
      </w:r>
      <w:r>
        <w:rPr>
          <w:rFonts w:ascii="宋体" w:hAnsi="宋体"/>
          <w:color w:val="auto"/>
          <w:szCs w:val="21"/>
          <w:highlight w:val="none"/>
        </w:rPr>
        <w:t>就</w:t>
      </w:r>
      <w:r>
        <w:rPr>
          <w:rFonts w:hint="eastAsia" w:ascii="宋体" w:hAnsi="宋体"/>
          <w:b/>
          <w:color w:val="auto"/>
          <w:szCs w:val="21"/>
          <w:highlight w:val="none"/>
          <w:u w:val="single"/>
          <w:lang w:eastAsia="zh-CN"/>
        </w:rPr>
        <w:t>餐厨项目2025年度定点维修服务项目（</w:t>
      </w:r>
      <w:r>
        <w:rPr>
          <w:rFonts w:hint="eastAsia" w:ascii="宋体" w:hAnsi="宋体"/>
          <w:b/>
          <w:color w:val="auto"/>
          <w:szCs w:val="21"/>
          <w:highlight w:val="none"/>
          <w:u w:val="single"/>
          <w:lang w:val="en-US" w:eastAsia="zh-CN"/>
        </w:rPr>
        <w:t>第三次</w:t>
      </w:r>
      <w:r>
        <w:rPr>
          <w:rFonts w:hint="eastAsia" w:ascii="宋体" w:hAnsi="宋体"/>
          <w:b/>
          <w:color w:val="auto"/>
          <w:szCs w:val="21"/>
          <w:highlight w:val="none"/>
          <w:u w:val="single"/>
          <w:lang w:eastAsia="zh-CN"/>
        </w:rPr>
        <w:t>采购）</w:t>
      </w:r>
      <w:r>
        <w:rPr>
          <w:rFonts w:hint="eastAsia" w:ascii="宋体" w:hAnsi="宋体"/>
          <w:color w:val="auto"/>
          <w:szCs w:val="21"/>
          <w:highlight w:val="none"/>
        </w:rPr>
        <w:t>（项目编号：</w:t>
      </w:r>
      <w:r>
        <w:rPr>
          <w:rFonts w:hint="eastAsia" w:ascii="宋体" w:hAnsi="宋体"/>
          <w:b/>
          <w:bCs/>
          <w:color w:val="auto"/>
          <w:szCs w:val="21"/>
          <w:highlight w:val="none"/>
          <w:lang w:eastAsia="zh-CN"/>
        </w:rPr>
        <w:t>DSE-GK-2025-001</w:t>
      </w:r>
      <w:r>
        <w:rPr>
          <w:rFonts w:hint="eastAsia" w:ascii="宋体" w:hAnsi="宋体"/>
          <w:color w:val="auto"/>
          <w:szCs w:val="21"/>
          <w:highlight w:val="none"/>
        </w:rPr>
        <w:t>）</w:t>
      </w:r>
      <w:r>
        <w:rPr>
          <w:rFonts w:hint="eastAsia" w:ascii="宋体" w:hAnsi="宋体" w:cs="Times New Roman"/>
          <w:color w:val="auto"/>
          <w:szCs w:val="21"/>
          <w:highlight w:val="none"/>
        </w:rPr>
        <w:t>进行国内公开采购</w:t>
      </w:r>
      <w:r>
        <w:rPr>
          <w:rFonts w:hint="eastAsia" w:ascii="宋体" w:hAnsi="宋体"/>
          <w:color w:val="auto"/>
          <w:szCs w:val="21"/>
          <w:highlight w:val="none"/>
        </w:rPr>
        <w:t>，欢迎符合采购文件要求的国内投标人参加投标</w:t>
      </w:r>
      <w:r>
        <w:rPr>
          <w:rFonts w:ascii="宋体" w:hAnsi="宋体"/>
          <w:color w:val="auto"/>
          <w:szCs w:val="21"/>
          <w:highlight w:val="none"/>
        </w:rPr>
        <w:t>。有关事项如下：</w:t>
      </w:r>
    </w:p>
    <w:p w14:paraId="3AA8C704">
      <w:pPr>
        <w:ind w:firstLine="413" w:firstLineChars="196"/>
        <w:rPr>
          <w:rFonts w:ascii="宋体" w:hAnsi="宋体"/>
          <w:b/>
          <w:color w:val="auto"/>
          <w:szCs w:val="21"/>
          <w:highlight w:val="none"/>
        </w:rPr>
      </w:pPr>
    </w:p>
    <w:p w14:paraId="516B8C32">
      <w:pPr>
        <w:ind w:firstLine="413"/>
        <w:rPr>
          <w:rFonts w:ascii="宋体" w:hAnsi="宋体"/>
          <w:b/>
          <w:color w:val="auto"/>
          <w:szCs w:val="21"/>
          <w:highlight w:val="none"/>
        </w:rPr>
      </w:pPr>
      <w:r>
        <w:rPr>
          <w:rFonts w:hint="eastAsia" w:ascii="宋体" w:hAnsi="宋体"/>
          <w:b/>
          <w:color w:val="auto"/>
          <w:szCs w:val="21"/>
          <w:highlight w:val="none"/>
        </w:rPr>
        <w:t>一、采购项目概况</w:t>
      </w:r>
    </w:p>
    <w:p w14:paraId="55A61014">
      <w:pPr>
        <w:ind w:firstLine="420" w:firstLineChars="200"/>
        <w:rPr>
          <w:rFonts w:hint="default" w:ascii="宋体" w:hAnsi="宋体" w:eastAsia="宋体"/>
          <w:color w:val="auto"/>
          <w:szCs w:val="21"/>
          <w:highlight w:val="none"/>
          <w:lang w:val="en-US" w:eastAsia="zh-CN"/>
        </w:rPr>
      </w:pPr>
      <w:r>
        <w:rPr>
          <w:rFonts w:ascii="宋体" w:hAnsi="宋体"/>
          <w:color w:val="auto"/>
          <w:szCs w:val="21"/>
          <w:highlight w:val="none"/>
        </w:rPr>
        <w:t>1</w:t>
      </w:r>
      <w:r>
        <w:rPr>
          <w:rFonts w:hint="eastAsia" w:ascii="宋体" w:hAnsi="宋体"/>
          <w:color w:val="auto"/>
          <w:szCs w:val="21"/>
          <w:highlight w:val="none"/>
        </w:rPr>
        <w:t>、采购</w:t>
      </w:r>
      <w:r>
        <w:rPr>
          <w:rFonts w:ascii="宋体" w:hAnsi="宋体"/>
          <w:color w:val="auto"/>
          <w:szCs w:val="21"/>
          <w:highlight w:val="none"/>
        </w:rPr>
        <w:t>项目名称</w:t>
      </w:r>
      <w:r>
        <w:rPr>
          <w:rFonts w:hint="eastAsia" w:ascii="宋体" w:hAnsi="宋体"/>
          <w:color w:val="auto"/>
          <w:szCs w:val="21"/>
          <w:highlight w:val="none"/>
        </w:rPr>
        <w:t>：</w:t>
      </w:r>
      <w:r>
        <w:rPr>
          <w:rFonts w:hint="eastAsia" w:ascii="宋体" w:hAnsi="宋体"/>
          <w:color w:val="auto"/>
          <w:szCs w:val="21"/>
          <w:highlight w:val="none"/>
          <w:u w:val="single"/>
        </w:rPr>
        <w:t xml:space="preserve">  </w:t>
      </w:r>
      <w:r>
        <w:rPr>
          <w:rFonts w:hint="eastAsia" w:ascii="宋体" w:hAnsi="宋体"/>
          <w:b/>
          <w:color w:val="auto"/>
          <w:szCs w:val="21"/>
          <w:highlight w:val="none"/>
          <w:u w:val="single"/>
          <w:lang w:eastAsia="zh-CN"/>
        </w:rPr>
        <w:t>餐厨项目2025年度定点维修服务项目（</w:t>
      </w:r>
      <w:r>
        <w:rPr>
          <w:rFonts w:hint="eastAsia" w:ascii="宋体" w:hAnsi="宋体"/>
          <w:b/>
          <w:color w:val="auto"/>
          <w:szCs w:val="21"/>
          <w:highlight w:val="none"/>
          <w:u w:val="single"/>
          <w:lang w:val="en-US" w:eastAsia="zh-CN"/>
        </w:rPr>
        <w:t>第三次</w:t>
      </w:r>
      <w:r>
        <w:rPr>
          <w:rFonts w:hint="eastAsia" w:ascii="宋体" w:hAnsi="宋体"/>
          <w:b/>
          <w:color w:val="auto"/>
          <w:szCs w:val="21"/>
          <w:highlight w:val="none"/>
          <w:u w:val="single"/>
          <w:lang w:eastAsia="zh-CN"/>
        </w:rPr>
        <w:t>采购）</w:t>
      </w:r>
    </w:p>
    <w:tbl>
      <w:tblPr>
        <w:tblStyle w:val="16"/>
        <w:tblW w:w="453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34"/>
        <w:gridCol w:w="2365"/>
        <w:gridCol w:w="2450"/>
        <w:gridCol w:w="2172"/>
      </w:tblGrid>
      <w:tr w14:paraId="28B4DA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476" w:type="pct"/>
            <w:vAlign w:val="center"/>
          </w:tcPr>
          <w:p w14:paraId="1AF98B62">
            <w:pPr>
              <w:jc w:val="center"/>
              <w:rPr>
                <w:rFonts w:ascii="宋体" w:hAnsi="宋体"/>
                <w:color w:val="auto"/>
                <w:szCs w:val="21"/>
                <w:highlight w:val="none"/>
              </w:rPr>
            </w:pPr>
            <w:r>
              <w:rPr>
                <w:rFonts w:hint="eastAsia" w:ascii="宋体" w:hAnsi="宋体"/>
                <w:color w:val="auto"/>
                <w:szCs w:val="21"/>
                <w:highlight w:val="none"/>
              </w:rPr>
              <w:t>序号</w:t>
            </w:r>
          </w:p>
        </w:tc>
        <w:tc>
          <w:tcPr>
            <w:tcW w:w="1531" w:type="pct"/>
            <w:vAlign w:val="center"/>
          </w:tcPr>
          <w:p w14:paraId="2FB27E41">
            <w:pPr>
              <w:jc w:val="center"/>
              <w:rPr>
                <w:rFonts w:ascii="宋体" w:hAnsi="宋体"/>
                <w:color w:val="auto"/>
                <w:szCs w:val="21"/>
                <w:highlight w:val="none"/>
              </w:rPr>
            </w:pPr>
            <w:r>
              <w:rPr>
                <w:rFonts w:hint="eastAsia" w:ascii="宋体" w:hAnsi="宋体"/>
                <w:color w:val="auto"/>
                <w:szCs w:val="21"/>
                <w:highlight w:val="none"/>
              </w:rPr>
              <w:t>项目采购内容</w:t>
            </w:r>
          </w:p>
        </w:tc>
        <w:tc>
          <w:tcPr>
            <w:tcW w:w="1586" w:type="pct"/>
            <w:vAlign w:val="center"/>
          </w:tcPr>
          <w:p w14:paraId="36A0E8AF">
            <w:pPr>
              <w:jc w:val="center"/>
              <w:rPr>
                <w:rFonts w:ascii="宋体" w:hAnsi="宋体"/>
                <w:color w:val="auto"/>
                <w:szCs w:val="21"/>
                <w:highlight w:val="none"/>
              </w:rPr>
            </w:pPr>
            <w:r>
              <w:rPr>
                <w:rFonts w:hint="eastAsia" w:ascii="宋体" w:hAnsi="宋体"/>
                <w:color w:val="auto"/>
                <w:szCs w:val="21"/>
                <w:highlight w:val="none"/>
              </w:rPr>
              <w:t>服务期限</w:t>
            </w:r>
          </w:p>
        </w:tc>
        <w:tc>
          <w:tcPr>
            <w:tcW w:w="1406" w:type="pct"/>
            <w:vAlign w:val="center"/>
          </w:tcPr>
          <w:p w14:paraId="2A09C919">
            <w:pPr>
              <w:jc w:val="center"/>
              <w:rPr>
                <w:rFonts w:ascii="宋体" w:hAnsi="宋体"/>
                <w:color w:val="auto"/>
                <w:szCs w:val="21"/>
                <w:highlight w:val="none"/>
              </w:rPr>
            </w:pPr>
            <w:r>
              <w:rPr>
                <w:rFonts w:hint="eastAsia" w:ascii="宋体" w:hAnsi="宋体"/>
                <w:color w:val="auto"/>
                <w:szCs w:val="21"/>
                <w:highlight w:val="none"/>
              </w:rPr>
              <w:t>预算金额（单位：元）</w:t>
            </w:r>
          </w:p>
        </w:tc>
      </w:tr>
      <w:tr w14:paraId="071AC9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75" w:hRule="atLeast"/>
          <w:jc w:val="center"/>
        </w:trPr>
        <w:tc>
          <w:tcPr>
            <w:tcW w:w="476" w:type="pct"/>
            <w:vAlign w:val="center"/>
          </w:tcPr>
          <w:p w14:paraId="3BFF60AD">
            <w:pPr>
              <w:jc w:val="center"/>
              <w:rPr>
                <w:rFonts w:ascii="宋体" w:hAnsi="宋体"/>
                <w:color w:val="auto"/>
                <w:szCs w:val="21"/>
                <w:highlight w:val="none"/>
              </w:rPr>
            </w:pPr>
            <w:r>
              <w:rPr>
                <w:rFonts w:hint="eastAsia" w:ascii="宋体" w:hAnsi="宋体"/>
                <w:color w:val="auto"/>
                <w:szCs w:val="21"/>
                <w:highlight w:val="none"/>
              </w:rPr>
              <w:t>1</w:t>
            </w:r>
          </w:p>
        </w:tc>
        <w:tc>
          <w:tcPr>
            <w:tcW w:w="1531" w:type="pct"/>
            <w:vAlign w:val="center"/>
          </w:tcPr>
          <w:p w14:paraId="76E167D4">
            <w:pPr>
              <w:jc w:val="center"/>
              <w:rPr>
                <w:rFonts w:hint="eastAsia" w:ascii="宋体" w:hAnsi="宋体" w:eastAsia="宋体"/>
                <w:color w:val="auto"/>
                <w:szCs w:val="21"/>
                <w:highlight w:val="none"/>
                <w:lang w:eastAsia="zh-CN"/>
              </w:rPr>
            </w:pPr>
            <w:r>
              <w:rPr>
                <w:rFonts w:hint="eastAsia" w:ascii="宋体" w:hAnsi="宋体"/>
                <w:color w:val="auto"/>
                <w:szCs w:val="21"/>
                <w:highlight w:val="none"/>
                <w:lang w:eastAsia="zh-CN"/>
              </w:rPr>
              <w:t>餐厨项目2025年度定点维修服务项目</w:t>
            </w:r>
          </w:p>
        </w:tc>
        <w:tc>
          <w:tcPr>
            <w:tcW w:w="1586" w:type="pct"/>
            <w:vAlign w:val="center"/>
          </w:tcPr>
          <w:p w14:paraId="0E054C27">
            <w:pPr>
              <w:jc w:val="center"/>
              <w:rPr>
                <w:rFonts w:ascii="宋体" w:hAnsi="宋体"/>
                <w:color w:val="auto"/>
                <w:szCs w:val="21"/>
                <w:highlight w:val="none"/>
              </w:rPr>
            </w:pPr>
            <w:r>
              <w:rPr>
                <w:rFonts w:hint="eastAsia" w:ascii="宋体" w:hAnsi="宋体" w:cs="宋体"/>
                <w:color w:val="auto"/>
                <w:szCs w:val="21"/>
                <w:highlight w:val="none"/>
              </w:rPr>
              <w:t>自发出中标通知书之日起服务期1年或达到项目预算金额</w:t>
            </w:r>
          </w:p>
        </w:tc>
        <w:tc>
          <w:tcPr>
            <w:tcW w:w="1406" w:type="pct"/>
            <w:vAlign w:val="center"/>
          </w:tcPr>
          <w:p w14:paraId="329CAAB5">
            <w:pPr>
              <w:jc w:val="center"/>
              <w:rPr>
                <w:rFonts w:hint="eastAsia" w:ascii="宋体" w:hAnsi="宋体" w:eastAsia="宋体"/>
                <w:color w:val="auto"/>
                <w:szCs w:val="21"/>
                <w:highlight w:val="none"/>
                <w:lang w:eastAsia="zh-CN"/>
              </w:rPr>
            </w:pPr>
            <w:r>
              <w:rPr>
                <w:rFonts w:hint="eastAsia" w:ascii="宋体" w:hAnsi="宋体"/>
                <w:color w:val="auto"/>
                <w:szCs w:val="21"/>
                <w:highlight w:val="none"/>
                <w:lang w:eastAsia="zh-CN"/>
              </w:rPr>
              <w:t>1</w:t>
            </w:r>
            <w:r>
              <w:rPr>
                <w:rFonts w:hint="eastAsia" w:ascii="宋体" w:hAnsi="宋体"/>
                <w:color w:val="auto"/>
                <w:szCs w:val="21"/>
                <w:highlight w:val="none"/>
                <w:lang w:val="en-US" w:eastAsia="zh-CN"/>
              </w:rPr>
              <w:t>,</w:t>
            </w:r>
            <w:r>
              <w:rPr>
                <w:rFonts w:hint="eastAsia" w:ascii="宋体" w:hAnsi="宋体"/>
                <w:color w:val="auto"/>
                <w:szCs w:val="21"/>
                <w:highlight w:val="none"/>
                <w:lang w:eastAsia="zh-CN"/>
              </w:rPr>
              <w:t>749</w:t>
            </w:r>
            <w:r>
              <w:rPr>
                <w:rFonts w:hint="eastAsia" w:ascii="宋体" w:hAnsi="宋体"/>
                <w:color w:val="auto"/>
                <w:szCs w:val="21"/>
                <w:highlight w:val="none"/>
                <w:lang w:val="en-US" w:eastAsia="zh-CN"/>
              </w:rPr>
              <w:t>,</w:t>
            </w:r>
            <w:r>
              <w:rPr>
                <w:rFonts w:hint="eastAsia" w:ascii="宋体" w:hAnsi="宋体"/>
                <w:color w:val="auto"/>
                <w:szCs w:val="21"/>
                <w:highlight w:val="none"/>
                <w:lang w:eastAsia="zh-CN"/>
              </w:rPr>
              <w:t>6</w:t>
            </w:r>
            <w:r>
              <w:rPr>
                <w:rFonts w:hint="eastAsia" w:ascii="宋体" w:hAnsi="宋体"/>
                <w:color w:val="auto"/>
                <w:szCs w:val="21"/>
                <w:highlight w:val="none"/>
                <w:lang w:val="en-US" w:eastAsia="zh-CN"/>
              </w:rPr>
              <w:t>00.00</w:t>
            </w:r>
            <w:r>
              <w:rPr>
                <w:rFonts w:hint="eastAsia" w:ascii="宋体" w:hAnsi="宋体"/>
                <w:color w:val="auto"/>
                <w:szCs w:val="21"/>
                <w:highlight w:val="none"/>
                <w:lang w:eastAsia="zh-CN"/>
              </w:rPr>
              <w:t xml:space="preserve"> </w:t>
            </w:r>
          </w:p>
        </w:tc>
      </w:tr>
    </w:tbl>
    <w:p w14:paraId="35C1A9C4">
      <w:pPr>
        <w:ind w:firstLine="420" w:firstLineChars="200"/>
        <w:rPr>
          <w:rFonts w:ascii="宋体" w:hAnsi="宋体"/>
          <w:color w:val="auto"/>
          <w:szCs w:val="21"/>
          <w:highlight w:val="none"/>
        </w:rPr>
      </w:pPr>
      <w:r>
        <w:rPr>
          <w:rFonts w:hint="eastAsia" w:ascii="宋体" w:hAnsi="宋体"/>
          <w:color w:val="auto"/>
          <w:szCs w:val="21"/>
          <w:highlight w:val="none"/>
        </w:rPr>
        <w:t>2、项目需求</w:t>
      </w:r>
    </w:p>
    <w:p w14:paraId="39F10E36">
      <w:pPr>
        <w:ind w:firstLine="420" w:firstLineChars="200"/>
        <w:rPr>
          <w:rFonts w:ascii="宋体" w:hAnsi="宋体"/>
          <w:color w:val="auto"/>
          <w:szCs w:val="21"/>
          <w:highlight w:val="none"/>
        </w:rPr>
      </w:pPr>
      <w:r>
        <w:rPr>
          <w:rFonts w:hint="eastAsia" w:ascii="宋体" w:hAnsi="宋体"/>
          <w:color w:val="auto"/>
          <w:szCs w:val="21"/>
          <w:highlight w:val="none"/>
        </w:rPr>
        <w:t>详细内容请参阅采购文件第三部分《用户需求书》。</w:t>
      </w:r>
    </w:p>
    <w:p w14:paraId="33A3552F">
      <w:pPr>
        <w:ind w:firstLine="413" w:firstLineChars="196"/>
        <w:rPr>
          <w:rFonts w:ascii="宋体" w:hAnsi="宋体"/>
          <w:b/>
          <w:color w:val="auto"/>
          <w:szCs w:val="21"/>
          <w:highlight w:val="none"/>
        </w:rPr>
      </w:pPr>
    </w:p>
    <w:p w14:paraId="73A9EC7C">
      <w:pPr>
        <w:ind w:firstLine="413" w:firstLineChars="196"/>
        <w:rPr>
          <w:rFonts w:ascii="宋体" w:hAnsi="宋体"/>
          <w:b/>
          <w:color w:val="auto"/>
          <w:szCs w:val="21"/>
          <w:highlight w:val="none"/>
        </w:rPr>
      </w:pPr>
      <w:r>
        <w:rPr>
          <w:rFonts w:hint="eastAsia" w:ascii="宋体" w:hAnsi="宋体"/>
          <w:b/>
          <w:color w:val="auto"/>
          <w:szCs w:val="21"/>
          <w:highlight w:val="none"/>
        </w:rPr>
        <w:t>二、投标人资格要求</w:t>
      </w:r>
    </w:p>
    <w:p w14:paraId="0E88F32C">
      <w:pPr>
        <w:ind w:firstLine="411" w:firstLineChars="196"/>
        <w:rPr>
          <w:rFonts w:ascii="宋体" w:hAnsi="宋体"/>
          <w:color w:val="auto"/>
          <w:szCs w:val="21"/>
          <w:highlight w:val="none"/>
        </w:rPr>
      </w:pPr>
      <w:r>
        <w:rPr>
          <w:rFonts w:hint="eastAsia" w:ascii="宋体" w:hAnsi="宋体"/>
          <w:color w:val="auto"/>
          <w:szCs w:val="21"/>
          <w:highlight w:val="none"/>
        </w:rPr>
        <w:t>1、一般要求：</w:t>
      </w:r>
    </w:p>
    <w:p w14:paraId="17074A6F">
      <w:pPr>
        <w:ind w:firstLine="420" w:firstLineChars="200"/>
        <w:rPr>
          <w:rFonts w:ascii="宋体" w:hAnsi="宋体"/>
          <w:color w:val="auto"/>
          <w:szCs w:val="21"/>
          <w:highlight w:val="none"/>
        </w:rPr>
      </w:pPr>
      <w:r>
        <w:rPr>
          <w:rFonts w:hint="eastAsia" w:ascii="宋体" w:hAnsi="宋体"/>
          <w:color w:val="auto"/>
          <w:szCs w:val="21"/>
          <w:highlight w:val="none"/>
        </w:rPr>
        <w:t>（1）</w:t>
      </w:r>
      <w:r>
        <w:rPr>
          <w:rFonts w:hint="eastAsia"/>
          <w:color w:val="auto"/>
          <w:highlight w:val="none"/>
        </w:rPr>
        <w:t>投</w:t>
      </w:r>
      <w:r>
        <w:rPr>
          <w:rFonts w:hint="eastAsia" w:ascii="宋体" w:hAnsi="宋体"/>
          <w:color w:val="auto"/>
          <w:szCs w:val="21"/>
          <w:highlight w:val="none"/>
        </w:rPr>
        <w:t>标人须为在中华人民共和国境内登记注册的法人或其他组织。【提供《营业执照》复印件（加盖公章）或《事业单位法人证书》复印件（加盖公章）或其他主体证书复印件（加盖公章）】；</w:t>
      </w:r>
    </w:p>
    <w:p w14:paraId="1D634A50">
      <w:pPr>
        <w:ind w:firstLine="420" w:firstLineChars="200"/>
        <w:rPr>
          <w:rFonts w:ascii="宋体" w:hAnsi="宋体"/>
          <w:color w:val="auto"/>
          <w:szCs w:val="21"/>
          <w:highlight w:val="none"/>
        </w:rPr>
      </w:pPr>
      <w:r>
        <w:rPr>
          <w:rFonts w:hint="eastAsia" w:ascii="宋体" w:hAnsi="宋体"/>
          <w:color w:val="auto"/>
          <w:szCs w:val="21"/>
          <w:highlight w:val="none"/>
        </w:rPr>
        <w:t>（2）</w:t>
      </w:r>
      <w:r>
        <w:rPr>
          <w:rFonts w:hint="eastAsia" w:ascii="宋体" w:hAnsi="宋体"/>
          <w:color w:val="auto"/>
          <w:szCs w:val="21"/>
          <w:highlight w:val="none"/>
          <w:lang w:eastAsia="zh-CN"/>
        </w:rPr>
        <w:t>参加采购活动前三年内，在经营活动中没有重大违法记录（须提供书面声明）。重大违法记录，是指供应商因违法经营受到刑事处罚或者责令停产停业、吊销许可证或者执照、较大数额罚款等行政处罚。（根据财库〔2022〕3号文，“较大数额罚款”认定为200万元以上的罚款，法律、行政法规以及国务院有关部门明确规定相关领域“较大数额罚款”标准高于200万元的，从其规定，如有最新发文通知，按最新文件执行）</w:t>
      </w:r>
      <w:r>
        <w:rPr>
          <w:rFonts w:hint="eastAsia" w:ascii="宋体" w:hAnsi="宋体"/>
          <w:color w:val="auto"/>
          <w:szCs w:val="21"/>
          <w:highlight w:val="none"/>
        </w:rPr>
        <w:t>；</w:t>
      </w:r>
    </w:p>
    <w:p w14:paraId="657CC722">
      <w:pPr>
        <w:ind w:firstLine="420" w:firstLineChars="200"/>
        <w:rPr>
          <w:rFonts w:ascii="宋体" w:hAnsi="宋体"/>
          <w:color w:val="auto"/>
          <w:szCs w:val="21"/>
          <w:highlight w:val="none"/>
        </w:rPr>
      </w:pPr>
      <w:r>
        <w:rPr>
          <w:rFonts w:hint="eastAsia" w:ascii="宋体" w:hAnsi="宋体"/>
          <w:color w:val="auto"/>
          <w:szCs w:val="21"/>
          <w:highlight w:val="none"/>
        </w:rPr>
        <w:t>（3）投标人的单位负责人为同一人或者存在直接控股、管理关系的不同投标人，不得参加同一合同项下的采购活动（提供承诺函）；</w:t>
      </w:r>
    </w:p>
    <w:p w14:paraId="63BA44C4">
      <w:pPr>
        <w:ind w:firstLine="420" w:firstLineChars="200"/>
        <w:rPr>
          <w:rFonts w:hint="eastAsia" w:ascii="宋体" w:hAnsi="宋体"/>
          <w:color w:val="auto"/>
          <w:szCs w:val="21"/>
          <w:highlight w:val="none"/>
        </w:rPr>
      </w:pPr>
      <w:r>
        <w:rPr>
          <w:rFonts w:hint="eastAsia" w:ascii="宋体" w:hAnsi="宋体"/>
          <w:color w:val="auto"/>
          <w:szCs w:val="21"/>
          <w:highlight w:val="none"/>
        </w:rPr>
        <w:t>（4）未被列入“信用中国”网站(www.creditchina.gov.cn )“记录失信被执行人或重大税收违法失信主体或</w:t>
      </w:r>
      <w:r>
        <w:rPr>
          <w:rFonts w:hint="eastAsia" w:ascii="宋体" w:hAnsi="宋体"/>
          <w:color w:val="auto"/>
          <w:szCs w:val="21"/>
          <w:highlight w:val="none"/>
          <w:lang w:val="en-US" w:eastAsia="zh-CN"/>
        </w:rPr>
        <w:t>严重失信主体</w:t>
      </w:r>
      <w:r>
        <w:rPr>
          <w:rFonts w:hint="eastAsia" w:ascii="宋体" w:hAnsi="宋体"/>
          <w:color w:val="auto"/>
          <w:szCs w:val="21"/>
          <w:highlight w:val="none"/>
        </w:rPr>
        <w:t>”记录名单。以代理机构于投标截止日当天在“信用中国”网站查询结果为准，如相关失信记录已失效，投标人需提供相关证明资料。</w:t>
      </w:r>
    </w:p>
    <w:p w14:paraId="712A5DC8">
      <w:pPr>
        <w:ind w:firstLine="420" w:firstLineChars="200"/>
        <w:rPr>
          <w:rFonts w:ascii="宋体" w:hAnsi="宋体"/>
          <w:color w:val="auto"/>
          <w:szCs w:val="21"/>
          <w:highlight w:val="none"/>
        </w:rPr>
      </w:pPr>
      <w:r>
        <w:rPr>
          <w:rFonts w:hint="eastAsia" w:ascii="宋体" w:hAnsi="宋体"/>
          <w:color w:val="auto"/>
          <w:szCs w:val="21"/>
          <w:highlight w:val="none"/>
        </w:rPr>
        <w:t>（5）未被列入东实环境及下属企业相关领域黑名单。【以东实环境及下属企业最新文件执行。】</w:t>
      </w:r>
    </w:p>
    <w:p w14:paraId="4980CC96">
      <w:pPr>
        <w:ind w:firstLine="420" w:firstLineChars="200"/>
        <w:rPr>
          <w:rFonts w:ascii="宋体" w:hAnsi="宋体"/>
          <w:color w:val="auto"/>
          <w:szCs w:val="21"/>
          <w:highlight w:val="none"/>
        </w:rPr>
      </w:pPr>
      <w:r>
        <w:rPr>
          <w:rFonts w:hint="eastAsia" w:ascii="宋体" w:hAnsi="宋体"/>
          <w:color w:val="auto"/>
          <w:szCs w:val="21"/>
          <w:highlight w:val="none"/>
        </w:rPr>
        <w:t>（</w:t>
      </w:r>
      <w:r>
        <w:rPr>
          <w:rFonts w:hint="eastAsia" w:ascii="宋体" w:hAnsi="宋体"/>
          <w:color w:val="auto"/>
          <w:szCs w:val="21"/>
          <w:highlight w:val="none"/>
          <w:lang w:val="en-US" w:eastAsia="zh-CN"/>
        </w:rPr>
        <w:t>6</w:t>
      </w:r>
      <w:r>
        <w:rPr>
          <w:rFonts w:hint="eastAsia" w:ascii="宋体" w:hAnsi="宋体"/>
          <w:color w:val="auto"/>
          <w:szCs w:val="21"/>
          <w:highlight w:val="none"/>
        </w:rPr>
        <w:t>）本项目不接受联合体投标；</w:t>
      </w:r>
    </w:p>
    <w:p w14:paraId="72668CA5">
      <w:pPr>
        <w:ind w:firstLine="420" w:firstLineChars="200"/>
        <w:rPr>
          <w:rFonts w:ascii="宋体" w:hAnsi="宋体"/>
          <w:color w:val="auto"/>
          <w:szCs w:val="21"/>
          <w:highlight w:val="none"/>
        </w:rPr>
      </w:pPr>
      <w:r>
        <w:rPr>
          <w:rFonts w:hint="eastAsia" w:ascii="宋体" w:hAnsi="宋体"/>
          <w:color w:val="auto"/>
          <w:szCs w:val="21"/>
          <w:highlight w:val="none"/>
        </w:rPr>
        <w:t>2、特定资格要求</w:t>
      </w:r>
    </w:p>
    <w:p w14:paraId="4268E278">
      <w:pPr>
        <w:ind w:firstLine="420" w:firstLineChars="200"/>
        <w:rPr>
          <w:rFonts w:hint="eastAsia" w:ascii="宋体" w:hAnsi="宋体"/>
          <w:color w:val="auto"/>
          <w:szCs w:val="21"/>
          <w:highlight w:val="none"/>
        </w:rPr>
      </w:pPr>
      <w:r>
        <w:rPr>
          <w:rFonts w:hint="eastAsia" w:ascii="宋体" w:hAnsi="宋体"/>
          <w:color w:val="auto"/>
          <w:szCs w:val="21"/>
          <w:highlight w:val="none"/>
        </w:rPr>
        <w:t>（</w:t>
      </w:r>
      <w:r>
        <w:rPr>
          <w:rFonts w:hint="eastAsia" w:ascii="宋体" w:hAnsi="宋体"/>
          <w:color w:val="auto"/>
          <w:szCs w:val="21"/>
          <w:highlight w:val="none"/>
          <w:lang w:val="en-US" w:eastAsia="zh-CN"/>
        </w:rPr>
        <w:t>1</w:t>
      </w:r>
      <w:r>
        <w:rPr>
          <w:rFonts w:hint="eastAsia" w:ascii="宋体" w:hAnsi="宋体"/>
          <w:color w:val="auto"/>
          <w:szCs w:val="21"/>
          <w:highlight w:val="none"/>
        </w:rPr>
        <w:t>）投标人需要在</w:t>
      </w:r>
      <w:r>
        <w:rPr>
          <w:rFonts w:hint="eastAsia" w:ascii="宋体" w:hAnsi="宋体"/>
          <w:color w:val="auto"/>
          <w:szCs w:val="21"/>
          <w:highlight w:val="none"/>
          <w:lang w:val="en-US" w:eastAsia="zh-CN"/>
        </w:rPr>
        <w:t>市级（含）以上</w:t>
      </w:r>
      <w:r>
        <w:rPr>
          <w:rFonts w:hint="eastAsia" w:ascii="宋体" w:hAnsi="宋体"/>
          <w:color w:val="auto"/>
          <w:szCs w:val="21"/>
          <w:highlight w:val="none"/>
        </w:rPr>
        <w:t>交通运输局官方网站最新公示的机动车维修经营备案公示汇总清单中，</w:t>
      </w:r>
      <w:r>
        <w:rPr>
          <w:rFonts w:hint="eastAsia" w:ascii="宋体" w:hAnsi="宋体"/>
          <w:color w:val="auto"/>
          <w:szCs w:val="21"/>
          <w:highlight w:val="none"/>
          <w:lang w:val="en-US" w:eastAsia="zh-CN"/>
        </w:rPr>
        <w:t>并</w:t>
      </w:r>
      <w:r>
        <w:rPr>
          <w:rFonts w:hint="eastAsia" w:ascii="宋体" w:hAnsi="宋体"/>
          <w:color w:val="auto"/>
          <w:szCs w:val="21"/>
          <w:highlight w:val="none"/>
        </w:rPr>
        <w:t>要求投标人在备案信息公示的维修企业资质等级为“二类（含）以上机动车维修”。（以代理机构在开标时登录东莞市交通运输局政府信息公开指南“</w:t>
      </w:r>
      <w:bookmarkStart w:id="4" w:name="OLE_LINK8"/>
      <w:r>
        <w:rPr>
          <w:rFonts w:hint="eastAsia" w:ascii="宋体" w:hAnsi="宋体"/>
          <w:color w:val="auto"/>
          <w:szCs w:val="21"/>
          <w:highlight w:val="none"/>
        </w:rPr>
        <w:t>http://jtj.dg.gov.cn/gkmlpt/guide</w:t>
      </w:r>
      <w:bookmarkEnd w:id="4"/>
      <w:r>
        <w:rPr>
          <w:rFonts w:hint="eastAsia" w:ascii="宋体" w:hAnsi="宋体"/>
          <w:color w:val="auto"/>
          <w:szCs w:val="21"/>
          <w:highlight w:val="none"/>
        </w:rPr>
        <w:t>”下载的最新的“东莞市机动车维修经营备案汇总表”的查询结果为准。）</w:t>
      </w:r>
    </w:p>
    <w:p w14:paraId="1BC2D1D7">
      <w:pPr>
        <w:pStyle w:val="5"/>
        <w:ind w:firstLine="420" w:firstLineChars="200"/>
        <w:rPr>
          <w:rFonts w:hint="eastAsia" w:ascii="宋体" w:hAnsi="宋体"/>
          <w:color w:val="auto"/>
          <w:szCs w:val="21"/>
          <w:highlight w:val="none"/>
          <w:lang w:eastAsia="zh-CN"/>
        </w:rPr>
      </w:pPr>
      <w:r>
        <w:rPr>
          <w:rFonts w:hint="eastAsia" w:ascii="宋体" w:hAnsi="宋体"/>
          <w:color w:val="auto"/>
          <w:szCs w:val="21"/>
          <w:highlight w:val="none"/>
        </w:rPr>
        <w:t>（</w:t>
      </w:r>
      <w:r>
        <w:rPr>
          <w:rFonts w:hint="eastAsia" w:ascii="宋体" w:hAnsi="宋体"/>
          <w:color w:val="auto"/>
          <w:szCs w:val="21"/>
          <w:highlight w:val="none"/>
          <w:lang w:val="en-US" w:eastAsia="zh-CN"/>
        </w:rPr>
        <w:t>2</w:t>
      </w:r>
      <w:r>
        <w:rPr>
          <w:rFonts w:hint="eastAsia" w:ascii="宋体" w:hAnsi="宋体"/>
          <w:color w:val="auto"/>
          <w:szCs w:val="21"/>
          <w:highlight w:val="none"/>
        </w:rPr>
        <w:t>）</w:t>
      </w:r>
      <w:bookmarkStart w:id="5" w:name="OLE_LINK1"/>
      <w:r>
        <w:rPr>
          <w:rFonts w:hint="eastAsia" w:ascii="宋体" w:hAnsi="宋体"/>
          <w:color w:val="auto"/>
          <w:szCs w:val="21"/>
          <w:highlight w:val="none"/>
        </w:rPr>
        <w:t>投标人须具有202</w:t>
      </w:r>
      <w:r>
        <w:rPr>
          <w:rFonts w:hint="eastAsia" w:ascii="宋体" w:hAnsi="宋体"/>
          <w:color w:val="auto"/>
          <w:szCs w:val="21"/>
          <w:highlight w:val="none"/>
          <w:lang w:val="en-US" w:eastAsia="zh-CN"/>
        </w:rPr>
        <w:t>2</w:t>
      </w:r>
      <w:r>
        <w:rPr>
          <w:rFonts w:hint="eastAsia" w:ascii="宋体" w:hAnsi="宋体"/>
          <w:color w:val="auto"/>
          <w:szCs w:val="21"/>
          <w:highlight w:val="none"/>
        </w:rPr>
        <w:t>年1月1日起至今</w:t>
      </w:r>
      <w:r>
        <w:rPr>
          <w:rFonts w:hint="eastAsia" w:ascii="宋体" w:hAnsi="宋体"/>
          <w:color w:val="auto"/>
          <w:szCs w:val="21"/>
          <w:highlight w:val="none"/>
          <w:lang w:val="en-US" w:eastAsia="zh-CN"/>
        </w:rPr>
        <w:t>1个环卫车辆或餐厨车辆或特种车辆或其它车辆的维修项目业绩。</w:t>
      </w:r>
      <w:bookmarkEnd w:id="5"/>
      <w:r>
        <w:rPr>
          <w:rFonts w:hint="eastAsia" w:ascii="宋体" w:hAnsi="宋体"/>
          <w:color w:val="auto"/>
          <w:szCs w:val="21"/>
          <w:highlight w:val="none"/>
        </w:rPr>
        <w:t>注：投标人须同时提供合同复印件及合同期内任意一期发票复印件并加盖投标人公章</w:t>
      </w:r>
      <w:r>
        <w:rPr>
          <w:rFonts w:hint="eastAsia" w:ascii="宋体" w:hAnsi="宋体"/>
          <w:color w:val="auto"/>
          <w:szCs w:val="21"/>
          <w:highlight w:val="none"/>
          <w:lang w:eastAsia="zh-CN"/>
        </w:rPr>
        <w:t>。</w:t>
      </w:r>
    </w:p>
    <w:p w14:paraId="2E1EB772">
      <w:pPr>
        <w:pStyle w:val="5"/>
        <w:ind w:firstLine="420" w:firstLineChars="200"/>
        <w:rPr>
          <w:rFonts w:hint="default" w:eastAsia="宋体"/>
          <w:color w:val="auto"/>
          <w:lang w:val="en-US" w:eastAsia="zh-CN"/>
        </w:rPr>
      </w:pPr>
      <w:r>
        <w:rPr>
          <w:rFonts w:hint="eastAsia" w:ascii="宋体" w:hAnsi="宋体"/>
          <w:color w:val="auto"/>
          <w:szCs w:val="21"/>
          <w:highlight w:val="none"/>
          <w:lang w:val="en-US" w:eastAsia="zh-CN"/>
        </w:rPr>
        <w:t>（3）投标人须提供投标截止日前6个月内任意1个月依法缴纳税收及无欠税的证明材料。如依法免税的，须提供相应证明材料。（证明材料须加盖</w:t>
      </w:r>
      <w:r>
        <w:rPr>
          <w:rFonts w:hint="eastAsia" w:ascii="宋体" w:hAnsi="宋体"/>
          <w:color w:val="auto"/>
          <w:szCs w:val="21"/>
          <w:highlight w:val="none"/>
        </w:rPr>
        <w:t>投标人</w:t>
      </w:r>
      <w:r>
        <w:rPr>
          <w:rFonts w:hint="eastAsia" w:ascii="宋体" w:hAnsi="宋体"/>
          <w:color w:val="auto"/>
          <w:szCs w:val="21"/>
          <w:highlight w:val="none"/>
          <w:lang w:val="en-US" w:eastAsia="zh-CN"/>
        </w:rPr>
        <w:t>公章）。</w:t>
      </w:r>
    </w:p>
    <w:p w14:paraId="783F8340">
      <w:pPr>
        <w:ind w:firstLine="420" w:firstLineChars="200"/>
        <w:rPr>
          <w:rFonts w:ascii="宋体" w:hAnsi="宋体"/>
          <w:color w:val="auto"/>
          <w:szCs w:val="21"/>
          <w:highlight w:val="none"/>
        </w:rPr>
      </w:pPr>
    </w:p>
    <w:p w14:paraId="040DA276">
      <w:pPr>
        <w:ind w:firstLine="413" w:firstLineChars="196"/>
        <w:rPr>
          <w:rFonts w:ascii="宋体" w:hAnsi="宋体"/>
          <w:b/>
          <w:color w:val="auto"/>
          <w:szCs w:val="21"/>
          <w:highlight w:val="none"/>
        </w:rPr>
      </w:pPr>
      <w:r>
        <w:rPr>
          <w:rFonts w:hint="eastAsia" w:ascii="宋体" w:hAnsi="宋体"/>
          <w:b/>
          <w:color w:val="auto"/>
          <w:szCs w:val="21"/>
          <w:highlight w:val="none"/>
        </w:rPr>
        <w:t>三、获取采购文件方式及要求：</w:t>
      </w:r>
    </w:p>
    <w:p w14:paraId="684C7EA9">
      <w:pPr>
        <w:wordWrap w:val="0"/>
        <w:ind w:firstLine="420" w:firstLineChars="200"/>
        <w:rPr>
          <w:rFonts w:ascii="宋体" w:hAnsi="宋体" w:cs="宋体"/>
          <w:color w:val="auto"/>
          <w:szCs w:val="21"/>
          <w:highlight w:val="none"/>
        </w:rPr>
      </w:pPr>
      <w:r>
        <w:rPr>
          <w:rFonts w:ascii="宋体" w:hAnsi="宋体" w:cs="宋体"/>
          <w:color w:val="auto"/>
          <w:szCs w:val="21"/>
          <w:highlight w:val="none"/>
        </w:rPr>
        <w:t>1、采购文件下载地址：</w:t>
      </w:r>
      <w:r>
        <w:rPr>
          <w:rFonts w:hint="eastAsia" w:ascii="宋体" w:hAnsi="宋体" w:cs="宋体"/>
          <w:color w:val="auto"/>
          <w:szCs w:val="21"/>
          <w:highlight w:val="none"/>
          <w:u w:val="single"/>
        </w:rPr>
        <w:t>中国招标投标公共服务平台（http://www.cebpubservice.com/）、东莞实业投资控股集团有限公司-招标采购栏目（http://www.dgsy.com.cn/）、广东东实环境股份有限公司</w:t>
      </w:r>
      <w:r>
        <w:rPr>
          <w:rFonts w:hint="eastAsia" w:ascii="宋体" w:hAnsi="宋体" w:cs="宋体"/>
          <w:color w:val="auto"/>
          <w:szCs w:val="21"/>
          <w:highlight w:val="none"/>
          <w:u w:val="single"/>
          <w:lang w:val="en-US" w:eastAsia="zh-CN"/>
        </w:rPr>
        <w:t>招采平台</w:t>
      </w:r>
      <w:r>
        <w:rPr>
          <w:rFonts w:hint="eastAsia" w:ascii="宋体" w:hAnsi="宋体" w:cs="宋体"/>
          <w:color w:val="auto"/>
          <w:szCs w:val="21"/>
          <w:highlight w:val="none"/>
          <w:u w:val="single"/>
        </w:rPr>
        <w:t>（https://pur.yonyoucloud.com/core4/GDDSE）、广东政通招标有限公司官网（http://www.zttendering.com/）</w:t>
      </w:r>
      <w:r>
        <w:rPr>
          <w:rFonts w:hint="eastAsia" w:ascii="宋体" w:hAnsi="宋体" w:cs="宋体"/>
          <w:color w:val="auto"/>
          <w:szCs w:val="21"/>
          <w:highlight w:val="none"/>
        </w:rPr>
        <w:t>。不进行实名登记报名。</w:t>
      </w:r>
    </w:p>
    <w:p w14:paraId="24A7D645">
      <w:pPr>
        <w:ind w:firstLine="420" w:firstLineChars="200"/>
        <w:rPr>
          <w:rFonts w:ascii="宋体" w:hAnsi="宋体" w:cs="宋体"/>
          <w:color w:val="auto"/>
          <w:szCs w:val="21"/>
          <w:highlight w:val="none"/>
        </w:rPr>
      </w:pPr>
      <w:r>
        <w:rPr>
          <w:rFonts w:hint="eastAsia" w:ascii="宋体" w:hAnsi="宋体" w:cs="宋体"/>
          <w:color w:val="auto"/>
          <w:szCs w:val="21"/>
          <w:highlight w:val="none"/>
        </w:rPr>
        <w:t>2、采购文件下载时间：</w:t>
      </w:r>
      <w:r>
        <w:rPr>
          <w:rFonts w:hint="eastAsia" w:ascii="宋体" w:hAnsi="宋体" w:cs="宋体"/>
          <w:color w:val="auto"/>
          <w:szCs w:val="21"/>
          <w:highlight w:val="none"/>
          <w:lang w:eastAsia="zh-CN"/>
        </w:rPr>
        <w:t>202</w:t>
      </w:r>
      <w:r>
        <w:rPr>
          <w:rFonts w:hint="eastAsia" w:ascii="宋体" w:hAnsi="宋体" w:cs="宋体"/>
          <w:color w:val="auto"/>
          <w:szCs w:val="21"/>
          <w:highlight w:val="none"/>
          <w:lang w:val="en-US" w:eastAsia="zh-CN"/>
        </w:rPr>
        <w:t>5</w:t>
      </w:r>
      <w:r>
        <w:rPr>
          <w:rFonts w:hint="eastAsia" w:ascii="宋体" w:hAnsi="宋体" w:cs="宋体"/>
          <w:color w:val="auto"/>
          <w:szCs w:val="21"/>
          <w:highlight w:val="none"/>
          <w:lang w:eastAsia="zh-CN"/>
        </w:rPr>
        <w:t>年</w:t>
      </w:r>
      <w:r>
        <w:rPr>
          <w:rFonts w:hint="eastAsia" w:ascii="宋体" w:hAnsi="宋体" w:cs="宋体"/>
          <w:color w:val="auto"/>
          <w:szCs w:val="21"/>
          <w:highlight w:val="none"/>
          <w:u w:val="single"/>
        </w:rPr>
        <w:t xml:space="preserve"> </w:t>
      </w:r>
      <w:r>
        <w:rPr>
          <w:rFonts w:hint="eastAsia" w:ascii="宋体" w:hAnsi="宋体" w:cs="宋体"/>
          <w:color w:val="auto"/>
          <w:szCs w:val="21"/>
          <w:highlight w:val="none"/>
          <w:u w:val="single"/>
          <w:lang w:val="en-US" w:eastAsia="zh-CN"/>
        </w:rPr>
        <w:t xml:space="preserve">9 </w:t>
      </w:r>
      <w:r>
        <w:rPr>
          <w:rFonts w:hint="eastAsia" w:ascii="宋体" w:hAnsi="宋体" w:cs="宋体"/>
          <w:color w:val="auto"/>
          <w:szCs w:val="21"/>
          <w:highlight w:val="none"/>
          <w:u w:val="single"/>
        </w:rPr>
        <w:t xml:space="preserve"> </w:t>
      </w:r>
      <w:r>
        <w:rPr>
          <w:rFonts w:hint="eastAsia" w:ascii="宋体" w:hAnsi="宋体" w:cs="宋体"/>
          <w:color w:val="auto"/>
          <w:szCs w:val="21"/>
          <w:highlight w:val="none"/>
        </w:rPr>
        <w:t>月</w:t>
      </w:r>
      <w:r>
        <w:rPr>
          <w:rFonts w:hint="eastAsia" w:ascii="宋体" w:hAnsi="宋体" w:cs="宋体"/>
          <w:color w:val="auto"/>
          <w:szCs w:val="21"/>
          <w:highlight w:val="none"/>
          <w:u w:val="single"/>
        </w:rPr>
        <w:t xml:space="preserve"> </w:t>
      </w:r>
      <w:r>
        <w:rPr>
          <w:rFonts w:hint="eastAsia" w:ascii="宋体" w:hAnsi="宋体" w:cs="宋体"/>
          <w:color w:val="auto"/>
          <w:szCs w:val="21"/>
          <w:highlight w:val="none"/>
          <w:u w:val="single"/>
          <w:lang w:val="en-US" w:eastAsia="zh-CN"/>
        </w:rPr>
        <w:t xml:space="preserve">30 </w:t>
      </w:r>
      <w:r>
        <w:rPr>
          <w:rFonts w:hint="eastAsia" w:ascii="宋体" w:hAnsi="宋体" w:cs="宋体"/>
          <w:color w:val="auto"/>
          <w:szCs w:val="21"/>
          <w:highlight w:val="none"/>
          <w:u w:val="single"/>
        </w:rPr>
        <w:t xml:space="preserve"> </w:t>
      </w:r>
      <w:r>
        <w:rPr>
          <w:rFonts w:hint="eastAsia" w:ascii="宋体" w:hAnsi="宋体" w:cs="宋体"/>
          <w:color w:val="auto"/>
          <w:szCs w:val="21"/>
          <w:highlight w:val="none"/>
        </w:rPr>
        <w:t>日至</w:t>
      </w:r>
      <w:r>
        <w:rPr>
          <w:rFonts w:hint="eastAsia" w:ascii="宋体" w:hAnsi="宋体" w:cs="宋体"/>
          <w:color w:val="auto"/>
          <w:szCs w:val="21"/>
          <w:highlight w:val="none"/>
          <w:lang w:eastAsia="zh-CN"/>
        </w:rPr>
        <w:t>202</w:t>
      </w:r>
      <w:r>
        <w:rPr>
          <w:rFonts w:hint="eastAsia" w:ascii="宋体" w:hAnsi="宋体" w:cs="宋体"/>
          <w:color w:val="auto"/>
          <w:szCs w:val="21"/>
          <w:highlight w:val="none"/>
          <w:lang w:val="en-US" w:eastAsia="zh-CN"/>
        </w:rPr>
        <w:t>5</w:t>
      </w:r>
      <w:r>
        <w:rPr>
          <w:rFonts w:hint="eastAsia" w:ascii="宋体" w:hAnsi="宋体" w:cs="宋体"/>
          <w:color w:val="auto"/>
          <w:szCs w:val="21"/>
          <w:highlight w:val="none"/>
          <w:lang w:eastAsia="zh-CN"/>
        </w:rPr>
        <w:t>年</w:t>
      </w:r>
      <w:r>
        <w:rPr>
          <w:rFonts w:hint="eastAsia" w:ascii="宋体" w:hAnsi="宋体" w:cs="宋体"/>
          <w:color w:val="auto"/>
          <w:szCs w:val="21"/>
          <w:highlight w:val="none"/>
          <w:u w:val="single"/>
        </w:rPr>
        <w:t xml:space="preserve"> </w:t>
      </w:r>
      <w:r>
        <w:rPr>
          <w:rFonts w:hint="eastAsia" w:ascii="宋体" w:hAnsi="宋体" w:cs="宋体"/>
          <w:color w:val="auto"/>
          <w:szCs w:val="21"/>
          <w:highlight w:val="none"/>
          <w:u w:val="single"/>
          <w:lang w:val="en-US" w:eastAsia="zh-CN"/>
        </w:rPr>
        <w:t xml:space="preserve"> 10</w:t>
      </w:r>
      <w:r>
        <w:rPr>
          <w:rFonts w:hint="eastAsia" w:ascii="宋体" w:hAnsi="宋体" w:cs="宋体"/>
          <w:color w:val="auto"/>
          <w:szCs w:val="21"/>
          <w:highlight w:val="none"/>
          <w:u w:val="single"/>
        </w:rPr>
        <w:t xml:space="preserve"> </w:t>
      </w:r>
      <w:r>
        <w:rPr>
          <w:rFonts w:hint="eastAsia" w:ascii="宋体" w:hAnsi="宋体" w:cs="宋体"/>
          <w:color w:val="auto"/>
          <w:szCs w:val="21"/>
          <w:highlight w:val="none"/>
        </w:rPr>
        <w:t>月</w:t>
      </w:r>
      <w:r>
        <w:rPr>
          <w:rFonts w:hint="eastAsia" w:ascii="宋体" w:hAnsi="宋体" w:cs="宋体"/>
          <w:color w:val="auto"/>
          <w:szCs w:val="21"/>
          <w:highlight w:val="none"/>
          <w:u w:val="single"/>
        </w:rPr>
        <w:t xml:space="preserve"> </w:t>
      </w:r>
      <w:r>
        <w:rPr>
          <w:rFonts w:hint="eastAsia" w:ascii="宋体" w:hAnsi="宋体" w:cs="宋体"/>
          <w:color w:val="auto"/>
          <w:szCs w:val="21"/>
          <w:highlight w:val="none"/>
          <w:u w:val="single"/>
          <w:lang w:val="en-US" w:eastAsia="zh-CN"/>
        </w:rPr>
        <w:t xml:space="preserve"> 20 </w:t>
      </w:r>
      <w:r>
        <w:rPr>
          <w:rFonts w:hint="eastAsia" w:ascii="宋体" w:hAnsi="宋体" w:cs="宋体"/>
          <w:color w:val="auto"/>
          <w:szCs w:val="21"/>
          <w:highlight w:val="none"/>
          <w:u w:val="single"/>
        </w:rPr>
        <w:t xml:space="preserve"> </w:t>
      </w:r>
      <w:r>
        <w:rPr>
          <w:rFonts w:hint="eastAsia" w:ascii="宋体" w:hAnsi="宋体" w:cs="宋体"/>
          <w:color w:val="auto"/>
          <w:szCs w:val="21"/>
          <w:highlight w:val="none"/>
        </w:rPr>
        <w:t>日。</w:t>
      </w:r>
    </w:p>
    <w:p w14:paraId="71EDDF55">
      <w:pPr>
        <w:ind w:firstLine="420" w:firstLineChars="200"/>
        <w:rPr>
          <w:rFonts w:ascii="宋体" w:hAnsi="宋体" w:cs="宋体"/>
          <w:color w:val="auto"/>
          <w:szCs w:val="21"/>
          <w:highlight w:val="none"/>
        </w:rPr>
      </w:pPr>
      <w:r>
        <w:rPr>
          <w:rFonts w:hint="eastAsia" w:ascii="宋体" w:hAnsi="宋体" w:cs="宋体"/>
          <w:color w:val="auto"/>
          <w:szCs w:val="21"/>
          <w:highlight w:val="none"/>
        </w:rPr>
        <w:t>3、获取采购文件时间：</w:t>
      </w:r>
      <w:r>
        <w:rPr>
          <w:rFonts w:hint="eastAsia" w:ascii="宋体" w:hAnsi="宋体" w:cs="宋体"/>
          <w:color w:val="auto"/>
          <w:szCs w:val="21"/>
          <w:highlight w:val="none"/>
          <w:lang w:eastAsia="zh-CN"/>
        </w:rPr>
        <w:t>202</w:t>
      </w:r>
      <w:r>
        <w:rPr>
          <w:rFonts w:hint="eastAsia" w:ascii="宋体" w:hAnsi="宋体" w:cs="宋体"/>
          <w:color w:val="auto"/>
          <w:szCs w:val="21"/>
          <w:highlight w:val="none"/>
          <w:lang w:val="en-US" w:eastAsia="zh-CN"/>
        </w:rPr>
        <w:t>5</w:t>
      </w:r>
      <w:r>
        <w:rPr>
          <w:rFonts w:hint="eastAsia" w:ascii="宋体" w:hAnsi="宋体" w:cs="宋体"/>
          <w:color w:val="auto"/>
          <w:szCs w:val="21"/>
          <w:highlight w:val="none"/>
          <w:lang w:eastAsia="zh-CN"/>
        </w:rPr>
        <w:t>年</w:t>
      </w:r>
      <w:r>
        <w:rPr>
          <w:rFonts w:hint="eastAsia" w:ascii="宋体" w:hAnsi="宋体" w:cs="宋体"/>
          <w:color w:val="auto"/>
          <w:szCs w:val="21"/>
          <w:highlight w:val="none"/>
          <w:u w:val="single"/>
        </w:rPr>
        <w:t xml:space="preserve"> </w:t>
      </w:r>
      <w:r>
        <w:rPr>
          <w:rFonts w:hint="eastAsia" w:ascii="宋体" w:hAnsi="宋体" w:cs="宋体"/>
          <w:color w:val="auto"/>
          <w:szCs w:val="21"/>
          <w:highlight w:val="none"/>
          <w:u w:val="single"/>
          <w:lang w:val="en-US" w:eastAsia="zh-CN"/>
        </w:rPr>
        <w:t xml:space="preserve"> 9 </w:t>
      </w:r>
      <w:r>
        <w:rPr>
          <w:rFonts w:hint="eastAsia" w:ascii="宋体" w:hAnsi="宋体" w:cs="宋体"/>
          <w:color w:val="auto"/>
          <w:szCs w:val="21"/>
          <w:highlight w:val="none"/>
          <w:u w:val="single"/>
        </w:rPr>
        <w:t xml:space="preserve"> </w:t>
      </w:r>
      <w:r>
        <w:rPr>
          <w:rFonts w:hint="eastAsia" w:ascii="宋体" w:hAnsi="宋体" w:cs="宋体"/>
          <w:color w:val="auto"/>
          <w:szCs w:val="21"/>
          <w:highlight w:val="none"/>
        </w:rPr>
        <w:t>月</w:t>
      </w:r>
      <w:r>
        <w:rPr>
          <w:rFonts w:hint="eastAsia" w:ascii="宋体" w:hAnsi="宋体" w:cs="宋体"/>
          <w:color w:val="auto"/>
          <w:szCs w:val="21"/>
          <w:highlight w:val="none"/>
          <w:u w:val="single"/>
        </w:rPr>
        <w:t xml:space="preserve"> </w:t>
      </w:r>
      <w:r>
        <w:rPr>
          <w:rFonts w:hint="eastAsia" w:ascii="宋体" w:hAnsi="宋体" w:cs="宋体"/>
          <w:color w:val="auto"/>
          <w:szCs w:val="21"/>
          <w:highlight w:val="none"/>
          <w:u w:val="single"/>
          <w:lang w:val="en-US" w:eastAsia="zh-CN"/>
        </w:rPr>
        <w:t xml:space="preserve"> 30 </w:t>
      </w:r>
      <w:r>
        <w:rPr>
          <w:rFonts w:hint="eastAsia" w:ascii="宋体" w:hAnsi="宋体" w:cs="宋体"/>
          <w:color w:val="auto"/>
          <w:szCs w:val="21"/>
          <w:highlight w:val="none"/>
          <w:u w:val="single"/>
        </w:rPr>
        <w:t xml:space="preserve"> </w:t>
      </w:r>
      <w:r>
        <w:rPr>
          <w:rFonts w:hint="eastAsia" w:ascii="宋体" w:hAnsi="宋体" w:cs="宋体"/>
          <w:color w:val="auto"/>
          <w:szCs w:val="21"/>
          <w:highlight w:val="none"/>
        </w:rPr>
        <w:t>日至</w:t>
      </w:r>
      <w:r>
        <w:rPr>
          <w:rFonts w:hint="eastAsia" w:ascii="宋体" w:hAnsi="宋体" w:cs="宋体"/>
          <w:color w:val="auto"/>
          <w:szCs w:val="21"/>
          <w:highlight w:val="none"/>
          <w:lang w:eastAsia="zh-CN"/>
        </w:rPr>
        <w:t>202</w:t>
      </w:r>
      <w:r>
        <w:rPr>
          <w:rFonts w:hint="eastAsia" w:ascii="宋体" w:hAnsi="宋体" w:cs="宋体"/>
          <w:color w:val="auto"/>
          <w:szCs w:val="21"/>
          <w:highlight w:val="none"/>
          <w:lang w:val="en-US" w:eastAsia="zh-CN"/>
        </w:rPr>
        <w:t>5</w:t>
      </w:r>
      <w:r>
        <w:rPr>
          <w:rFonts w:hint="eastAsia" w:ascii="宋体" w:hAnsi="宋体" w:cs="宋体"/>
          <w:color w:val="auto"/>
          <w:szCs w:val="21"/>
          <w:highlight w:val="none"/>
          <w:lang w:eastAsia="zh-CN"/>
        </w:rPr>
        <w:t>年</w:t>
      </w:r>
      <w:r>
        <w:rPr>
          <w:rFonts w:hint="eastAsia" w:ascii="宋体" w:hAnsi="宋体" w:cs="宋体"/>
          <w:color w:val="auto"/>
          <w:szCs w:val="21"/>
          <w:highlight w:val="none"/>
          <w:u w:val="single"/>
          <w:lang w:val="en-US" w:eastAsia="zh-CN"/>
        </w:rPr>
        <w:t xml:space="preserve"> 10 </w:t>
      </w:r>
      <w:r>
        <w:rPr>
          <w:rFonts w:hint="eastAsia" w:ascii="宋体" w:hAnsi="宋体" w:cs="宋体"/>
          <w:color w:val="auto"/>
          <w:szCs w:val="21"/>
          <w:highlight w:val="none"/>
          <w:u w:val="single"/>
        </w:rPr>
        <w:t xml:space="preserve"> </w:t>
      </w:r>
      <w:r>
        <w:rPr>
          <w:rFonts w:hint="eastAsia" w:ascii="宋体" w:hAnsi="宋体" w:cs="宋体"/>
          <w:color w:val="auto"/>
          <w:szCs w:val="21"/>
          <w:highlight w:val="none"/>
        </w:rPr>
        <w:t>月</w:t>
      </w:r>
      <w:r>
        <w:rPr>
          <w:rFonts w:hint="eastAsia" w:ascii="宋体" w:hAnsi="宋体" w:cs="宋体"/>
          <w:color w:val="auto"/>
          <w:szCs w:val="21"/>
          <w:highlight w:val="none"/>
          <w:u w:val="single"/>
        </w:rPr>
        <w:t xml:space="preserve"> </w:t>
      </w:r>
      <w:r>
        <w:rPr>
          <w:rFonts w:hint="eastAsia" w:ascii="宋体" w:hAnsi="宋体" w:cs="宋体"/>
          <w:color w:val="auto"/>
          <w:szCs w:val="21"/>
          <w:highlight w:val="none"/>
          <w:u w:val="single"/>
          <w:lang w:val="en-US" w:eastAsia="zh-CN"/>
        </w:rPr>
        <w:t xml:space="preserve"> 20 </w:t>
      </w:r>
      <w:r>
        <w:rPr>
          <w:rFonts w:hint="eastAsia" w:ascii="宋体" w:hAnsi="宋体" w:cs="宋体"/>
          <w:color w:val="auto"/>
          <w:szCs w:val="21"/>
          <w:highlight w:val="none"/>
          <w:u w:val="single"/>
        </w:rPr>
        <w:t xml:space="preserve"> </w:t>
      </w:r>
      <w:r>
        <w:rPr>
          <w:rFonts w:hint="eastAsia" w:ascii="宋体" w:hAnsi="宋体" w:cs="宋体"/>
          <w:color w:val="auto"/>
          <w:szCs w:val="21"/>
          <w:highlight w:val="none"/>
        </w:rPr>
        <w:t>日（节假日除外），上午8：30～12：00，下午14：00～17：30（北京时间）。</w:t>
      </w:r>
    </w:p>
    <w:p w14:paraId="42A873A5">
      <w:pPr>
        <w:rPr>
          <w:color w:val="auto"/>
          <w:highlight w:val="none"/>
        </w:rPr>
      </w:pPr>
    </w:p>
    <w:p w14:paraId="54982970">
      <w:pPr>
        <w:ind w:firstLine="413" w:firstLineChars="196"/>
        <w:rPr>
          <w:rFonts w:ascii="宋体" w:hAnsi="宋体"/>
          <w:b/>
          <w:color w:val="auto"/>
          <w:szCs w:val="21"/>
          <w:highlight w:val="none"/>
        </w:rPr>
      </w:pPr>
      <w:r>
        <w:rPr>
          <w:rFonts w:hint="eastAsia" w:ascii="宋体" w:hAnsi="宋体"/>
          <w:b/>
          <w:color w:val="auto"/>
          <w:szCs w:val="21"/>
          <w:highlight w:val="none"/>
        </w:rPr>
        <w:t>四、投标文件的递交</w:t>
      </w:r>
    </w:p>
    <w:p w14:paraId="489C6388">
      <w:pPr>
        <w:ind w:firstLine="420" w:firstLineChars="200"/>
        <w:rPr>
          <w:rFonts w:ascii="宋体" w:hAnsi="宋体"/>
          <w:color w:val="auto"/>
          <w:szCs w:val="21"/>
          <w:highlight w:val="none"/>
        </w:rPr>
      </w:pPr>
      <w:r>
        <w:rPr>
          <w:rFonts w:hint="eastAsia" w:ascii="宋体" w:hAnsi="宋体"/>
          <w:color w:val="auto"/>
          <w:szCs w:val="21"/>
          <w:highlight w:val="none"/>
        </w:rPr>
        <w:t>1、递交投标文件时间：</w:t>
      </w:r>
      <w:r>
        <w:rPr>
          <w:rFonts w:hint="eastAsia" w:ascii="宋体" w:hAnsi="宋体" w:cs="宋体"/>
          <w:color w:val="auto"/>
          <w:szCs w:val="21"/>
          <w:highlight w:val="none"/>
          <w:lang w:eastAsia="zh-CN"/>
        </w:rPr>
        <w:t>202</w:t>
      </w:r>
      <w:r>
        <w:rPr>
          <w:rFonts w:hint="eastAsia" w:ascii="宋体" w:hAnsi="宋体" w:cs="宋体"/>
          <w:color w:val="auto"/>
          <w:szCs w:val="21"/>
          <w:highlight w:val="none"/>
          <w:lang w:val="en-US" w:eastAsia="zh-CN"/>
        </w:rPr>
        <w:t>5</w:t>
      </w:r>
      <w:r>
        <w:rPr>
          <w:rFonts w:hint="eastAsia" w:ascii="宋体" w:hAnsi="宋体" w:cs="宋体"/>
          <w:color w:val="auto"/>
          <w:szCs w:val="21"/>
          <w:highlight w:val="none"/>
          <w:lang w:eastAsia="zh-CN"/>
        </w:rPr>
        <w:t>年</w:t>
      </w:r>
      <w:r>
        <w:rPr>
          <w:rFonts w:hint="eastAsia" w:ascii="宋体" w:hAnsi="宋体" w:cs="宋体"/>
          <w:color w:val="auto"/>
          <w:szCs w:val="21"/>
          <w:highlight w:val="none"/>
          <w:u w:val="single"/>
        </w:rPr>
        <w:t xml:space="preserve"> </w:t>
      </w:r>
      <w:r>
        <w:rPr>
          <w:rFonts w:hint="eastAsia" w:ascii="宋体" w:hAnsi="宋体" w:cs="宋体"/>
          <w:color w:val="auto"/>
          <w:szCs w:val="21"/>
          <w:highlight w:val="none"/>
          <w:u w:val="single"/>
          <w:lang w:val="en-US" w:eastAsia="zh-CN"/>
        </w:rPr>
        <w:t xml:space="preserve">  10 </w:t>
      </w:r>
      <w:r>
        <w:rPr>
          <w:rFonts w:hint="eastAsia" w:ascii="宋体" w:hAnsi="宋体" w:cs="宋体"/>
          <w:color w:val="auto"/>
          <w:szCs w:val="21"/>
          <w:highlight w:val="none"/>
          <w:u w:val="single"/>
        </w:rPr>
        <w:t xml:space="preserve"> </w:t>
      </w:r>
      <w:r>
        <w:rPr>
          <w:rFonts w:hint="eastAsia" w:ascii="宋体" w:hAnsi="宋体" w:cs="宋体"/>
          <w:color w:val="auto"/>
          <w:szCs w:val="21"/>
          <w:highlight w:val="none"/>
        </w:rPr>
        <w:t>月</w:t>
      </w:r>
      <w:r>
        <w:rPr>
          <w:rFonts w:hint="eastAsia" w:ascii="宋体" w:hAnsi="宋体" w:cs="宋体"/>
          <w:color w:val="auto"/>
          <w:szCs w:val="21"/>
          <w:highlight w:val="none"/>
          <w:u w:val="single"/>
        </w:rPr>
        <w:t xml:space="preserve"> </w:t>
      </w:r>
      <w:r>
        <w:rPr>
          <w:rFonts w:hint="eastAsia" w:ascii="宋体" w:hAnsi="宋体" w:cs="宋体"/>
          <w:color w:val="auto"/>
          <w:szCs w:val="21"/>
          <w:highlight w:val="none"/>
          <w:u w:val="single"/>
          <w:lang w:val="en-US" w:eastAsia="zh-CN"/>
        </w:rPr>
        <w:t xml:space="preserve"> 21  </w:t>
      </w:r>
      <w:r>
        <w:rPr>
          <w:rFonts w:hint="eastAsia" w:ascii="宋体" w:hAnsi="宋体" w:cs="宋体"/>
          <w:color w:val="auto"/>
          <w:szCs w:val="21"/>
          <w:highlight w:val="none"/>
          <w:u w:val="single"/>
        </w:rPr>
        <w:t xml:space="preserve"> </w:t>
      </w:r>
      <w:r>
        <w:rPr>
          <w:rFonts w:hint="eastAsia" w:ascii="宋体" w:hAnsi="宋体" w:cs="宋体"/>
          <w:color w:val="auto"/>
          <w:szCs w:val="21"/>
          <w:highlight w:val="none"/>
        </w:rPr>
        <w:t>日（</w:t>
      </w:r>
      <w:r>
        <w:rPr>
          <w:rFonts w:hint="eastAsia" w:ascii="宋体" w:hAnsi="宋体"/>
          <w:color w:val="auto"/>
          <w:szCs w:val="21"/>
          <w:highlight w:val="none"/>
        </w:rPr>
        <w:t>北京时间）</w:t>
      </w:r>
      <w:r>
        <w:rPr>
          <w:rFonts w:hint="eastAsia" w:ascii="宋体" w:hAnsi="宋体"/>
          <w:color w:val="auto"/>
          <w:szCs w:val="21"/>
          <w:highlight w:val="none"/>
          <w:u w:val="single"/>
          <w:lang w:val="en-US" w:eastAsia="zh-CN"/>
        </w:rPr>
        <w:t>14</w:t>
      </w:r>
      <w:r>
        <w:rPr>
          <w:rFonts w:hint="eastAsia" w:ascii="宋体" w:hAnsi="宋体"/>
          <w:color w:val="auto"/>
          <w:szCs w:val="21"/>
          <w:highlight w:val="none"/>
        </w:rPr>
        <w:t>:</w:t>
      </w:r>
      <w:r>
        <w:rPr>
          <w:rFonts w:hint="eastAsia" w:ascii="宋体" w:hAnsi="宋体"/>
          <w:color w:val="auto"/>
          <w:szCs w:val="21"/>
          <w:highlight w:val="none"/>
          <w:u w:val="single"/>
          <w:lang w:val="en-US" w:eastAsia="zh-CN"/>
        </w:rPr>
        <w:t>0</w:t>
      </w:r>
      <w:r>
        <w:rPr>
          <w:rFonts w:hint="eastAsia" w:ascii="宋体" w:hAnsi="宋体"/>
          <w:color w:val="auto"/>
          <w:szCs w:val="21"/>
          <w:highlight w:val="none"/>
          <w:u w:val="single"/>
        </w:rPr>
        <w:t>0</w:t>
      </w:r>
      <w:r>
        <w:rPr>
          <w:rFonts w:ascii="宋体" w:hAnsi="宋体"/>
          <w:color w:val="auto"/>
          <w:szCs w:val="21"/>
          <w:highlight w:val="none"/>
        </w:rPr>
        <w:t>-</w:t>
      </w:r>
      <w:r>
        <w:rPr>
          <w:rFonts w:hint="eastAsia" w:ascii="宋体" w:hAnsi="宋体"/>
          <w:color w:val="auto"/>
          <w:szCs w:val="21"/>
          <w:highlight w:val="none"/>
          <w:u w:val="single"/>
          <w:lang w:val="en-US" w:eastAsia="zh-CN"/>
        </w:rPr>
        <w:t>14</w:t>
      </w:r>
      <w:r>
        <w:rPr>
          <w:rFonts w:hint="eastAsia" w:ascii="宋体" w:hAnsi="宋体"/>
          <w:color w:val="auto"/>
          <w:szCs w:val="21"/>
          <w:highlight w:val="none"/>
        </w:rPr>
        <w:t>:</w:t>
      </w:r>
      <w:r>
        <w:rPr>
          <w:rFonts w:hint="eastAsia" w:ascii="宋体" w:hAnsi="宋体"/>
          <w:color w:val="auto"/>
          <w:szCs w:val="21"/>
          <w:highlight w:val="none"/>
          <w:u w:val="single"/>
          <w:lang w:val="en-US" w:eastAsia="zh-CN"/>
        </w:rPr>
        <w:t>3</w:t>
      </w:r>
      <w:r>
        <w:rPr>
          <w:rFonts w:hint="eastAsia" w:ascii="宋体" w:hAnsi="宋体"/>
          <w:color w:val="auto"/>
          <w:szCs w:val="21"/>
          <w:highlight w:val="none"/>
          <w:u w:val="single"/>
        </w:rPr>
        <w:t>0</w:t>
      </w:r>
      <w:r>
        <w:rPr>
          <w:rFonts w:hint="eastAsia" w:ascii="宋体" w:hAnsi="宋体"/>
          <w:color w:val="auto"/>
          <w:szCs w:val="21"/>
          <w:highlight w:val="none"/>
        </w:rPr>
        <w:t>。</w:t>
      </w:r>
    </w:p>
    <w:p w14:paraId="5EA0C8B1">
      <w:pPr>
        <w:ind w:firstLine="420" w:firstLineChars="200"/>
        <w:rPr>
          <w:rFonts w:ascii="宋体" w:hAnsi="宋体"/>
          <w:b/>
          <w:color w:val="auto"/>
          <w:szCs w:val="21"/>
          <w:highlight w:val="none"/>
        </w:rPr>
      </w:pPr>
      <w:r>
        <w:rPr>
          <w:rFonts w:hint="eastAsia" w:ascii="宋体" w:hAnsi="宋体"/>
          <w:color w:val="auto"/>
          <w:szCs w:val="21"/>
          <w:highlight w:val="none"/>
        </w:rPr>
        <w:t>2、递交投标文件</w:t>
      </w:r>
      <w:r>
        <w:rPr>
          <w:rFonts w:ascii="宋体" w:hAnsi="宋体"/>
          <w:color w:val="auto"/>
          <w:szCs w:val="21"/>
          <w:highlight w:val="none"/>
        </w:rPr>
        <w:t>截止</w:t>
      </w:r>
      <w:r>
        <w:rPr>
          <w:rFonts w:hint="eastAsia" w:ascii="宋体" w:hAnsi="宋体"/>
          <w:color w:val="auto"/>
          <w:szCs w:val="21"/>
          <w:highlight w:val="none"/>
        </w:rPr>
        <w:t>及开标时间：</w:t>
      </w:r>
      <w:r>
        <w:rPr>
          <w:rFonts w:hint="eastAsia" w:ascii="宋体" w:hAnsi="宋体" w:cs="宋体"/>
          <w:color w:val="auto"/>
          <w:szCs w:val="21"/>
          <w:highlight w:val="none"/>
          <w:lang w:eastAsia="zh-CN"/>
        </w:rPr>
        <w:t>202</w:t>
      </w:r>
      <w:r>
        <w:rPr>
          <w:rFonts w:hint="eastAsia" w:ascii="宋体" w:hAnsi="宋体" w:cs="宋体"/>
          <w:color w:val="auto"/>
          <w:szCs w:val="21"/>
          <w:highlight w:val="none"/>
          <w:lang w:val="en-US" w:eastAsia="zh-CN"/>
        </w:rPr>
        <w:t>5</w:t>
      </w:r>
      <w:r>
        <w:rPr>
          <w:rFonts w:hint="eastAsia" w:ascii="宋体" w:hAnsi="宋体" w:cs="宋体"/>
          <w:color w:val="auto"/>
          <w:szCs w:val="21"/>
          <w:highlight w:val="none"/>
          <w:lang w:eastAsia="zh-CN"/>
        </w:rPr>
        <w:t>年</w:t>
      </w:r>
      <w:r>
        <w:rPr>
          <w:rFonts w:hint="eastAsia" w:ascii="宋体" w:hAnsi="宋体" w:cs="宋体"/>
          <w:color w:val="auto"/>
          <w:szCs w:val="21"/>
          <w:highlight w:val="none"/>
          <w:u w:val="single"/>
        </w:rPr>
        <w:t xml:space="preserve"> </w:t>
      </w:r>
      <w:r>
        <w:rPr>
          <w:rFonts w:hint="eastAsia" w:ascii="宋体" w:hAnsi="宋体" w:cs="宋体"/>
          <w:color w:val="auto"/>
          <w:szCs w:val="21"/>
          <w:highlight w:val="none"/>
          <w:u w:val="single"/>
          <w:lang w:val="en-US" w:eastAsia="zh-CN"/>
        </w:rPr>
        <w:t xml:space="preserve"> 10 </w:t>
      </w:r>
      <w:r>
        <w:rPr>
          <w:rFonts w:hint="eastAsia" w:ascii="宋体" w:hAnsi="宋体" w:cs="宋体"/>
          <w:color w:val="auto"/>
          <w:szCs w:val="21"/>
          <w:highlight w:val="none"/>
          <w:u w:val="single"/>
        </w:rPr>
        <w:t xml:space="preserve"> </w:t>
      </w:r>
      <w:r>
        <w:rPr>
          <w:rFonts w:hint="eastAsia" w:ascii="宋体" w:hAnsi="宋体" w:cs="宋体"/>
          <w:color w:val="auto"/>
          <w:szCs w:val="21"/>
          <w:highlight w:val="none"/>
        </w:rPr>
        <w:t>月</w:t>
      </w:r>
      <w:r>
        <w:rPr>
          <w:rFonts w:hint="eastAsia" w:ascii="宋体" w:hAnsi="宋体" w:cs="宋体"/>
          <w:color w:val="auto"/>
          <w:szCs w:val="21"/>
          <w:highlight w:val="none"/>
          <w:u w:val="single"/>
        </w:rPr>
        <w:t xml:space="preserve"> </w:t>
      </w:r>
      <w:r>
        <w:rPr>
          <w:rFonts w:hint="eastAsia" w:ascii="宋体" w:hAnsi="宋体" w:cs="宋体"/>
          <w:color w:val="auto"/>
          <w:szCs w:val="21"/>
          <w:highlight w:val="none"/>
          <w:u w:val="single"/>
          <w:lang w:val="en-US" w:eastAsia="zh-CN"/>
        </w:rPr>
        <w:t xml:space="preserve"> 21 </w:t>
      </w:r>
      <w:r>
        <w:rPr>
          <w:rFonts w:hint="eastAsia" w:ascii="宋体" w:hAnsi="宋体" w:cs="宋体"/>
          <w:color w:val="auto"/>
          <w:szCs w:val="21"/>
          <w:highlight w:val="none"/>
          <w:u w:val="single"/>
        </w:rPr>
        <w:t xml:space="preserve"> </w:t>
      </w:r>
      <w:r>
        <w:rPr>
          <w:rFonts w:hint="eastAsia" w:ascii="宋体" w:hAnsi="宋体" w:cs="宋体"/>
          <w:color w:val="auto"/>
          <w:szCs w:val="21"/>
          <w:highlight w:val="none"/>
        </w:rPr>
        <w:t>日</w:t>
      </w:r>
      <w:r>
        <w:rPr>
          <w:rFonts w:hint="eastAsia" w:ascii="宋体" w:hAnsi="宋体"/>
          <w:color w:val="auto"/>
          <w:szCs w:val="21"/>
          <w:highlight w:val="none"/>
          <w:u w:val="single"/>
          <w:lang w:val="en-US" w:eastAsia="zh-CN"/>
        </w:rPr>
        <w:t>14</w:t>
      </w:r>
      <w:r>
        <w:rPr>
          <w:rFonts w:hint="eastAsia" w:ascii="宋体" w:hAnsi="宋体"/>
          <w:color w:val="auto"/>
          <w:szCs w:val="21"/>
          <w:highlight w:val="none"/>
        </w:rPr>
        <w:t>:</w:t>
      </w:r>
      <w:r>
        <w:rPr>
          <w:rFonts w:hint="eastAsia" w:ascii="宋体" w:hAnsi="宋体"/>
          <w:color w:val="auto"/>
          <w:szCs w:val="21"/>
          <w:highlight w:val="none"/>
          <w:u w:val="single"/>
          <w:lang w:val="en-US" w:eastAsia="zh-CN"/>
        </w:rPr>
        <w:t>3</w:t>
      </w:r>
      <w:r>
        <w:rPr>
          <w:rFonts w:hint="eastAsia" w:ascii="宋体" w:hAnsi="宋体"/>
          <w:color w:val="auto"/>
          <w:szCs w:val="21"/>
          <w:highlight w:val="none"/>
          <w:u w:val="single"/>
        </w:rPr>
        <w:t>0</w:t>
      </w:r>
      <w:r>
        <w:rPr>
          <w:rFonts w:hint="eastAsia" w:ascii="宋体" w:hAnsi="宋体"/>
          <w:color w:val="auto"/>
          <w:szCs w:val="21"/>
          <w:highlight w:val="none"/>
        </w:rPr>
        <w:t>（北京时间），所有投标文件应于截止时间之前递交，迟交或以电报、传真形式的投标文件将拒绝接收。</w:t>
      </w:r>
    </w:p>
    <w:p w14:paraId="724D2D57">
      <w:pPr>
        <w:ind w:firstLine="420" w:firstLineChars="200"/>
        <w:rPr>
          <w:rFonts w:ascii="宋体" w:hAnsi="宋体"/>
          <w:color w:val="auto"/>
          <w:szCs w:val="21"/>
          <w:highlight w:val="none"/>
        </w:rPr>
      </w:pPr>
      <w:r>
        <w:rPr>
          <w:rFonts w:hint="eastAsia" w:ascii="宋体" w:hAnsi="宋体"/>
          <w:color w:val="auto"/>
          <w:szCs w:val="21"/>
          <w:highlight w:val="none"/>
        </w:rPr>
        <w:t>3、</w:t>
      </w:r>
      <w:r>
        <w:rPr>
          <w:rFonts w:ascii="宋体" w:hAnsi="宋体"/>
          <w:color w:val="auto"/>
          <w:szCs w:val="21"/>
          <w:highlight w:val="none"/>
        </w:rPr>
        <w:t>开标地点</w:t>
      </w:r>
      <w:r>
        <w:rPr>
          <w:rFonts w:hint="eastAsia" w:ascii="宋体" w:hAnsi="宋体"/>
          <w:color w:val="auto"/>
          <w:szCs w:val="21"/>
          <w:highlight w:val="none"/>
          <w:u w:val="single"/>
        </w:rPr>
        <w:t>：东莞市南城街道鸿福路199号（市民服务中心）411室。</w:t>
      </w:r>
    </w:p>
    <w:p w14:paraId="19B41FA4">
      <w:pPr>
        <w:ind w:firstLine="411" w:firstLineChars="196"/>
        <w:rPr>
          <w:rFonts w:ascii="宋体" w:hAnsi="宋体"/>
          <w:bCs/>
          <w:color w:val="auto"/>
          <w:szCs w:val="21"/>
          <w:highlight w:val="none"/>
        </w:rPr>
      </w:pPr>
      <w:r>
        <w:rPr>
          <w:rFonts w:hint="eastAsia" w:ascii="宋体" w:hAnsi="宋体"/>
          <w:bCs/>
          <w:color w:val="auto"/>
          <w:szCs w:val="21"/>
          <w:highlight w:val="none"/>
        </w:rPr>
        <w:t>4、开标事宜：</w:t>
      </w:r>
      <w:r>
        <w:rPr>
          <w:rFonts w:hint="eastAsia" w:ascii="宋体" w:hAnsi="宋体"/>
          <w:b/>
          <w:bCs/>
          <w:color w:val="auto"/>
          <w:szCs w:val="21"/>
          <w:highlight w:val="none"/>
        </w:rPr>
        <w:t>届时请投标人的法定代表人或其授权代表务必携带有效身份证明出席开标会</w:t>
      </w:r>
      <w:r>
        <w:rPr>
          <w:rFonts w:hint="eastAsia" w:ascii="宋体" w:hAnsi="宋体"/>
          <w:bCs/>
          <w:color w:val="auto"/>
          <w:szCs w:val="21"/>
          <w:highlight w:val="none"/>
        </w:rPr>
        <w:t>。</w:t>
      </w:r>
    </w:p>
    <w:p w14:paraId="28E7B1C7">
      <w:pPr>
        <w:pStyle w:val="19"/>
        <w:spacing w:line="360" w:lineRule="auto"/>
        <w:rPr>
          <w:color w:val="auto"/>
          <w:sz w:val="21"/>
          <w:szCs w:val="21"/>
          <w:highlight w:val="none"/>
        </w:rPr>
      </w:pPr>
      <w:r>
        <w:rPr>
          <w:rFonts w:hint="eastAsia"/>
          <w:color w:val="auto"/>
          <w:sz w:val="21"/>
          <w:szCs w:val="21"/>
          <w:highlight w:val="none"/>
        </w:rPr>
        <w:t>5、出现以下情形时，采购代理机构不予接收投标（响应）文件：</w:t>
      </w:r>
    </w:p>
    <w:p w14:paraId="0E646D8A">
      <w:pPr>
        <w:pStyle w:val="19"/>
        <w:spacing w:line="360" w:lineRule="auto"/>
        <w:rPr>
          <w:color w:val="auto"/>
          <w:sz w:val="21"/>
          <w:szCs w:val="21"/>
          <w:highlight w:val="none"/>
        </w:rPr>
      </w:pPr>
      <w:r>
        <w:rPr>
          <w:color w:val="auto"/>
          <w:sz w:val="21"/>
          <w:szCs w:val="21"/>
          <w:highlight w:val="none"/>
        </w:rPr>
        <w:tab/>
      </w:r>
      <w:r>
        <w:rPr>
          <w:rFonts w:hint="eastAsia"/>
          <w:color w:val="auto"/>
          <w:sz w:val="21"/>
          <w:szCs w:val="21"/>
          <w:highlight w:val="none"/>
        </w:rPr>
        <w:t>（1）逾期送达或者未送达指定地点的；</w:t>
      </w:r>
    </w:p>
    <w:p w14:paraId="2D624003">
      <w:pPr>
        <w:pStyle w:val="19"/>
        <w:spacing w:line="360" w:lineRule="auto"/>
        <w:rPr>
          <w:color w:val="auto"/>
          <w:sz w:val="21"/>
          <w:szCs w:val="21"/>
          <w:highlight w:val="none"/>
        </w:rPr>
      </w:pPr>
      <w:r>
        <w:rPr>
          <w:color w:val="auto"/>
          <w:sz w:val="21"/>
          <w:szCs w:val="21"/>
          <w:highlight w:val="none"/>
        </w:rPr>
        <w:tab/>
      </w:r>
      <w:r>
        <w:rPr>
          <w:rFonts w:hint="eastAsia"/>
          <w:color w:val="auto"/>
          <w:sz w:val="21"/>
          <w:szCs w:val="21"/>
          <w:highlight w:val="none"/>
        </w:rPr>
        <w:t>（2）未按采购文件要求密封的。</w:t>
      </w:r>
    </w:p>
    <w:p w14:paraId="5B1C49E8">
      <w:pPr>
        <w:pStyle w:val="19"/>
        <w:ind w:firstLine="400"/>
        <w:rPr>
          <w:color w:val="auto"/>
          <w:highlight w:val="none"/>
        </w:rPr>
      </w:pPr>
    </w:p>
    <w:p w14:paraId="43704800">
      <w:pPr>
        <w:pStyle w:val="19"/>
        <w:ind w:firstLine="422"/>
        <w:rPr>
          <w:rFonts w:ascii="宋体" w:hAnsi="宋体" w:eastAsia="宋体" w:cstheme="minorBidi"/>
          <w:b/>
          <w:color w:val="auto"/>
          <w:sz w:val="21"/>
          <w:szCs w:val="21"/>
          <w:highlight w:val="none"/>
        </w:rPr>
      </w:pPr>
      <w:r>
        <w:rPr>
          <w:rFonts w:hint="eastAsia" w:ascii="宋体" w:hAnsi="宋体" w:eastAsia="宋体" w:cstheme="minorBidi"/>
          <w:b/>
          <w:color w:val="auto"/>
          <w:sz w:val="21"/>
          <w:szCs w:val="21"/>
          <w:highlight w:val="none"/>
        </w:rPr>
        <w:t>五</w:t>
      </w:r>
      <w:r>
        <w:rPr>
          <w:rFonts w:ascii="宋体" w:hAnsi="宋体" w:eastAsia="宋体" w:cstheme="minorBidi"/>
          <w:b/>
          <w:color w:val="auto"/>
          <w:sz w:val="21"/>
          <w:szCs w:val="21"/>
          <w:highlight w:val="none"/>
        </w:rPr>
        <w:t>、发布公告的媒介</w:t>
      </w:r>
    </w:p>
    <w:p w14:paraId="1579A98F">
      <w:pPr>
        <w:pStyle w:val="19"/>
        <w:spacing w:line="360" w:lineRule="auto"/>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1、采购公告发布媒介：</w:t>
      </w:r>
    </w:p>
    <w:p w14:paraId="42EB1618">
      <w:pPr>
        <w:pStyle w:val="19"/>
        <w:spacing w:line="360" w:lineRule="auto"/>
        <w:rPr>
          <w:rFonts w:ascii="宋体" w:hAnsi="宋体" w:eastAsia="宋体" w:cs="宋体"/>
          <w:color w:val="auto"/>
          <w:sz w:val="21"/>
          <w:szCs w:val="21"/>
          <w:highlight w:val="none"/>
        </w:rPr>
      </w:pPr>
      <w:r>
        <w:rPr>
          <w:rFonts w:hint="eastAsia" w:ascii="宋体" w:hAnsi="宋体" w:eastAsia="宋体" w:cs="宋体"/>
          <w:color w:val="auto"/>
          <w:sz w:val="21"/>
          <w:szCs w:val="21"/>
          <w:highlight w:val="none"/>
          <w:u w:val="single"/>
        </w:rPr>
        <w:t>中国招标投标公共服务平台（http://www.cebpubservice.com/）、东莞实业投资控股集团有限公司-招标采购栏目（http://www.dgsy.com.cn/）、广东东实环境股份有限公司</w:t>
      </w:r>
      <w:r>
        <w:rPr>
          <w:rFonts w:hint="eastAsia" w:ascii="宋体" w:hAnsi="宋体" w:cs="宋体"/>
          <w:color w:val="auto"/>
          <w:szCs w:val="21"/>
          <w:highlight w:val="none"/>
          <w:u w:val="single"/>
        </w:rPr>
        <w:t>招采平台</w:t>
      </w:r>
      <w:r>
        <w:rPr>
          <w:rFonts w:hint="eastAsia" w:ascii="宋体" w:hAnsi="宋体" w:cs="宋体"/>
          <w:color w:val="auto"/>
          <w:szCs w:val="21"/>
          <w:highlight w:val="none"/>
          <w:u w:val="single"/>
          <w:lang w:val="en-US" w:eastAsia="zh-CN"/>
        </w:rPr>
        <w:t>(</w:t>
      </w:r>
      <w:r>
        <w:rPr>
          <w:rFonts w:hint="eastAsia" w:ascii="宋体" w:hAnsi="宋体" w:cs="宋体"/>
          <w:color w:val="auto"/>
          <w:szCs w:val="21"/>
          <w:highlight w:val="none"/>
          <w:u w:val="single"/>
        </w:rPr>
        <w:t>https://pur.yonyoucloud.com/core4/GDDSE</w:t>
      </w:r>
      <w:r>
        <w:rPr>
          <w:rFonts w:hint="eastAsia" w:ascii="宋体" w:hAnsi="宋体" w:cs="宋体"/>
          <w:color w:val="auto"/>
          <w:szCs w:val="21"/>
          <w:highlight w:val="none"/>
          <w:u w:val="single"/>
          <w:lang w:val="en-US" w:eastAsia="zh-CN"/>
        </w:rPr>
        <w:t>)</w:t>
      </w:r>
      <w:r>
        <w:rPr>
          <w:rFonts w:hint="eastAsia" w:ascii="宋体" w:hAnsi="宋体" w:eastAsia="宋体" w:cs="宋体"/>
          <w:color w:val="auto"/>
          <w:sz w:val="21"/>
          <w:szCs w:val="21"/>
          <w:highlight w:val="none"/>
          <w:u w:val="single"/>
        </w:rPr>
        <w:t>、广东政通招标有限公司官网（http://www.zttendering.com/）</w:t>
      </w:r>
      <w:r>
        <w:rPr>
          <w:rFonts w:hint="eastAsia" w:ascii="宋体" w:hAnsi="宋体" w:eastAsia="宋体" w:cs="宋体"/>
          <w:color w:val="auto"/>
          <w:sz w:val="21"/>
          <w:szCs w:val="21"/>
          <w:highlight w:val="none"/>
        </w:rPr>
        <w:t>。</w:t>
      </w:r>
    </w:p>
    <w:p w14:paraId="16E7C546">
      <w:pPr>
        <w:pStyle w:val="19"/>
        <w:spacing w:line="360" w:lineRule="auto"/>
        <w:rPr>
          <w:rFonts w:ascii="宋体" w:hAnsi="宋体" w:eastAsia="宋体" w:cs="宋体"/>
          <w:bCs/>
          <w:color w:val="auto"/>
          <w:sz w:val="21"/>
          <w:szCs w:val="21"/>
          <w:highlight w:val="none"/>
        </w:rPr>
      </w:pPr>
      <w:r>
        <w:rPr>
          <w:rFonts w:hint="eastAsia" w:ascii="宋体" w:hAnsi="宋体" w:eastAsia="宋体" w:cs="宋体"/>
          <w:bCs/>
          <w:color w:val="auto"/>
          <w:sz w:val="21"/>
          <w:szCs w:val="21"/>
          <w:highlight w:val="none"/>
        </w:rPr>
        <w:t>2、结果公告发布媒介：</w:t>
      </w:r>
    </w:p>
    <w:p w14:paraId="6B8909C9">
      <w:pPr>
        <w:pStyle w:val="19"/>
        <w:spacing w:line="360" w:lineRule="auto"/>
        <w:rPr>
          <w:rFonts w:ascii="宋体" w:hAnsi="宋体" w:eastAsia="宋体" w:cs="宋体"/>
          <w:bCs/>
          <w:color w:val="auto"/>
          <w:sz w:val="21"/>
          <w:szCs w:val="21"/>
          <w:highlight w:val="none"/>
        </w:rPr>
      </w:pPr>
      <w:r>
        <w:rPr>
          <w:rFonts w:hint="eastAsia" w:ascii="宋体" w:hAnsi="宋体" w:eastAsia="宋体" w:cs="宋体"/>
          <w:color w:val="auto"/>
          <w:sz w:val="21"/>
          <w:szCs w:val="21"/>
          <w:highlight w:val="none"/>
        </w:rPr>
        <w:t>东莞实业投资控股集团有限公司-招标采购栏目（http://www.dgsy.com.cn/）。</w:t>
      </w:r>
    </w:p>
    <w:p w14:paraId="2708B585">
      <w:pPr>
        <w:ind w:firstLine="413" w:firstLineChars="196"/>
        <w:rPr>
          <w:rFonts w:ascii="宋体" w:hAnsi="宋体"/>
          <w:bCs/>
          <w:color w:val="auto"/>
          <w:szCs w:val="21"/>
          <w:highlight w:val="none"/>
        </w:rPr>
      </w:pPr>
      <w:r>
        <w:rPr>
          <w:rFonts w:hint="eastAsia" w:ascii="宋体" w:hAnsi="宋体"/>
          <w:b/>
          <w:color w:val="auto"/>
          <w:szCs w:val="21"/>
          <w:highlight w:val="none"/>
        </w:rPr>
        <w:t>六、采购人及采购代理机构的名称、地址和联系方法：</w:t>
      </w:r>
    </w:p>
    <w:p w14:paraId="660CD8D0">
      <w:pPr>
        <w:ind w:firstLine="420" w:firstLineChars="200"/>
        <w:rPr>
          <w:rFonts w:ascii="宋体" w:hAnsi="宋体"/>
          <w:color w:val="auto"/>
          <w:szCs w:val="21"/>
          <w:highlight w:val="none"/>
        </w:rPr>
      </w:pPr>
      <w:r>
        <w:rPr>
          <w:rFonts w:hint="eastAsia" w:ascii="宋体" w:hAnsi="宋体"/>
          <w:color w:val="auto"/>
          <w:szCs w:val="21"/>
          <w:highlight w:val="none"/>
        </w:rPr>
        <w:t>采购人名称：广东东实环境股份有限公司</w:t>
      </w:r>
    </w:p>
    <w:p w14:paraId="0A34B595">
      <w:pPr>
        <w:ind w:firstLine="420" w:firstLineChars="200"/>
        <w:rPr>
          <w:rFonts w:ascii="宋体" w:hAnsi="宋体"/>
          <w:color w:val="auto"/>
          <w:szCs w:val="21"/>
          <w:highlight w:val="none"/>
        </w:rPr>
      </w:pPr>
      <w:r>
        <w:rPr>
          <w:rFonts w:hint="eastAsia" w:ascii="宋体" w:hAnsi="宋体"/>
          <w:color w:val="auto"/>
          <w:szCs w:val="21"/>
          <w:highlight w:val="none"/>
        </w:rPr>
        <w:t>采购人地址：广东省东莞市麻涌镇海心沙路1号。</w:t>
      </w:r>
    </w:p>
    <w:p w14:paraId="59247740">
      <w:pPr>
        <w:ind w:firstLine="420" w:firstLineChars="200"/>
        <w:rPr>
          <w:rFonts w:hint="eastAsia" w:ascii="宋体" w:hAnsi="宋体" w:eastAsia="宋体"/>
          <w:color w:val="auto"/>
          <w:szCs w:val="21"/>
          <w:highlight w:val="none"/>
          <w:lang w:val="en-US" w:eastAsia="zh-CN"/>
        </w:rPr>
      </w:pPr>
      <w:r>
        <w:rPr>
          <w:rFonts w:hint="eastAsia" w:ascii="宋体" w:hAnsi="宋体"/>
          <w:color w:val="auto"/>
          <w:szCs w:val="21"/>
          <w:highlight w:val="none"/>
        </w:rPr>
        <w:t>联系人：</w:t>
      </w:r>
      <w:r>
        <w:rPr>
          <w:rFonts w:hint="eastAsia" w:ascii="宋体" w:hAnsi="宋体"/>
          <w:color w:val="auto"/>
          <w:szCs w:val="21"/>
          <w:highlight w:val="none"/>
          <w:lang w:val="en-US" w:eastAsia="zh-CN"/>
        </w:rPr>
        <w:t>陈工</w:t>
      </w:r>
    </w:p>
    <w:p w14:paraId="219AECC5">
      <w:pPr>
        <w:ind w:firstLine="420" w:firstLineChars="200"/>
        <w:rPr>
          <w:rFonts w:hint="default" w:ascii="宋体" w:hAnsi="宋体" w:eastAsia="宋体"/>
          <w:color w:val="auto"/>
          <w:szCs w:val="21"/>
          <w:highlight w:val="none"/>
          <w:lang w:val="en-US" w:eastAsia="zh-CN"/>
        </w:rPr>
      </w:pPr>
      <w:r>
        <w:rPr>
          <w:rFonts w:hint="eastAsia" w:ascii="宋体" w:hAnsi="宋体"/>
          <w:color w:val="auto"/>
          <w:szCs w:val="21"/>
          <w:highlight w:val="none"/>
        </w:rPr>
        <w:t>联系电话：0769-39028733</w:t>
      </w:r>
    </w:p>
    <w:p w14:paraId="26B8196D">
      <w:pPr>
        <w:ind w:firstLine="420" w:firstLineChars="200"/>
        <w:rPr>
          <w:rFonts w:ascii="宋体" w:hAnsi="宋体"/>
          <w:color w:val="auto"/>
          <w:szCs w:val="21"/>
          <w:highlight w:val="none"/>
        </w:rPr>
      </w:pPr>
    </w:p>
    <w:p w14:paraId="23EB2FCF">
      <w:pPr>
        <w:ind w:firstLine="420" w:firstLineChars="200"/>
        <w:rPr>
          <w:rFonts w:ascii="宋体" w:hAnsi="宋体"/>
          <w:color w:val="auto"/>
          <w:szCs w:val="21"/>
          <w:highlight w:val="none"/>
        </w:rPr>
      </w:pPr>
      <w:r>
        <w:rPr>
          <w:rFonts w:hint="eastAsia" w:ascii="宋体" w:hAnsi="宋体"/>
          <w:color w:val="auto"/>
          <w:szCs w:val="21"/>
          <w:highlight w:val="none"/>
        </w:rPr>
        <w:t>采购代理机构名称：广东政通招标有限公司</w:t>
      </w:r>
    </w:p>
    <w:p w14:paraId="4CB3E7BC">
      <w:pPr>
        <w:ind w:firstLine="420" w:firstLineChars="200"/>
        <w:rPr>
          <w:rFonts w:ascii="宋体" w:hAnsi="宋体"/>
          <w:color w:val="auto"/>
          <w:szCs w:val="21"/>
          <w:highlight w:val="none"/>
        </w:rPr>
      </w:pPr>
      <w:r>
        <w:rPr>
          <w:rFonts w:hint="eastAsia" w:ascii="宋体" w:hAnsi="宋体"/>
          <w:color w:val="auto"/>
          <w:szCs w:val="21"/>
          <w:highlight w:val="none"/>
        </w:rPr>
        <w:t>采购代理机构地址：东莞市南城街道鸿福路199号（市民服务中心）411室</w:t>
      </w:r>
    </w:p>
    <w:p w14:paraId="6D9283FA">
      <w:pPr>
        <w:ind w:firstLine="420" w:firstLineChars="200"/>
        <w:rPr>
          <w:rFonts w:hint="eastAsia" w:ascii="宋体" w:hAnsi="宋体" w:eastAsia="宋体"/>
          <w:color w:val="auto"/>
          <w:szCs w:val="21"/>
          <w:highlight w:val="none"/>
          <w:lang w:eastAsia="zh-CN"/>
        </w:rPr>
      </w:pPr>
      <w:r>
        <w:rPr>
          <w:rFonts w:hint="eastAsia" w:ascii="宋体" w:hAnsi="宋体"/>
          <w:color w:val="auto"/>
          <w:szCs w:val="21"/>
          <w:highlight w:val="none"/>
        </w:rPr>
        <w:t>联系人：</w:t>
      </w:r>
      <w:r>
        <w:rPr>
          <w:rFonts w:hint="eastAsia" w:ascii="宋体" w:hAnsi="宋体"/>
          <w:color w:val="auto"/>
          <w:szCs w:val="21"/>
          <w:highlight w:val="none"/>
          <w:lang w:val="en-US" w:eastAsia="zh-CN"/>
        </w:rPr>
        <w:t>徐小姐</w:t>
      </w:r>
    </w:p>
    <w:p w14:paraId="33A120FD">
      <w:pPr>
        <w:ind w:firstLine="420" w:firstLineChars="200"/>
        <w:rPr>
          <w:rFonts w:ascii="宋体" w:hAnsi="宋体"/>
          <w:color w:val="auto"/>
          <w:szCs w:val="21"/>
          <w:highlight w:val="none"/>
        </w:rPr>
      </w:pPr>
      <w:r>
        <w:rPr>
          <w:rFonts w:hint="eastAsia" w:ascii="宋体" w:hAnsi="宋体"/>
          <w:color w:val="auto"/>
          <w:szCs w:val="21"/>
          <w:highlight w:val="none"/>
        </w:rPr>
        <w:t>联系电话：0769-22881803</w:t>
      </w:r>
    </w:p>
    <w:p w14:paraId="24E10834">
      <w:pPr>
        <w:ind w:firstLine="420" w:firstLineChars="200"/>
        <w:rPr>
          <w:color w:val="auto"/>
          <w:highlight w:val="none"/>
        </w:rPr>
      </w:pPr>
      <w:r>
        <w:rPr>
          <w:rFonts w:hint="eastAsia" w:ascii="宋体" w:hAnsi="宋体"/>
          <w:color w:val="auto"/>
          <w:szCs w:val="21"/>
          <w:highlight w:val="none"/>
        </w:rPr>
        <w:t>电子邮件：</w:t>
      </w:r>
      <w:r>
        <w:rPr>
          <w:rFonts w:hint="eastAsia" w:ascii="宋体" w:hAnsi="宋体"/>
          <w:color w:val="auto"/>
          <w:szCs w:val="21"/>
          <w:highlight w:val="none"/>
          <w:lang w:val="en-US" w:eastAsia="zh-CN"/>
        </w:rPr>
        <w:t>1045424928</w:t>
      </w:r>
      <w:r>
        <w:rPr>
          <w:rFonts w:hint="eastAsia" w:ascii="宋体" w:hAnsi="宋体"/>
          <w:color w:val="auto"/>
          <w:szCs w:val="21"/>
          <w:highlight w:val="none"/>
        </w:rPr>
        <w:t>@qq.com</w:t>
      </w:r>
    </w:p>
    <w:p w14:paraId="6FC48D5E">
      <w:pPr>
        <w:ind w:firstLine="420" w:firstLineChars="200"/>
        <w:rPr>
          <w:color w:val="auto"/>
          <w:highlight w:val="none"/>
        </w:rPr>
      </w:pPr>
    </w:p>
    <w:p w14:paraId="5A6C6F62">
      <w:pPr>
        <w:ind w:right="752" w:rightChars="358"/>
        <w:jc w:val="right"/>
        <w:rPr>
          <w:color w:val="auto"/>
          <w:highlight w:val="none"/>
        </w:rPr>
      </w:pPr>
    </w:p>
    <w:p w14:paraId="2562C2BA">
      <w:pPr>
        <w:ind w:right="752" w:rightChars="358"/>
        <w:jc w:val="right"/>
        <w:rPr>
          <w:rFonts w:ascii="宋体" w:hAnsi="宋体" w:cs="宋体"/>
          <w:color w:val="auto"/>
          <w:szCs w:val="21"/>
          <w:highlight w:val="none"/>
        </w:rPr>
      </w:pPr>
      <w:r>
        <w:rPr>
          <w:rFonts w:hint="eastAsia" w:ascii="宋体" w:hAnsi="宋体" w:cs="宋体"/>
          <w:color w:val="auto"/>
          <w:szCs w:val="21"/>
          <w:highlight w:val="none"/>
        </w:rPr>
        <w:t>广东政通招标有限公司</w:t>
      </w:r>
    </w:p>
    <w:p w14:paraId="1F14BC62">
      <w:pPr>
        <w:ind w:right="752" w:rightChars="358"/>
        <w:jc w:val="right"/>
        <w:rPr>
          <w:rFonts w:ascii="宋体" w:hAnsi="宋体" w:cs="宋体"/>
          <w:color w:val="auto"/>
          <w:szCs w:val="21"/>
          <w:highlight w:val="none"/>
        </w:rPr>
      </w:pPr>
      <w:r>
        <w:rPr>
          <w:rFonts w:hint="eastAsia" w:ascii="宋体" w:hAnsi="宋体" w:cs="宋体"/>
          <w:color w:val="auto"/>
          <w:szCs w:val="21"/>
          <w:highlight w:val="none"/>
          <w:lang w:eastAsia="zh-CN"/>
        </w:rPr>
        <w:t>202</w:t>
      </w:r>
      <w:r>
        <w:rPr>
          <w:rFonts w:hint="eastAsia" w:ascii="宋体" w:hAnsi="宋体" w:cs="宋体"/>
          <w:color w:val="auto"/>
          <w:szCs w:val="21"/>
          <w:highlight w:val="none"/>
          <w:lang w:val="en-US" w:eastAsia="zh-CN"/>
        </w:rPr>
        <w:t>5</w:t>
      </w:r>
      <w:r>
        <w:rPr>
          <w:rFonts w:hint="eastAsia" w:ascii="宋体" w:hAnsi="宋体" w:cs="宋体"/>
          <w:color w:val="auto"/>
          <w:szCs w:val="21"/>
          <w:highlight w:val="none"/>
          <w:lang w:eastAsia="zh-CN"/>
        </w:rPr>
        <w:t>年</w:t>
      </w:r>
      <w:r>
        <w:rPr>
          <w:rFonts w:hint="eastAsia" w:ascii="宋体" w:hAnsi="宋体" w:cs="宋体"/>
          <w:color w:val="auto"/>
          <w:szCs w:val="21"/>
          <w:highlight w:val="none"/>
          <w:lang w:val="en-US" w:eastAsia="zh-CN"/>
        </w:rPr>
        <w:t xml:space="preserve"> 9</w:t>
      </w:r>
      <w:r>
        <w:rPr>
          <w:rFonts w:hint="eastAsia" w:ascii="宋体" w:hAnsi="宋体" w:cs="宋体"/>
          <w:color w:val="auto"/>
          <w:szCs w:val="21"/>
          <w:highlight w:val="none"/>
        </w:rPr>
        <w:t xml:space="preserve"> 月</w:t>
      </w:r>
      <w:r>
        <w:rPr>
          <w:rFonts w:hint="eastAsia" w:ascii="宋体" w:hAnsi="宋体" w:cs="宋体"/>
          <w:color w:val="auto"/>
          <w:szCs w:val="21"/>
          <w:highlight w:val="none"/>
          <w:lang w:val="en-US" w:eastAsia="zh-CN"/>
        </w:rPr>
        <w:t xml:space="preserve"> 30</w:t>
      </w:r>
      <w:bookmarkStart w:id="277" w:name="_GoBack"/>
      <w:bookmarkEnd w:id="277"/>
      <w:r>
        <w:rPr>
          <w:rFonts w:hint="eastAsia" w:ascii="宋体" w:hAnsi="宋体" w:cs="宋体"/>
          <w:color w:val="auto"/>
          <w:szCs w:val="21"/>
          <w:highlight w:val="none"/>
          <w:lang w:val="en-US" w:eastAsia="zh-CN"/>
        </w:rPr>
        <w:t xml:space="preserve"> </w:t>
      </w:r>
      <w:r>
        <w:rPr>
          <w:rFonts w:hint="eastAsia" w:ascii="宋体" w:hAnsi="宋体" w:cs="宋体"/>
          <w:color w:val="auto"/>
          <w:szCs w:val="21"/>
          <w:highlight w:val="none"/>
        </w:rPr>
        <w:t>日</w:t>
      </w:r>
    </w:p>
    <w:p w14:paraId="50C40CD4">
      <w:pPr>
        <w:ind w:left="6205" w:leftChars="2755" w:hanging="420" w:hangingChars="200"/>
        <w:rPr>
          <w:rFonts w:ascii="黑体" w:hAnsi="宋体" w:eastAsia="黑体"/>
          <w:color w:val="auto"/>
          <w:highlight w:val="none"/>
        </w:rPr>
      </w:pPr>
      <w:r>
        <w:rPr>
          <w:rFonts w:hint="eastAsia" w:ascii="宋体" w:hAnsi="宋体" w:cs="宋体"/>
          <w:color w:val="auto"/>
          <w:szCs w:val="21"/>
          <w:highlight w:val="none"/>
        </w:rPr>
        <w:br w:type="page"/>
      </w:r>
    </w:p>
    <w:p w14:paraId="226F7B53">
      <w:pPr>
        <w:pStyle w:val="2"/>
        <w:spacing w:before="0" w:after="0" w:line="240" w:lineRule="auto"/>
        <w:rPr>
          <w:color w:val="auto"/>
          <w:sz w:val="28"/>
          <w:szCs w:val="28"/>
          <w:highlight w:val="none"/>
        </w:rPr>
      </w:pPr>
      <w:bookmarkStart w:id="6" w:name="_Toc13792"/>
      <w:bookmarkStart w:id="7" w:name="_Toc20564"/>
      <w:r>
        <w:rPr>
          <w:rFonts w:hint="eastAsia"/>
          <w:color w:val="auto"/>
          <w:sz w:val="28"/>
          <w:szCs w:val="28"/>
          <w:highlight w:val="none"/>
        </w:rPr>
        <w:t>第二部分相关资料表格</w:t>
      </w:r>
      <w:bookmarkEnd w:id="6"/>
      <w:bookmarkEnd w:id="7"/>
    </w:p>
    <w:p w14:paraId="018F5B7F">
      <w:pPr>
        <w:pStyle w:val="3"/>
        <w:spacing w:before="0" w:after="0" w:line="240" w:lineRule="auto"/>
        <w:jc w:val="center"/>
        <w:rPr>
          <w:rFonts w:ascii="宋体" w:hAnsi="宋体" w:cs="宋体"/>
          <w:color w:val="auto"/>
          <w:sz w:val="24"/>
          <w:szCs w:val="24"/>
          <w:highlight w:val="none"/>
        </w:rPr>
      </w:pPr>
      <w:bookmarkStart w:id="8" w:name="_Toc14333"/>
      <w:bookmarkStart w:id="9" w:name="_Toc2931"/>
      <w:r>
        <w:rPr>
          <w:rFonts w:hint="eastAsia" w:ascii="宋体" w:hAnsi="宋体" w:cs="宋体"/>
          <w:color w:val="auto"/>
          <w:sz w:val="24"/>
          <w:szCs w:val="24"/>
          <w:highlight w:val="none"/>
        </w:rPr>
        <w:t>附表一：投标资料表</w:t>
      </w:r>
      <w:bookmarkEnd w:id="8"/>
      <w:bookmarkEnd w:id="9"/>
    </w:p>
    <w:tbl>
      <w:tblPr>
        <w:tblStyle w:val="16"/>
        <w:tblW w:w="8410" w:type="dxa"/>
        <w:tblInd w:w="-23" w:type="dxa"/>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28" w:type="dxa"/>
          <w:bottom w:w="0" w:type="dxa"/>
          <w:right w:w="28" w:type="dxa"/>
        </w:tblCellMar>
      </w:tblPr>
      <w:tblGrid>
        <w:gridCol w:w="878"/>
        <w:gridCol w:w="1861"/>
        <w:gridCol w:w="5671"/>
      </w:tblGrid>
      <w:tr w14:paraId="155BB184">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600" w:hRule="atLeast"/>
        </w:trPr>
        <w:tc>
          <w:tcPr>
            <w:tcW w:w="878" w:type="dxa"/>
            <w:tcBorders>
              <w:tl2br w:val="nil"/>
              <w:tr2bl w:val="nil"/>
            </w:tcBorders>
            <w:vAlign w:val="center"/>
          </w:tcPr>
          <w:p w14:paraId="13190264">
            <w:pPr>
              <w:jc w:val="center"/>
              <w:rPr>
                <w:rFonts w:ascii="宋体" w:hAnsi="宋体"/>
                <w:color w:val="auto"/>
                <w:szCs w:val="21"/>
                <w:highlight w:val="none"/>
              </w:rPr>
            </w:pPr>
            <w:r>
              <w:rPr>
                <w:rFonts w:hint="eastAsia" w:ascii="宋体" w:hAnsi="宋体"/>
                <w:color w:val="auto"/>
                <w:szCs w:val="21"/>
                <w:highlight w:val="none"/>
              </w:rPr>
              <w:t>序号</w:t>
            </w:r>
          </w:p>
        </w:tc>
        <w:tc>
          <w:tcPr>
            <w:tcW w:w="7532" w:type="dxa"/>
            <w:gridSpan w:val="2"/>
            <w:tcBorders>
              <w:tl2br w:val="nil"/>
              <w:tr2bl w:val="nil"/>
            </w:tcBorders>
            <w:vAlign w:val="center"/>
          </w:tcPr>
          <w:p w14:paraId="2C14CBF4">
            <w:pPr>
              <w:jc w:val="center"/>
              <w:rPr>
                <w:rFonts w:ascii="宋体" w:hAnsi="宋体"/>
                <w:b/>
                <w:color w:val="auto"/>
                <w:szCs w:val="21"/>
                <w:highlight w:val="none"/>
              </w:rPr>
            </w:pPr>
            <w:r>
              <w:rPr>
                <w:rFonts w:hint="eastAsia" w:ascii="宋体" w:hAnsi="宋体"/>
                <w:b/>
                <w:color w:val="auto"/>
                <w:szCs w:val="21"/>
                <w:highlight w:val="none"/>
              </w:rPr>
              <w:t>内容</w:t>
            </w:r>
          </w:p>
        </w:tc>
      </w:tr>
      <w:tr w14:paraId="0A3FFDBE">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cantSplit/>
          <w:trHeight w:val="551" w:hRule="atLeast"/>
        </w:trPr>
        <w:tc>
          <w:tcPr>
            <w:tcW w:w="8410" w:type="dxa"/>
            <w:gridSpan w:val="3"/>
            <w:tcBorders>
              <w:tl2br w:val="nil"/>
              <w:tr2bl w:val="nil"/>
            </w:tcBorders>
            <w:vAlign w:val="center"/>
          </w:tcPr>
          <w:p w14:paraId="53BF3249">
            <w:pPr>
              <w:jc w:val="center"/>
              <w:rPr>
                <w:rFonts w:ascii="宋体" w:hAnsi="宋体"/>
                <w:b/>
                <w:color w:val="auto"/>
                <w:szCs w:val="21"/>
                <w:highlight w:val="none"/>
              </w:rPr>
            </w:pPr>
            <w:r>
              <w:rPr>
                <w:rFonts w:hint="eastAsia" w:ascii="宋体" w:hAnsi="宋体"/>
                <w:b/>
                <w:color w:val="auto"/>
                <w:szCs w:val="21"/>
                <w:highlight w:val="none"/>
              </w:rPr>
              <w:t>一、说明</w:t>
            </w:r>
          </w:p>
        </w:tc>
      </w:tr>
      <w:tr w14:paraId="49B6C3F0">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473" w:hRule="atLeast"/>
        </w:trPr>
        <w:tc>
          <w:tcPr>
            <w:tcW w:w="878" w:type="dxa"/>
            <w:vMerge w:val="restart"/>
            <w:tcBorders>
              <w:tl2br w:val="nil"/>
              <w:tr2bl w:val="nil"/>
            </w:tcBorders>
            <w:vAlign w:val="center"/>
          </w:tcPr>
          <w:p w14:paraId="3E67EC61">
            <w:pPr>
              <w:jc w:val="center"/>
              <w:rPr>
                <w:rFonts w:ascii="宋体" w:hAnsi="宋体"/>
                <w:color w:val="auto"/>
                <w:szCs w:val="21"/>
                <w:highlight w:val="none"/>
              </w:rPr>
            </w:pPr>
            <w:r>
              <w:rPr>
                <w:rFonts w:hint="eastAsia" w:ascii="宋体" w:hAnsi="宋体"/>
                <w:color w:val="auto"/>
                <w:szCs w:val="21"/>
                <w:highlight w:val="none"/>
              </w:rPr>
              <w:t>1</w:t>
            </w:r>
          </w:p>
        </w:tc>
        <w:tc>
          <w:tcPr>
            <w:tcW w:w="7532" w:type="dxa"/>
            <w:gridSpan w:val="2"/>
            <w:tcBorders>
              <w:tl2br w:val="nil"/>
              <w:tr2bl w:val="nil"/>
            </w:tcBorders>
            <w:vAlign w:val="center"/>
          </w:tcPr>
          <w:p w14:paraId="7E280C06">
            <w:pPr>
              <w:rPr>
                <w:rFonts w:ascii="宋体" w:hAnsi="宋体"/>
                <w:b/>
                <w:bCs/>
                <w:color w:val="auto"/>
                <w:szCs w:val="21"/>
                <w:highlight w:val="none"/>
              </w:rPr>
            </w:pPr>
            <w:r>
              <w:rPr>
                <w:rFonts w:hint="eastAsia" w:ascii="宋体" w:hAnsi="宋体"/>
                <w:b/>
                <w:bCs/>
                <w:color w:val="auto"/>
                <w:szCs w:val="21"/>
                <w:highlight w:val="none"/>
              </w:rPr>
              <w:t>最高限价</w:t>
            </w:r>
          </w:p>
        </w:tc>
      </w:tr>
      <w:tr w14:paraId="14ECFE98">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472" w:hRule="atLeast"/>
        </w:trPr>
        <w:tc>
          <w:tcPr>
            <w:tcW w:w="878" w:type="dxa"/>
            <w:vMerge w:val="continue"/>
            <w:tcBorders>
              <w:tl2br w:val="nil"/>
              <w:tr2bl w:val="nil"/>
            </w:tcBorders>
            <w:vAlign w:val="center"/>
          </w:tcPr>
          <w:p w14:paraId="1108DF55">
            <w:pPr>
              <w:jc w:val="center"/>
              <w:rPr>
                <w:rFonts w:ascii="宋体" w:hAnsi="宋体"/>
                <w:color w:val="auto"/>
                <w:szCs w:val="21"/>
                <w:highlight w:val="none"/>
              </w:rPr>
            </w:pPr>
          </w:p>
        </w:tc>
        <w:tc>
          <w:tcPr>
            <w:tcW w:w="7532" w:type="dxa"/>
            <w:gridSpan w:val="2"/>
            <w:tcBorders>
              <w:tl2br w:val="nil"/>
              <w:tr2bl w:val="nil"/>
            </w:tcBorders>
            <w:vAlign w:val="center"/>
          </w:tcPr>
          <w:p w14:paraId="0DA14E20">
            <w:pPr>
              <w:rPr>
                <w:rFonts w:hint="default" w:ascii="宋体" w:hAnsi="宋体" w:eastAsia="宋体"/>
                <w:b/>
                <w:bCs/>
                <w:color w:val="auto"/>
                <w:szCs w:val="21"/>
                <w:highlight w:val="none"/>
                <w:lang w:val="en-US" w:eastAsia="zh-CN"/>
              </w:rPr>
            </w:pPr>
            <w:r>
              <w:rPr>
                <w:rFonts w:hint="eastAsia" w:ascii="宋体" w:hAnsi="宋体"/>
                <w:color w:val="auto"/>
                <w:szCs w:val="21"/>
                <w:highlight w:val="none"/>
                <w:lang w:val="en-US" w:eastAsia="zh-CN"/>
              </w:rPr>
              <w:t>详见</w:t>
            </w:r>
            <w:r>
              <w:rPr>
                <w:rFonts w:hint="eastAsia" w:ascii="宋体" w:hAnsi="宋体"/>
                <w:color w:val="auto"/>
                <w:szCs w:val="21"/>
                <w:highlight w:val="none"/>
                <w:lang w:eastAsia="zh-CN"/>
              </w:rPr>
              <w:t>《</w:t>
            </w:r>
            <w:r>
              <w:rPr>
                <w:rFonts w:hint="eastAsia" w:ascii="宋体" w:hAnsi="宋体"/>
                <w:color w:val="auto"/>
                <w:szCs w:val="21"/>
                <w:highlight w:val="none"/>
                <w:lang w:val="en-US" w:eastAsia="zh-CN"/>
              </w:rPr>
              <w:t>餐厨项目车辆维修</w:t>
            </w:r>
            <w:r>
              <w:rPr>
                <w:rFonts w:hint="eastAsia" w:ascii="宋体" w:hAnsi="宋体"/>
                <w:color w:val="auto"/>
                <w:szCs w:val="21"/>
                <w:highlight w:val="none"/>
                <w:lang w:eastAsia="zh-CN"/>
              </w:rPr>
              <w:t>配件及工时单价限价表》</w:t>
            </w:r>
          </w:p>
        </w:tc>
      </w:tr>
      <w:tr w14:paraId="1270D757">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472" w:hRule="atLeast"/>
        </w:trPr>
        <w:tc>
          <w:tcPr>
            <w:tcW w:w="878" w:type="dxa"/>
            <w:vMerge w:val="restart"/>
            <w:tcBorders>
              <w:tl2br w:val="nil"/>
              <w:tr2bl w:val="nil"/>
            </w:tcBorders>
            <w:vAlign w:val="center"/>
          </w:tcPr>
          <w:p w14:paraId="63F84270">
            <w:pPr>
              <w:jc w:val="center"/>
              <w:rPr>
                <w:rFonts w:ascii="宋体" w:hAnsi="宋体"/>
                <w:color w:val="auto"/>
                <w:szCs w:val="21"/>
                <w:highlight w:val="none"/>
              </w:rPr>
            </w:pPr>
            <w:r>
              <w:rPr>
                <w:rFonts w:hint="eastAsia" w:ascii="宋体" w:hAnsi="宋体"/>
                <w:color w:val="auto"/>
                <w:szCs w:val="21"/>
                <w:highlight w:val="none"/>
              </w:rPr>
              <w:t>2</w:t>
            </w:r>
          </w:p>
        </w:tc>
        <w:tc>
          <w:tcPr>
            <w:tcW w:w="7532" w:type="dxa"/>
            <w:gridSpan w:val="2"/>
            <w:tcBorders>
              <w:tl2br w:val="nil"/>
              <w:tr2bl w:val="nil"/>
            </w:tcBorders>
            <w:vAlign w:val="center"/>
          </w:tcPr>
          <w:p w14:paraId="79590FDC">
            <w:pPr>
              <w:rPr>
                <w:rFonts w:ascii="宋体" w:hAnsi="宋体"/>
                <w:b/>
                <w:bCs/>
                <w:color w:val="auto"/>
                <w:szCs w:val="21"/>
                <w:highlight w:val="none"/>
              </w:rPr>
            </w:pPr>
            <w:r>
              <w:rPr>
                <w:rFonts w:hint="eastAsia" w:ascii="宋体" w:hAnsi="宋体"/>
                <w:b/>
                <w:bCs/>
                <w:color w:val="auto"/>
                <w:szCs w:val="21"/>
                <w:highlight w:val="none"/>
              </w:rPr>
              <w:t>发包方式</w:t>
            </w:r>
          </w:p>
        </w:tc>
      </w:tr>
      <w:tr w14:paraId="3AC4D3A5">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472" w:hRule="atLeast"/>
        </w:trPr>
        <w:tc>
          <w:tcPr>
            <w:tcW w:w="878" w:type="dxa"/>
            <w:vMerge w:val="continue"/>
            <w:tcBorders>
              <w:tl2br w:val="nil"/>
              <w:tr2bl w:val="nil"/>
            </w:tcBorders>
            <w:vAlign w:val="center"/>
          </w:tcPr>
          <w:p w14:paraId="309D98A2">
            <w:pPr>
              <w:jc w:val="center"/>
              <w:rPr>
                <w:rFonts w:ascii="宋体" w:hAnsi="宋体"/>
                <w:color w:val="auto"/>
                <w:szCs w:val="21"/>
                <w:highlight w:val="none"/>
              </w:rPr>
            </w:pPr>
          </w:p>
        </w:tc>
        <w:tc>
          <w:tcPr>
            <w:tcW w:w="7532" w:type="dxa"/>
            <w:gridSpan w:val="2"/>
            <w:tcBorders>
              <w:tl2br w:val="nil"/>
              <w:tr2bl w:val="nil"/>
            </w:tcBorders>
            <w:vAlign w:val="center"/>
          </w:tcPr>
          <w:p w14:paraId="424C70BC">
            <w:pPr>
              <w:autoSpaceDE w:val="0"/>
              <w:autoSpaceDN w:val="0"/>
              <w:rPr>
                <w:rFonts w:ascii="宋体" w:hAnsi="宋体" w:cs="宋体"/>
                <w:color w:val="auto"/>
                <w:szCs w:val="21"/>
                <w:highlight w:val="none"/>
              </w:rPr>
            </w:pPr>
            <w:r>
              <w:rPr>
                <w:rFonts w:hint="eastAsia" w:ascii="宋体" w:hAnsi="宋体" w:cs="宋体"/>
                <w:color w:val="auto"/>
                <w:szCs w:val="21"/>
                <w:highlight w:val="none"/>
                <w:lang w:eastAsia="zh-CN"/>
              </w:rPr>
              <w:t>□</w:t>
            </w:r>
            <w:r>
              <w:rPr>
                <w:rFonts w:hint="eastAsia" w:ascii="宋体" w:hAnsi="宋体" w:cs="宋体"/>
                <w:color w:val="auto"/>
                <w:szCs w:val="21"/>
                <w:highlight w:val="none"/>
              </w:rPr>
              <w:t>固定总价包干</w:t>
            </w:r>
          </w:p>
          <w:p w14:paraId="4AB38643">
            <w:pPr>
              <w:autoSpaceDE w:val="0"/>
              <w:autoSpaceDN w:val="0"/>
              <w:rPr>
                <w:rFonts w:ascii="宋体" w:hAnsi="宋体" w:cs="宋体"/>
                <w:color w:val="auto"/>
                <w:szCs w:val="21"/>
                <w:highlight w:val="none"/>
              </w:rPr>
            </w:pPr>
            <w:r>
              <w:rPr>
                <w:rFonts w:hint="eastAsia" w:ascii="宋体" w:hAnsi="宋体" w:cs="宋体"/>
                <w:color w:val="auto"/>
                <w:szCs w:val="21"/>
                <w:highlight w:val="none"/>
              </w:rPr>
              <w:t>□固定单价暂定总价包干</w:t>
            </w:r>
          </w:p>
          <w:p w14:paraId="541AF327">
            <w:pPr>
              <w:rPr>
                <w:rFonts w:ascii="宋体" w:hAnsi="宋体"/>
                <w:b/>
                <w:bCs/>
                <w:color w:val="auto"/>
                <w:szCs w:val="21"/>
                <w:highlight w:val="none"/>
              </w:rPr>
            </w:pPr>
            <w:r>
              <w:rPr>
                <w:rFonts w:hint="eastAsia" w:ascii="宋体" w:hAnsi="宋体" w:cs="宋体"/>
                <w:color w:val="auto"/>
                <w:szCs w:val="21"/>
                <w:highlight w:val="none"/>
              </w:rPr>
              <w:t>■其他 统一下浮率报价</w:t>
            </w:r>
            <w:r>
              <w:rPr>
                <w:rFonts w:hint="eastAsia" w:ascii="宋体" w:hAnsi="宋体" w:cs="宋体"/>
                <w:color w:val="auto"/>
                <w:szCs w:val="21"/>
                <w:highlight w:val="none"/>
                <w:u w:val="single"/>
              </w:rPr>
              <w:t xml:space="preserve">             </w:t>
            </w:r>
          </w:p>
        </w:tc>
      </w:tr>
      <w:tr w14:paraId="728A18FA">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472" w:hRule="atLeast"/>
        </w:trPr>
        <w:tc>
          <w:tcPr>
            <w:tcW w:w="878" w:type="dxa"/>
            <w:vMerge w:val="restart"/>
            <w:tcBorders>
              <w:tl2br w:val="nil"/>
              <w:tr2bl w:val="nil"/>
            </w:tcBorders>
            <w:vAlign w:val="center"/>
          </w:tcPr>
          <w:p w14:paraId="5222920E">
            <w:pPr>
              <w:jc w:val="center"/>
              <w:rPr>
                <w:rFonts w:ascii="宋体" w:hAnsi="宋体"/>
                <w:color w:val="auto"/>
                <w:szCs w:val="21"/>
                <w:highlight w:val="none"/>
              </w:rPr>
            </w:pPr>
            <w:r>
              <w:rPr>
                <w:rFonts w:hint="eastAsia" w:ascii="宋体" w:hAnsi="宋体"/>
                <w:color w:val="auto"/>
                <w:szCs w:val="21"/>
                <w:highlight w:val="none"/>
              </w:rPr>
              <w:t>3</w:t>
            </w:r>
          </w:p>
        </w:tc>
        <w:tc>
          <w:tcPr>
            <w:tcW w:w="7532" w:type="dxa"/>
            <w:gridSpan w:val="2"/>
            <w:tcBorders>
              <w:tl2br w:val="nil"/>
              <w:tr2bl w:val="nil"/>
            </w:tcBorders>
            <w:vAlign w:val="center"/>
          </w:tcPr>
          <w:p w14:paraId="4636E3B5">
            <w:pPr>
              <w:rPr>
                <w:rFonts w:ascii="宋体" w:hAnsi="宋体"/>
                <w:b/>
                <w:bCs/>
                <w:color w:val="auto"/>
                <w:szCs w:val="21"/>
                <w:highlight w:val="none"/>
              </w:rPr>
            </w:pPr>
            <w:r>
              <w:rPr>
                <w:rFonts w:hint="eastAsia" w:ascii="宋体" w:hAnsi="宋体"/>
                <w:b/>
                <w:bCs/>
                <w:color w:val="auto"/>
                <w:szCs w:val="21"/>
                <w:highlight w:val="none"/>
              </w:rPr>
              <w:t>是否接受联合体投标</w:t>
            </w:r>
          </w:p>
        </w:tc>
      </w:tr>
      <w:tr w14:paraId="4B5E36E0">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472" w:hRule="atLeast"/>
        </w:trPr>
        <w:tc>
          <w:tcPr>
            <w:tcW w:w="878" w:type="dxa"/>
            <w:vMerge w:val="continue"/>
            <w:tcBorders>
              <w:tl2br w:val="nil"/>
              <w:tr2bl w:val="nil"/>
            </w:tcBorders>
            <w:vAlign w:val="center"/>
          </w:tcPr>
          <w:p w14:paraId="6CB0E2F5">
            <w:pPr>
              <w:jc w:val="center"/>
              <w:rPr>
                <w:rFonts w:ascii="宋体" w:hAnsi="宋体"/>
                <w:color w:val="auto"/>
                <w:szCs w:val="21"/>
                <w:highlight w:val="none"/>
              </w:rPr>
            </w:pPr>
          </w:p>
        </w:tc>
        <w:tc>
          <w:tcPr>
            <w:tcW w:w="7532" w:type="dxa"/>
            <w:gridSpan w:val="2"/>
            <w:tcBorders>
              <w:tl2br w:val="nil"/>
              <w:tr2bl w:val="nil"/>
            </w:tcBorders>
            <w:vAlign w:val="center"/>
          </w:tcPr>
          <w:p w14:paraId="75F01018">
            <w:pPr>
              <w:pStyle w:val="20"/>
              <w:ind w:firstLine="0" w:firstLineChars="0"/>
              <w:rPr>
                <w:rFonts w:ascii="宋体" w:hAnsi="宋体" w:cs="宋体"/>
                <w:color w:val="auto"/>
                <w:szCs w:val="21"/>
                <w:highlight w:val="none"/>
              </w:rPr>
            </w:pPr>
            <w:r>
              <w:rPr>
                <w:rFonts w:hint="eastAsia" w:ascii="宋体" w:hAnsi="宋体" w:cs="宋体"/>
                <w:color w:val="auto"/>
                <w:szCs w:val="21"/>
                <w:highlight w:val="none"/>
              </w:rPr>
              <w:t>□是，</w:t>
            </w:r>
            <w:r>
              <w:rPr>
                <w:rFonts w:hint="eastAsia" w:ascii="宋体" w:hAnsi="宋体"/>
                <w:color w:val="auto"/>
                <w:szCs w:val="21"/>
                <w:highlight w:val="none"/>
              </w:rPr>
              <w:t>联合体投标的，应满足下列要求：</w:t>
            </w:r>
            <w:r>
              <w:rPr>
                <w:rFonts w:ascii="宋体" w:hAnsi="宋体"/>
                <w:color w:val="auto"/>
                <w:szCs w:val="21"/>
                <w:highlight w:val="none"/>
                <w:u w:val="single"/>
              </w:rPr>
              <w:t xml:space="preserve"> </w:t>
            </w:r>
            <w:r>
              <w:rPr>
                <w:rFonts w:hint="eastAsia" w:ascii="宋体" w:hAnsi="宋体"/>
                <w:color w:val="auto"/>
                <w:szCs w:val="21"/>
                <w:highlight w:val="none"/>
                <w:u w:val="single"/>
              </w:rPr>
              <w:t>/</w:t>
            </w:r>
            <w:r>
              <w:rPr>
                <w:rFonts w:ascii="宋体" w:hAnsi="宋体"/>
                <w:color w:val="auto"/>
                <w:szCs w:val="21"/>
                <w:highlight w:val="none"/>
                <w:u w:val="single"/>
              </w:rPr>
              <w:t xml:space="preserve"> </w:t>
            </w:r>
            <w:r>
              <w:rPr>
                <w:rFonts w:hint="eastAsia" w:ascii="宋体" w:hAnsi="宋体" w:cs="宋体"/>
                <w:color w:val="auto"/>
                <w:szCs w:val="21"/>
                <w:highlight w:val="none"/>
              </w:rPr>
              <w:t>；</w:t>
            </w:r>
          </w:p>
          <w:p w14:paraId="7B9BD1E8">
            <w:pPr>
              <w:rPr>
                <w:rFonts w:ascii="宋体" w:hAnsi="宋体"/>
                <w:b/>
                <w:bCs/>
                <w:color w:val="auto"/>
                <w:szCs w:val="21"/>
                <w:highlight w:val="none"/>
              </w:rPr>
            </w:pPr>
            <w:r>
              <w:rPr>
                <w:rFonts w:hint="eastAsia" w:ascii="宋体" w:hAnsi="宋体" w:cs="宋体"/>
                <w:color w:val="auto"/>
                <w:szCs w:val="21"/>
                <w:highlight w:val="none"/>
              </w:rPr>
              <w:t>■否；</w:t>
            </w:r>
          </w:p>
        </w:tc>
      </w:tr>
      <w:tr w14:paraId="11CD3103">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473" w:hRule="atLeast"/>
        </w:trPr>
        <w:tc>
          <w:tcPr>
            <w:tcW w:w="878" w:type="dxa"/>
            <w:vMerge w:val="restart"/>
            <w:tcBorders>
              <w:tl2br w:val="nil"/>
              <w:tr2bl w:val="nil"/>
            </w:tcBorders>
            <w:vAlign w:val="center"/>
          </w:tcPr>
          <w:p w14:paraId="5060218D">
            <w:pPr>
              <w:jc w:val="center"/>
              <w:rPr>
                <w:rFonts w:ascii="宋体" w:hAnsi="宋体"/>
                <w:color w:val="auto"/>
                <w:szCs w:val="21"/>
                <w:highlight w:val="none"/>
              </w:rPr>
            </w:pPr>
            <w:r>
              <w:rPr>
                <w:rFonts w:hint="eastAsia" w:ascii="宋体" w:hAnsi="宋体"/>
                <w:color w:val="auto"/>
                <w:szCs w:val="21"/>
                <w:highlight w:val="none"/>
              </w:rPr>
              <w:t>4</w:t>
            </w:r>
          </w:p>
        </w:tc>
        <w:tc>
          <w:tcPr>
            <w:tcW w:w="7532" w:type="dxa"/>
            <w:gridSpan w:val="2"/>
            <w:tcBorders>
              <w:tl2br w:val="nil"/>
              <w:tr2bl w:val="nil"/>
            </w:tcBorders>
            <w:vAlign w:val="center"/>
          </w:tcPr>
          <w:p w14:paraId="675E5676">
            <w:pPr>
              <w:rPr>
                <w:rFonts w:ascii="宋体" w:hAnsi="宋体"/>
                <w:b/>
                <w:bCs/>
                <w:color w:val="auto"/>
                <w:szCs w:val="21"/>
                <w:highlight w:val="none"/>
              </w:rPr>
            </w:pPr>
            <w:r>
              <w:rPr>
                <w:rFonts w:hint="eastAsia" w:ascii="宋体" w:hAnsi="宋体"/>
                <w:b/>
                <w:bCs/>
                <w:color w:val="auto"/>
                <w:szCs w:val="21"/>
                <w:highlight w:val="none"/>
              </w:rPr>
              <w:t>资金来源</w:t>
            </w:r>
          </w:p>
        </w:tc>
      </w:tr>
      <w:tr w14:paraId="6286C237">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472" w:hRule="atLeast"/>
        </w:trPr>
        <w:tc>
          <w:tcPr>
            <w:tcW w:w="878" w:type="dxa"/>
            <w:vMerge w:val="continue"/>
            <w:tcBorders>
              <w:tl2br w:val="nil"/>
              <w:tr2bl w:val="nil"/>
            </w:tcBorders>
            <w:vAlign w:val="center"/>
          </w:tcPr>
          <w:p w14:paraId="0E86CD8C">
            <w:pPr>
              <w:jc w:val="center"/>
              <w:rPr>
                <w:rFonts w:ascii="宋体" w:hAnsi="宋体"/>
                <w:color w:val="auto"/>
                <w:szCs w:val="21"/>
                <w:highlight w:val="none"/>
              </w:rPr>
            </w:pPr>
          </w:p>
        </w:tc>
        <w:tc>
          <w:tcPr>
            <w:tcW w:w="7532" w:type="dxa"/>
            <w:gridSpan w:val="2"/>
            <w:tcBorders>
              <w:tl2br w:val="nil"/>
              <w:tr2bl w:val="nil"/>
            </w:tcBorders>
            <w:vAlign w:val="center"/>
          </w:tcPr>
          <w:p w14:paraId="0B4CEA62">
            <w:pPr>
              <w:rPr>
                <w:rFonts w:ascii="宋体" w:hAnsi="宋体"/>
                <w:b/>
                <w:bCs/>
                <w:color w:val="auto"/>
                <w:szCs w:val="21"/>
                <w:highlight w:val="none"/>
              </w:rPr>
            </w:pPr>
            <w:r>
              <w:rPr>
                <w:rFonts w:hint="eastAsia" w:ascii="宋体" w:hAnsi="宋体"/>
                <w:color w:val="auto"/>
                <w:szCs w:val="21"/>
                <w:highlight w:val="none"/>
                <w:u w:val="single"/>
              </w:rPr>
              <w:t>企业自筹资金。</w:t>
            </w:r>
          </w:p>
        </w:tc>
      </w:tr>
      <w:tr w14:paraId="77939238">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473" w:hRule="atLeast"/>
        </w:trPr>
        <w:tc>
          <w:tcPr>
            <w:tcW w:w="878" w:type="dxa"/>
            <w:vMerge w:val="restart"/>
            <w:tcBorders>
              <w:tl2br w:val="nil"/>
              <w:tr2bl w:val="nil"/>
            </w:tcBorders>
            <w:vAlign w:val="center"/>
          </w:tcPr>
          <w:p w14:paraId="1AD2491C">
            <w:pPr>
              <w:jc w:val="center"/>
              <w:rPr>
                <w:rFonts w:ascii="宋体" w:hAnsi="宋体"/>
                <w:color w:val="auto"/>
                <w:szCs w:val="21"/>
                <w:highlight w:val="none"/>
              </w:rPr>
            </w:pPr>
            <w:r>
              <w:rPr>
                <w:rFonts w:hint="eastAsia" w:ascii="宋体" w:hAnsi="宋体"/>
                <w:color w:val="auto"/>
                <w:szCs w:val="21"/>
                <w:highlight w:val="none"/>
              </w:rPr>
              <w:t>5</w:t>
            </w:r>
          </w:p>
        </w:tc>
        <w:tc>
          <w:tcPr>
            <w:tcW w:w="7532" w:type="dxa"/>
            <w:gridSpan w:val="2"/>
            <w:tcBorders>
              <w:tl2br w:val="nil"/>
              <w:tr2bl w:val="nil"/>
            </w:tcBorders>
            <w:vAlign w:val="center"/>
          </w:tcPr>
          <w:p w14:paraId="659C50AE">
            <w:pPr>
              <w:rPr>
                <w:rFonts w:ascii="宋体" w:hAnsi="宋体"/>
                <w:b/>
                <w:color w:val="auto"/>
                <w:szCs w:val="21"/>
                <w:highlight w:val="none"/>
              </w:rPr>
            </w:pPr>
            <w:r>
              <w:rPr>
                <w:rFonts w:hint="eastAsia" w:ascii="宋体" w:hAnsi="宋体"/>
                <w:b/>
                <w:color w:val="auto"/>
                <w:szCs w:val="21"/>
                <w:highlight w:val="none"/>
              </w:rPr>
              <w:t>踏勘现场</w:t>
            </w:r>
          </w:p>
        </w:tc>
      </w:tr>
      <w:tr w14:paraId="17855CF6">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472" w:hRule="atLeast"/>
        </w:trPr>
        <w:tc>
          <w:tcPr>
            <w:tcW w:w="878" w:type="dxa"/>
            <w:vMerge w:val="continue"/>
            <w:tcBorders>
              <w:tl2br w:val="nil"/>
              <w:tr2bl w:val="nil"/>
            </w:tcBorders>
            <w:vAlign w:val="center"/>
          </w:tcPr>
          <w:p w14:paraId="47D21454">
            <w:pPr>
              <w:jc w:val="center"/>
              <w:rPr>
                <w:rFonts w:ascii="宋体" w:hAnsi="宋体"/>
                <w:color w:val="auto"/>
                <w:szCs w:val="21"/>
                <w:highlight w:val="none"/>
              </w:rPr>
            </w:pPr>
          </w:p>
        </w:tc>
        <w:tc>
          <w:tcPr>
            <w:tcW w:w="7532" w:type="dxa"/>
            <w:gridSpan w:val="2"/>
            <w:tcBorders>
              <w:tl2br w:val="nil"/>
              <w:tr2bl w:val="nil"/>
            </w:tcBorders>
            <w:vAlign w:val="center"/>
          </w:tcPr>
          <w:p w14:paraId="7948A95E">
            <w:pPr>
              <w:rPr>
                <w:rFonts w:ascii="宋体" w:hAnsi="宋体"/>
                <w:bCs/>
                <w:color w:val="auto"/>
                <w:szCs w:val="21"/>
                <w:highlight w:val="none"/>
              </w:rPr>
            </w:pPr>
            <w:r>
              <w:rPr>
                <w:rFonts w:hint="eastAsia" w:ascii="宋体" w:hAnsi="宋体" w:cs="宋体"/>
                <w:color w:val="auto"/>
                <w:szCs w:val="21"/>
                <w:highlight w:val="none"/>
              </w:rPr>
              <w:t>■</w:t>
            </w:r>
            <w:r>
              <w:rPr>
                <w:rFonts w:hint="eastAsia" w:ascii="宋体" w:hAnsi="宋体"/>
                <w:bCs/>
                <w:color w:val="auto"/>
                <w:szCs w:val="21"/>
                <w:highlight w:val="none"/>
              </w:rPr>
              <w:t>不组织 。</w:t>
            </w:r>
          </w:p>
          <w:p w14:paraId="7677D4F7">
            <w:pPr>
              <w:rPr>
                <w:rFonts w:ascii="宋体" w:hAnsi="宋体"/>
                <w:bCs/>
                <w:color w:val="auto"/>
                <w:szCs w:val="21"/>
                <w:highlight w:val="none"/>
              </w:rPr>
            </w:pPr>
            <w:r>
              <w:rPr>
                <w:rFonts w:hint="eastAsia" w:ascii="宋体" w:hAnsi="宋体"/>
                <w:bCs/>
                <w:color w:val="auto"/>
                <w:szCs w:val="21"/>
                <w:highlight w:val="none"/>
              </w:rPr>
              <w:t>□组织，踏勘现场时间、地点：</w:t>
            </w:r>
            <w:r>
              <w:rPr>
                <w:rFonts w:hint="eastAsia" w:ascii="宋体" w:hAnsi="宋体"/>
                <w:bCs/>
                <w:color w:val="auto"/>
                <w:szCs w:val="21"/>
                <w:highlight w:val="none"/>
                <w:u w:val="single"/>
              </w:rPr>
              <w:t xml:space="preserve"> / </w:t>
            </w:r>
            <w:r>
              <w:rPr>
                <w:rFonts w:hint="eastAsia" w:ascii="宋体" w:hAnsi="宋体"/>
                <w:bCs/>
                <w:color w:val="auto"/>
                <w:szCs w:val="21"/>
                <w:highlight w:val="none"/>
              </w:rPr>
              <w:t xml:space="preserve">。 </w:t>
            </w:r>
          </w:p>
        </w:tc>
      </w:tr>
      <w:tr w14:paraId="6C05FC8E">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cantSplit/>
          <w:trHeight w:val="629" w:hRule="atLeast"/>
        </w:trPr>
        <w:tc>
          <w:tcPr>
            <w:tcW w:w="8410" w:type="dxa"/>
            <w:gridSpan w:val="3"/>
            <w:tcBorders>
              <w:tl2br w:val="nil"/>
              <w:tr2bl w:val="nil"/>
            </w:tcBorders>
            <w:vAlign w:val="center"/>
          </w:tcPr>
          <w:p w14:paraId="4FCB46C5">
            <w:pPr>
              <w:jc w:val="center"/>
              <w:rPr>
                <w:rFonts w:ascii="宋体" w:hAnsi="宋体"/>
                <w:b/>
                <w:color w:val="auto"/>
                <w:szCs w:val="21"/>
                <w:highlight w:val="none"/>
              </w:rPr>
            </w:pPr>
            <w:r>
              <w:rPr>
                <w:rFonts w:hint="eastAsia" w:ascii="宋体" w:hAnsi="宋体"/>
                <w:b/>
                <w:color w:val="auto"/>
                <w:szCs w:val="21"/>
                <w:highlight w:val="none"/>
              </w:rPr>
              <w:t>二、投标文件的编制</w:t>
            </w:r>
          </w:p>
        </w:tc>
      </w:tr>
      <w:tr w14:paraId="3A68E81C">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473" w:hRule="atLeast"/>
        </w:trPr>
        <w:tc>
          <w:tcPr>
            <w:tcW w:w="878" w:type="dxa"/>
            <w:vMerge w:val="restart"/>
            <w:tcBorders>
              <w:tl2br w:val="nil"/>
              <w:tr2bl w:val="nil"/>
            </w:tcBorders>
            <w:vAlign w:val="center"/>
          </w:tcPr>
          <w:p w14:paraId="50207688">
            <w:pPr>
              <w:jc w:val="center"/>
              <w:rPr>
                <w:rFonts w:ascii="宋体" w:hAnsi="宋体"/>
                <w:color w:val="auto"/>
                <w:szCs w:val="21"/>
                <w:highlight w:val="none"/>
              </w:rPr>
            </w:pPr>
            <w:r>
              <w:rPr>
                <w:rFonts w:hint="eastAsia" w:ascii="宋体" w:hAnsi="宋体"/>
                <w:color w:val="auto"/>
                <w:szCs w:val="21"/>
                <w:highlight w:val="none"/>
              </w:rPr>
              <w:t>6</w:t>
            </w:r>
          </w:p>
        </w:tc>
        <w:tc>
          <w:tcPr>
            <w:tcW w:w="7532" w:type="dxa"/>
            <w:gridSpan w:val="2"/>
            <w:tcBorders>
              <w:tl2br w:val="nil"/>
              <w:tr2bl w:val="nil"/>
            </w:tcBorders>
            <w:vAlign w:val="center"/>
          </w:tcPr>
          <w:p w14:paraId="14C1886E">
            <w:pPr>
              <w:rPr>
                <w:rFonts w:ascii="宋体" w:hAnsi="宋体"/>
                <w:b/>
                <w:color w:val="auto"/>
                <w:szCs w:val="21"/>
                <w:highlight w:val="none"/>
              </w:rPr>
            </w:pPr>
            <w:r>
              <w:rPr>
                <w:rFonts w:hint="eastAsia" w:ascii="宋体" w:hAnsi="宋体"/>
                <w:b/>
                <w:color w:val="auto"/>
                <w:szCs w:val="21"/>
                <w:highlight w:val="none"/>
              </w:rPr>
              <w:t>投标语言</w:t>
            </w:r>
          </w:p>
        </w:tc>
      </w:tr>
      <w:tr w14:paraId="47140425">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472" w:hRule="atLeast"/>
        </w:trPr>
        <w:tc>
          <w:tcPr>
            <w:tcW w:w="878" w:type="dxa"/>
            <w:vMerge w:val="continue"/>
            <w:tcBorders>
              <w:tl2br w:val="nil"/>
              <w:tr2bl w:val="nil"/>
            </w:tcBorders>
            <w:vAlign w:val="center"/>
          </w:tcPr>
          <w:p w14:paraId="57822B89">
            <w:pPr>
              <w:jc w:val="center"/>
              <w:rPr>
                <w:rFonts w:ascii="宋体" w:hAnsi="宋体"/>
                <w:color w:val="auto"/>
                <w:szCs w:val="21"/>
                <w:highlight w:val="none"/>
              </w:rPr>
            </w:pPr>
          </w:p>
        </w:tc>
        <w:tc>
          <w:tcPr>
            <w:tcW w:w="7532" w:type="dxa"/>
            <w:gridSpan w:val="2"/>
            <w:tcBorders>
              <w:tl2br w:val="nil"/>
              <w:tr2bl w:val="nil"/>
            </w:tcBorders>
            <w:vAlign w:val="center"/>
          </w:tcPr>
          <w:p w14:paraId="30CB116F">
            <w:pPr>
              <w:rPr>
                <w:rFonts w:ascii="宋体" w:hAnsi="宋体"/>
                <w:b/>
                <w:color w:val="auto"/>
                <w:szCs w:val="21"/>
                <w:highlight w:val="none"/>
              </w:rPr>
            </w:pPr>
            <w:r>
              <w:rPr>
                <w:rFonts w:hint="eastAsia" w:ascii="宋体" w:hAnsi="宋体"/>
                <w:color w:val="auto"/>
                <w:szCs w:val="21"/>
                <w:highlight w:val="none"/>
              </w:rPr>
              <w:t>中文。</w:t>
            </w:r>
          </w:p>
        </w:tc>
      </w:tr>
      <w:tr w14:paraId="744B359F">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473" w:hRule="atLeast"/>
        </w:trPr>
        <w:tc>
          <w:tcPr>
            <w:tcW w:w="878" w:type="dxa"/>
            <w:vMerge w:val="restart"/>
            <w:tcBorders>
              <w:tl2br w:val="nil"/>
              <w:tr2bl w:val="nil"/>
            </w:tcBorders>
            <w:vAlign w:val="center"/>
          </w:tcPr>
          <w:p w14:paraId="6E772E9F">
            <w:pPr>
              <w:jc w:val="center"/>
              <w:rPr>
                <w:rFonts w:ascii="宋体" w:hAnsi="宋体"/>
                <w:color w:val="auto"/>
                <w:szCs w:val="21"/>
                <w:highlight w:val="none"/>
              </w:rPr>
            </w:pPr>
            <w:r>
              <w:rPr>
                <w:rFonts w:hint="eastAsia" w:ascii="宋体" w:hAnsi="宋体"/>
                <w:color w:val="auto"/>
                <w:szCs w:val="21"/>
                <w:highlight w:val="none"/>
              </w:rPr>
              <w:t>7</w:t>
            </w:r>
          </w:p>
        </w:tc>
        <w:tc>
          <w:tcPr>
            <w:tcW w:w="7532" w:type="dxa"/>
            <w:gridSpan w:val="2"/>
            <w:tcBorders>
              <w:tl2br w:val="nil"/>
              <w:tr2bl w:val="nil"/>
            </w:tcBorders>
            <w:vAlign w:val="center"/>
          </w:tcPr>
          <w:p w14:paraId="0BB3036E">
            <w:pPr>
              <w:jc w:val="both"/>
              <w:rPr>
                <w:rFonts w:ascii="宋体" w:hAnsi="宋体"/>
                <w:b/>
                <w:color w:val="auto"/>
                <w:szCs w:val="21"/>
                <w:highlight w:val="none"/>
              </w:rPr>
            </w:pPr>
            <w:r>
              <w:rPr>
                <w:rFonts w:hint="eastAsia" w:ascii="宋体" w:hAnsi="宋体"/>
                <w:b/>
                <w:color w:val="auto"/>
                <w:szCs w:val="21"/>
                <w:highlight w:val="none"/>
              </w:rPr>
              <w:t>投标报价</w:t>
            </w:r>
          </w:p>
        </w:tc>
      </w:tr>
      <w:tr w14:paraId="672C746E">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472" w:hRule="atLeast"/>
        </w:trPr>
        <w:tc>
          <w:tcPr>
            <w:tcW w:w="878" w:type="dxa"/>
            <w:vMerge w:val="continue"/>
            <w:tcBorders>
              <w:tl2br w:val="nil"/>
              <w:tr2bl w:val="nil"/>
            </w:tcBorders>
            <w:vAlign w:val="center"/>
          </w:tcPr>
          <w:p w14:paraId="29B2C387">
            <w:pPr>
              <w:jc w:val="center"/>
              <w:rPr>
                <w:rFonts w:ascii="宋体" w:hAnsi="宋体"/>
                <w:color w:val="auto"/>
                <w:szCs w:val="21"/>
                <w:highlight w:val="none"/>
              </w:rPr>
            </w:pPr>
          </w:p>
        </w:tc>
        <w:tc>
          <w:tcPr>
            <w:tcW w:w="7532" w:type="dxa"/>
            <w:gridSpan w:val="2"/>
            <w:tcBorders>
              <w:tl2br w:val="nil"/>
              <w:tr2bl w:val="nil"/>
            </w:tcBorders>
            <w:vAlign w:val="center"/>
          </w:tcPr>
          <w:p w14:paraId="64998418">
            <w:pPr>
              <w:jc w:val="both"/>
              <w:rPr>
                <w:rFonts w:ascii="宋体" w:hAnsi="宋体"/>
                <w:color w:val="auto"/>
                <w:szCs w:val="21"/>
                <w:highlight w:val="none"/>
              </w:rPr>
            </w:pPr>
            <w:r>
              <w:rPr>
                <w:rFonts w:hint="eastAsia" w:ascii="宋体" w:hAnsi="宋体"/>
                <w:color w:val="auto"/>
                <w:szCs w:val="21"/>
                <w:highlight w:val="none"/>
              </w:rPr>
              <w:t>详见投标人须知。</w:t>
            </w:r>
          </w:p>
        </w:tc>
      </w:tr>
      <w:tr w14:paraId="180EB53D">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470" w:hRule="atLeast"/>
        </w:trPr>
        <w:tc>
          <w:tcPr>
            <w:tcW w:w="878" w:type="dxa"/>
            <w:vMerge w:val="restart"/>
            <w:tcBorders>
              <w:tl2br w:val="nil"/>
              <w:tr2bl w:val="nil"/>
            </w:tcBorders>
            <w:vAlign w:val="center"/>
          </w:tcPr>
          <w:p w14:paraId="7FCF12A1">
            <w:pPr>
              <w:jc w:val="center"/>
              <w:rPr>
                <w:rFonts w:ascii="宋体" w:hAnsi="宋体"/>
                <w:color w:val="auto"/>
                <w:szCs w:val="21"/>
                <w:highlight w:val="none"/>
              </w:rPr>
            </w:pPr>
            <w:r>
              <w:rPr>
                <w:rFonts w:hint="eastAsia" w:ascii="宋体" w:hAnsi="宋体"/>
                <w:color w:val="auto"/>
                <w:szCs w:val="21"/>
                <w:highlight w:val="none"/>
              </w:rPr>
              <w:t>8</w:t>
            </w:r>
          </w:p>
        </w:tc>
        <w:tc>
          <w:tcPr>
            <w:tcW w:w="7532" w:type="dxa"/>
            <w:gridSpan w:val="2"/>
            <w:tcBorders>
              <w:tl2br w:val="nil"/>
              <w:tr2bl w:val="nil"/>
            </w:tcBorders>
            <w:vAlign w:val="center"/>
          </w:tcPr>
          <w:p w14:paraId="2D1409D6">
            <w:pPr>
              <w:jc w:val="both"/>
              <w:rPr>
                <w:rFonts w:ascii="宋体" w:hAnsi="宋体"/>
                <w:b/>
                <w:color w:val="auto"/>
                <w:szCs w:val="21"/>
                <w:highlight w:val="none"/>
              </w:rPr>
            </w:pPr>
            <w:r>
              <w:rPr>
                <w:rFonts w:hint="eastAsia" w:ascii="宋体" w:hAnsi="宋体"/>
                <w:b/>
                <w:color w:val="auto"/>
                <w:szCs w:val="21"/>
                <w:highlight w:val="none"/>
              </w:rPr>
              <w:t>投标保证金</w:t>
            </w:r>
          </w:p>
        </w:tc>
      </w:tr>
      <w:tr w14:paraId="2867E533">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470" w:hRule="atLeast"/>
        </w:trPr>
        <w:tc>
          <w:tcPr>
            <w:tcW w:w="878" w:type="dxa"/>
            <w:vMerge w:val="continue"/>
            <w:tcBorders>
              <w:tl2br w:val="nil"/>
              <w:tr2bl w:val="nil"/>
            </w:tcBorders>
            <w:vAlign w:val="center"/>
          </w:tcPr>
          <w:p w14:paraId="3D9085EC">
            <w:pPr>
              <w:jc w:val="center"/>
              <w:rPr>
                <w:rFonts w:ascii="宋体" w:hAnsi="宋体"/>
                <w:color w:val="auto"/>
                <w:szCs w:val="21"/>
                <w:highlight w:val="none"/>
              </w:rPr>
            </w:pPr>
          </w:p>
        </w:tc>
        <w:tc>
          <w:tcPr>
            <w:tcW w:w="7532" w:type="dxa"/>
            <w:gridSpan w:val="2"/>
            <w:tcBorders>
              <w:tl2br w:val="nil"/>
              <w:tr2bl w:val="nil"/>
            </w:tcBorders>
            <w:vAlign w:val="center"/>
          </w:tcPr>
          <w:p w14:paraId="71AB6CAC">
            <w:pPr>
              <w:jc w:val="both"/>
              <w:rPr>
                <w:rFonts w:ascii="宋体" w:hAnsi="宋体"/>
                <w:color w:val="auto"/>
                <w:szCs w:val="21"/>
                <w:highlight w:val="none"/>
              </w:rPr>
            </w:pPr>
            <w:r>
              <w:rPr>
                <w:rFonts w:hint="eastAsia" w:ascii="宋体" w:hAnsi="宋体"/>
                <w:color w:val="auto"/>
                <w:szCs w:val="21"/>
                <w:highlight w:val="none"/>
              </w:rPr>
              <w:t>（1）投标保证金金额：人民币</w:t>
            </w:r>
            <w:r>
              <w:rPr>
                <w:rFonts w:hint="eastAsia" w:ascii="宋体" w:hAnsi="宋体"/>
                <w:b/>
                <w:bCs/>
                <w:color w:val="auto"/>
                <w:szCs w:val="21"/>
                <w:highlight w:val="none"/>
                <w:u w:val="single"/>
                <w:lang w:val="en-US" w:eastAsia="zh-CN"/>
              </w:rPr>
              <w:t>30</w:t>
            </w:r>
            <w:r>
              <w:rPr>
                <w:rFonts w:hint="eastAsia" w:ascii="宋体" w:hAnsi="宋体"/>
                <w:b/>
                <w:bCs/>
                <w:color w:val="auto"/>
                <w:szCs w:val="21"/>
                <w:highlight w:val="none"/>
                <w:u w:val="single"/>
              </w:rPr>
              <w:t>,</w:t>
            </w:r>
            <w:r>
              <w:rPr>
                <w:rFonts w:hint="eastAsia" w:ascii="宋体" w:hAnsi="宋体"/>
                <w:b/>
                <w:bCs/>
                <w:color w:val="auto"/>
                <w:szCs w:val="21"/>
                <w:highlight w:val="none"/>
                <w:u w:val="single"/>
                <w:lang w:val="en-US" w:eastAsia="zh-CN"/>
              </w:rPr>
              <w:t>0</w:t>
            </w:r>
            <w:r>
              <w:rPr>
                <w:rFonts w:hint="eastAsia" w:ascii="宋体" w:hAnsi="宋体"/>
                <w:b/>
                <w:bCs/>
                <w:color w:val="auto"/>
                <w:szCs w:val="21"/>
                <w:highlight w:val="none"/>
                <w:u w:val="single"/>
              </w:rPr>
              <w:t>00.00</w:t>
            </w:r>
            <w:r>
              <w:rPr>
                <w:rFonts w:hint="eastAsia" w:ascii="宋体" w:hAnsi="宋体"/>
                <w:b/>
                <w:color w:val="auto"/>
                <w:szCs w:val="21"/>
                <w:highlight w:val="none"/>
                <w:u w:val="none"/>
              </w:rPr>
              <w:t>元</w:t>
            </w:r>
            <w:r>
              <w:rPr>
                <w:rFonts w:hint="eastAsia" w:ascii="宋体" w:hAnsi="宋体"/>
                <w:color w:val="auto"/>
                <w:szCs w:val="21"/>
                <w:highlight w:val="none"/>
              </w:rPr>
              <w:t>。</w:t>
            </w:r>
          </w:p>
        </w:tc>
      </w:tr>
      <w:tr w14:paraId="2F6C90B9">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273" w:hRule="atLeast"/>
        </w:trPr>
        <w:tc>
          <w:tcPr>
            <w:tcW w:w="878" w:type="dxa"/>
            <w:vMerge w:val="continue"/>
            <w:tcBorders>
              <w:tl2br w:val="nil"/>
              <w:tr2bl w:val="nil"/>
            </w:tcBorders>
            <w:vAlign w:val="center"/>
          </w:tcPr>
          <w:p w14:paraId="0B248366">
            <w:pPr>
              <w:jc w:val="center"/>
              <w:rPr>
                <w:rFonts w:ascii="宋体" w:hAnsi="宋体"/>
                <w:color w:val="auto"/>
                <w:szCs w:val="21"/>
                <w:highlight w:val="none"/>
              </w:rPr>
            </w:pPr>
          </w:p>
        </w:tc>
        <w:tc>
          <w:tcPr>
            <w:tcW w:w="7532" w:type="dxa"/>
            <w:gridSpan w:val="2"/>
            <w:tcBorders>
              <w:tl2br w:val="nil"/>
              <w:tr2bl w:val="nil"/>
            </w:tcBorders>
            <w:vAlign w:val="center"/>
          </w:tcPr>
          <w:p w14:paraId="1074F4A6">
            <w:pPr>
              <w:tabs>
                <w:tab w:val="left" w:pos="567"/>
              </w:tabs>
              <w:jc w:val="both"/>
              <w:rPr>
                <w:rFonts w:hAnsi="宋体"/>
                <w:color w:val="auto"/>
                <w:kern w:val="2"/>
                <w:szCs w:val="21"/>
                <w:highlight w:val="none"/>
                <w:lang w:val="zh-CN"/>
              </w:rPr>
            </w:pPr>
            <w:r>
              <w:rPr>
                <w:rFonts w:hint="eastAsia" w:ascii="宋体" w:hAnsi="宋体"/>
                <w:color w:val="auto"/>
                <w:szCs w:val="21"/>
                <w:highlight w:val="none"/>
              </w:rPr>
              <w:t>（2）</w:t>
            </w:r>
            <w:r>
              <w:rPr>
                <w:rFonts w:hint="eastAsia" w:hAnsi="宋体"/>
                <w:color w:val="auto"/>
                <w:kern w:val="2"/>
                <w:szCs w:val="21"/>
                <w:highlight w:val="none"/>
                <w:lang w:val="zh-CN"/>
              </w:rPr>
              <w:t>投标保证金采用转帐、电汇方式（不接受第三方机构出具的担保函形式）提交，应符合以下要求：采用银行转账、电汇方式提交的，保证金汇入以下投标保证金专用账户，不接收由以投标人分支机构、私人帐户和其他单位转入的保证金。投标保证金必须在投标文件递交截止前到账，投标保证金未按规定时间到达指定账户或提交金额不足的，将被视为无效投标。且在备注或用途中注明本项目的项目编号。</w:t>
            </w:r>
          </w:p>
          <w:p w14:paraId="20D77862">
            <w:pPr>
              <w:tabs>
                <w:tab w:val="left" w:pos="567"/>
              </w:tabs>
              <w:ind w:left="567" w:hanging="567"/>
              <w:jc w:val="both"/>
              <w:rPr>
                <w:rFonts w:hAnsi="宋体"/>
                <w:color w:val="auto"/>
                <w:kern w:val="2"/>
                <w:szCs w:val="21"/>
                <w:highlight w:val="none"/>
                <w:lang w:val="zh-CN"/>
              </w:rPr>
            </w:pPr>
            <w:r>
              <w:rPr>
                <w:rFonts w:hint="eastAsia" w:hAnsi="宋体"/>
                <w:color w:val="auto"/>
                <w:kern w:val="2"/>
                <w:szCs w:val="21"/>
                <w:highlight w:val="none"/>
                <w:lang w:val="zh-CN"/>
              </w:rPr>
              <w:t>投标保证金专用账户如下：</w:t>
            </w:r>
          </w:p>
          <w:p w14:paraId="08A0270B">
            <w:pPr>
              <w:tabs>
                <w:tab w:val="left" w:pos="567"/>
              </w:tabs>
              <w:ind w:firstLine="422" w:firstLineChars="200"/>
              <w:jc w:val="both"/>
              <w:rPr>
                <w:rFonts w:hint="eastAsia" w:ascii="宋体" w:hAnsi="宋体" w:cs="宋体"/>
                <w:b/>
                <w:color w:val="auto"/>
                <w:szCs w:val="21"/>
                <w:highlight w:val="none"/>
                <w:u w:val="single"/>
              </w:rPr>
            </w:pPr>
            <w:r>
              <w:rPr>
                <w:rFonts w:hint="eastAsia" w:ascii="宋体" w:hAnsi="宋体" w:cs="宋体"/>
                <w:b/>
                <w:color w:val="auto"/>
                <w:szCs w:val="21"/>
                <w:highlight w:val="none"/>
                <w:u w:val="single"/>
              </w:rPr>
              <w:t xml:space="preserve">账户名称：广东东实环境股份有限公司 </w:t>
            </w:r>
          </w:p>
          <w:p w14:paraId="56897DA5">
            <w:pPr>
              <w:tabs>
                <w:tab w:val="left" w:pos="567"/>
              </w:tabs>
              <w:ind w:firstLine="422" w:firstLineChars="200"/>
              <w:jc w:val="both"/>
              <w:rPr>
                <w:rFonts w:hint="eastAsia" w:ascii="宋体" w:hAnsi="宋体" w:cs="宋体"/>
                <w:b/>
                <w:color w:val="auto"/>
                <w:szCs w:val="21"/>
                <w:highlight w:val="none"/>
                <w:u w:val="single"/>
              </w:rPr>
            </w:pPr>
            <w:r>
              <w:rPr>
                <w:rFonts w:hint="eastAsia" w:ascii="宋体" w:hAnsi="宋体" w:cs="宋体"/>
                <w:b/>
                <w:color w:val="auto"/>
                <w:szCs w:val="21"/>
                <w:highlight w:val="none"/>
                <w:u w:val="single"/>
              </w:rPr>
              <w:t>开户银行：东莞农村商业银行中心支行；</w:t>
            </w:r>
          </w:p>
          <w:p w14:paraId="13F2BC48">
            <w:pPr>
              <w:tabs>
                <w:tab w:val="left" w:pos="567"/>
              </w:tabs>
              <w:ind w:firstLine="422" w:firstLineChars="200"/>
              <w:jc w:val="both"/>
              <w:rPr>
                <w:rFonts w:hint="eastAsia" w:ascii="宋体" w:hAnsi="宋体" w:cs="宋体"/>
                <w:b/>
                <w:color w:val="auto"/>
                <w:szCs w:val="21"/>
                <w:highlight w:val="none"/>
                <w:u w:val="single"/>
              </w:rPr>
            </w:pPr>
            <w:r>
              <w:rPr>
                <w:rFonts w:hint="eastAsia" w:ascii="宋体" w:hAnsi="宋体" w:cs="宋体"/>
                <w:b/>
                <w:color w:val="auto"/>
                <w:szCs w:val="21"/>
                <w:highlight w:val="none"/>
                <w:u w:val="single"/>
              </w:rPr>
              <w:t xml:space="preserve">银行账号：380010190010009298； </w:t>
            </w:r>
          </w:p>
          <w:p w14:paraId="75E2B7E3">
            <w:pPr>
              <w:tabs>
                <w:tab w:val="left" w:pos="567"/>
              </w:tabs>
              <w:ind w:firstLine="422" w:firstLineChars="200"/>
              <w:jc w:val="both"/>
              <w:rPr>
                <w:rFonts w:ascii="宋体" w:hAnsi="宋体" w:cs="宋体"/>
                <w:b/>
                <w:color w:val="auto"/>
                <w:szCs w:val="21"/>
                <w:highlight w:val="none"/>
                <w:u w:val="single"/>
              </w:rPr>
            </w:pPr>
            <w:r>
              <w:rPr>
                <w:rFonts w:hint="eastAsia" w:ascii="宋体" w:hAnsi="宋体" w:cs="宋体"/>
                <w:b/>
                <w:color w:val="auto"/>
                <w:szCs w:val="21"/>
                <w:highlight w:val="none"/>
                <w:u w:val="single"/>
              </w:rPr>
              <w:t>行号：402602000018</w:t>
            </w:r>
          </w:p>
          <w:p w14:paraId="1CCEFE94">
            <w:pPr>
              <w:tabs>
                <w:tab w:val="left" w:pos="567"/>
              </w:tabs>
              <w:ind w:firstLine="422" w:firstLineChars="200"/>
              <w:jc w:val="both"/>
              <w:rPr>
                <w:rFonts w:ascii="宋体" w:hAnsi="宋体"/>
                <w:b/>
                <w:color w:val="auto"/>
                <w:szCs w:val="21"/>
                <w:highlight w:val="none"/>
              </w:rPr>
            </w:pPr>
            <w:r>
              <w:rPr>
                <w:rFonts w:hint="eastAsia" w:hAnsi="宋体" w:cs="宋体"/>
                <w:b/>
                <w:color w:val="auto"/>
                <w:szCs w:val="21"/>
                <w:highlight w:val="none"/>
              </w:rPr>
              <w:t>（注：各投标人在转帐或电汇时须在用途栏上备注项目编号，及项目名称，如有字数限制项目名称可简写。）</w:t>
            </w:r>
          </w:p>
        </w:tc>
      </w:tr>
      <w:tr w14:paraId="7FCF4F32">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520" w:hRule="atLeast"/>
        </w:trPr>
        <w:tc>
          <w:tcPr>
            <w:tcW w:w="878" w:type="dxa"/>
            <w:vMerge w:val="restart"/>
            <w:tcBorders>
              <w:tl2br w:val="nil"/>
              <w:tr2bl w:val="nil"/>
            </w:tcBorders>
            <w:vAlign w:val="center"/>
          </w:tcPr>
          <w:p w14:paraId="3774CC4F">
            <w:pPr>
              <w:jc w:val="center"/>
              <w:rPr>
                <w:rFonts w:ascii="宋体" w:hAnsi="宋体"/>
                <w:color w:val="auto"/>
                <w:szCs w:val="21"/>
                <w:highlight w:val="none"/>
              </w:rPr>
            </w:pPr>
            <w:r>
              <w:rPr>
                <w:rFonts w:hint="eastAsia" w:ascii="宋体" w:hAnsi="宋体"/>
                <w:color w:val="auto"/>
                <w:szCs w:val="21"/>
                <w:highlight w:val="none"/>
              </w:rPr>
              <w:t>9</w:t>
            </w:r>
          </w:p>
        </w:tc>
        <w:tc>
          <w:tcPr>
            <w:tcW w:w="7532" w:type="dxa"/>
            <w:gridSpan w:val="2"/>
            <w:tcBorders>
              <w:tl2br w:val="nil"/>
              <w:tr2bl w:val="nil"/>
            </w:tcBorders>
            <w:vAlign w:val="center"/>
          </w:tcPr>
          <w:p w14:paraId="6E46BC68">
            <w:pPr>
              <w:jc w:val="both"/>
              <w:rPr>
                <w:rFonts w:ascii="宋体" w:hAnsi="宋体"/>
                <w:b/>
                <w:bCs/>
                <w:color w:val="auto"/>
                <w:szCs w:val="21"/>
                <w:highlight w:val="none"/>
                <w:lang w:val="zh-CN"/>
              </w:rPr>
            </w:pPr>
            <w:r>
              <w:rPr>
                <w:rFonts w:hint="eastAsia" w:ascii="宋体" w:hAnsi="宋体"/>
                <w:b/>
                <w:bCs/>
                <w:color w:val="auto"/>
                <w:szCs w:val="21"/>
                <w:highlight w:val="none"/>
                <w:lang w:val="zh-CN"/>
              </w:rPr>
              <w:t>投标保证金退还</w:t>
            </w:r>
          </w:p>
        </w:tc>
      </w:tr>
      <w:tr w14:paraId="4D979A48">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1535" w:hRule="atLeast"/>
        </w:trPr>
        <w:tc>
          <w:tcPr>
            <w:tcW w:w="878" w:type="dxa"/>
            <w:vMerge w:val="continue"/>
            <w:tcBorders>
              <w:tl2br w:val="nil"/>
              <w:tr2bl w:val="nil"/>
            </w:tcBorders>
            <w:vAlign w:val="center"/>
          </w:tcPr>
          <w:p w14:paraId="5EBD68D3">
            <w:pPr>
              <w:jc w:val="center"/>
              <w:rPr>
                <w:rFonts w:ascii="宋体" w:hAnsi="宋体"/>
                <w:color w:val="auto"/>
                <w:szCs w:val="21"/>
                <w:highlight w:val="none"/>
              </w:rPr>
            </w:pPr>
          </w:p>
        </w:tc>
        <w:tc>
          <w:tcPr>
            <w:tcW w:w="7532" w:type="dxa"/>
            <w:gridSpan w:val="2"/>
            <w:tcBorders>
              <w:tl2br w:val="nil"/>
              <w:tr2bl w:val="nil"/>
            </w:tcBorders>
            <w:vAlign w:val="center"/>
          </w:tcPr>
          <w:p w14:paraId="49DF4CAF">
            <w:pPr>
              <w:jc w:val="both"/>
              <w:rPr>
                <w:rFonts w:ascii="宋体" w:hAnsi="宋体"/>
                <w:color w:val="auto"/>
                <w:szCs w:val="21"/>
                <w:highlight w:val="none"/>
                <w:lang w:val="zh-CN"/>
              </w:rPr>
            </w:pPr>
            <w:r>
              <w:rPr>
                <w:rFonts w:hint="eastAsia" w:ascii="宋体" w:hAnsi="宋体"/>
                <w:color w:val="auto"/>
                <w:szCs w:val="21"/>
                <w:highlight w:val="none"/>
                <w:lang w:val="zh-CN"/>
              </w:rPr>
              <w:t>（</w:t>
            </w:r>
            <w:r>
              <w:rPr>
                <w:rFonts w:hint="eastAsia" w:ascii="宋体" w:hAnsi="宋体"/>
                <w:color w:val="auto"/>
                <w:szCs w:val="21"/>
                <w:highlight w:val="none"/>
              </w:rPr>
              <w:t>1</w:t>
            </w:r>
            <w:r>
              <w:rPr>
                <w:rFonts w:hint="eastAsia" w:ascii="宋体" w:hAnsi="宋体"/>
                <w:color w:val="auto"/>
                <w:szCs w:val="21"/>
                <w:highlight w:val="none"/>
                <w:lang w:val="zh-CN"/>
              </w:rPr>
              <w:t>）未中标的投标人的保证金应当在中标通知书发出后退还，中标</w:t>
            </w:r>
            <w:r>
              <w:rPr>
                <w:rFonts w:hint="eastAsia" w:ascii="宋体" w:hAnsi="宋体"/>
                <w:color w:val="auto"/>
                <w:szCs w:val="21"/>
                <w:highlight w:val="none"/>
              </w:rPr>
              <w:t>的</w:t>
            </w:r>
            <w:r>
              <w:rPr>
                <w:rFonts w:hint="eastAsia" w:ascii="宋体" w:hAnsi="宋体"/>
                <w:color w:val="auto"/>
                <w:szCs w:val="21"/>
                <w:highlight w:val="none"/>
                <w:lang w:val="zh-CN"/>
              </w:rPr>
              <w:t>投标人的保证金应当在采购合同签订</w:t>
            </w:r>
            <w:r>
              <w:rPr>
                <w:rFonts w:hint="eastAsia" w:ascii="宋体" w:hAnsi="宋体"/>
                <w:color w:val="auto"/>
                <w:szCs w:val="21"/>
                <w:highlight w:val="none"/>
              </w:rPr>
              <w:t>并提交履约担保</w:t>
            </w:r>
            <w:r>
              <w:rPr>
                <w:rFonts w:hint="eastAsia" w:ascii="宋体" w:hAnsi="宋体"/>
                <w:color w:val="auto"/>
                <w:szCs w:val="21"/>
                <w:highlight w:val="none"/>
                <w:lang w:val="zh-CN"/>
              </w:rPr>
              <w:t>后退还。</w:t>
            </w:r>
          </w:p>
          <w:p w14:paraId="29329BC4">
            <w:pPr>
              <w:jc w:val="both"/>
              <w:rPr>
                <w:color w:val="auto"/>
                <w:highlight w:val="none"/>
              </w:rPr>
            </w:pPr>
            <w:r>
              <w:rPr>
                <w:rFonts w:hint="eastAsia" w:ascii="宋体" w:hAnsi="宋体"/>
                <w:color w:val="auto"/>
                <w:szCs w:val="21"/>
                <w:highlight w:val="none"/>
                <w:lang w:val="zh-CN"/>
              </w:rPr>
              <w:t>（</w:t>
            </w:r>
            <w:r>
              <w:rPr>
                <w:rFonts w:hint="eastAsia" w:ascii="宋体" w:hAnsi="宋体"/>
                <w:color w:val="auto"/>
                <w:szCs w:val="21"/>
                <w:highlight w:val="none"/>
              </w:rPr>
              <w:t>2</w:t>
            </w:r>
            <w:r>
              <w:rPr>
                <w:rFonts w:hint="eastAsia" w:ascii="宋体" w:hAnsi="宋体"/>
                <w:color w:val="auto"/>
                <w:szCs w:val="21"/>
                <w:highlight w:val="none"/>
                <w:lang w:val="zh-CN"/>
              </w:rPr>
              <w:t>）为方便退还未中标的投标人的保证金，投标人应制作《投标保证金汇入情况说明》随唱标信封一并递交。</w:t>
            </w:r>
          </w:p>
        </w:tc>
      </w:tr>
      <w:tr w14:paraId="49BB446C">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473" w:hRule="atLeast"/>
        </w:trPr>
        <w:tc>
          <w:tcPr>
            <w:tcW w:w="878" w:type="dxa"/>
            <w:vMerge w:val="restart"/>
            <w:tcBorders>
              <w:tl2br w:val="nil"/>
              <w:tr2bl w:val="nil"/>
            </w:tcBorders>
            <w:vAlign w:val="center"/>
          </w:tcPr>
          <w:p w14:paraId="2D890C43">
            <w:pPr>
              <w:jc w:val="center"/>
              <w:rPr>
                <w:rFonts w:ascii="宋体" w:hAnsi="宋体"/>
                <w:color w:val="auto"/>
                <w:szCs w:val="21"/>
                <w:highlight w:val="none"/>
              </w:rPr>
            </w:pPr>
            <w:r>
              <w:rPr>
                <w:rFonts w:hint="eastAsia" w:ascii="宋体" w:hAnsi="宋体"/>
                <w:color w:val="auto"/>
                <w:szCs w:val="21"/>
                <w:highlight w:val="none"/>
              </w:rPr>
              <w:t>10</w:t>
            </w:r>
          </w:p>
        </w:tc>
        <w:tc>
          <w:tcPr>
            <w:tcW w:w="7532" w:type="dxa"/>
            <w:gridSpan w:val="2"/>
            <w:tcBorders>
              <w:tl2br w:val="nil"/>
              <w:tr2bl w:val="nil"/>
            </w:tcBorders>
            <w:vAlign w:val="center"/>
          </w:tcPr>
          <w:p w14:paraId="2DA56C65">
            <w:pPr>
              <w:jc w:val="both"/>
              <w:rPr>
                <w:rFonts w:ascii="宋体" w:hAnsi="宋体"/>
                <w:b/>
                <w:color w:val="auto"/>
                <w:szCs w:val="21"/>
                <w:highlight w:val="none"/>
              </w:rPr>
            </w:pPr>
            <w:r>
              <w:rPr>
                <w:rFonts w:hint="eastAsia" w:ascii="宋体" w:hAnsi="宋体"/>
                <w:b/>
                <w:color w:val="auto"/>
                <w:szCs w:val="21"/>
                <w:highlight w:val="none"/>
              </w:rPr>
              <w:t>投标有效期</w:t>
            </w:r>
          </w:p>
        </w:tc>
      </w:tr>
      <w:tr w14:paraId="23A7FAD1">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472" w:hRule="atLeast"/>
        </w:trPr>
        <w:tc>
          <w:tcPr>
            <w:tcW w:w="878" w:type="dxa"/>
            <w:vMerge w:val="continue"/>
            <w:tcBorders>
              <w:tl2br w:val="nil"/>
              <w:tr2bl w:val="nil"/>
            </w:tcBorders>
            <w:vAlign w:val="center"/>
          </w:tcPr>
          <w:p w14:paraId="06B49705">
            <w:pPr>
              <w:jc w:val="center"/>
              <w:rPr>
                <w:rFonts w:ascii="宋体" w:hAnsi="宋体"/>
                <w:color w:val="auto"/>
                <w:szCs w:val="21"/>
                <w:highlight w:val="none"/>
              </w:rPr>
            </w:pPr>
          </w:p>
        </w:tc>
        <w:tc>
          <w:tcPr>
            <w:tcW w:w="7532" w:type="dxa"/>
            <w:gridSpan w:val="2"/>
            <w:tcBorders>
              <w:tl2br w:val="nil"/>
              <w:tr2bl w:val="nil"/>
            </w:tcBorders>
            <w:vAlign w:val="center"/>
          </w:tcPr>
          <w:p w14:paraId="448E910D">
            <w:pPr>
              <w:jc w:val="both"/>
              <w:rPr>
                <w:rFonts w:ascii="宋体" w:hAnsi="宋体"/>
                <w:b/>
                <w:color w:val="auto"/>
                <w:szCs w:val="21"/>
                <w:highlight w:val="none"/>
              </w:rPr>
            </w:pPr>
            <w:r>
              <w:rPr>
                <w:rFonts w:hint="eastAsia" w:ascii="宋体" w:hAnsi="宋体"/>
                <w:color w:val="auto"/>
                <w:szCs w:val="21"/>
                <w:highlight w:val="none"/>
              </w:rPr>
              <w:t>九十天。</w:t>
            </w:r>
          </w:p>
        </w:tc>
      </w:tr>
      <w:tr w14:paraId="002A6711">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494" w:hRule="atLeast"/>
        </w:trPr>
        <w:tc>
          <w:tcPr>
            <w:tcW w:w="878" w:type="dxa"/>
            <w:vMerge w:val="restart"/>
            <w:tcBorders>
              <w:tl2br w:val="nil"/>
              <w:tr2bl w:val="nil"/>
            </w:tcBorders>
            <w:vAlign w:val="center"/>
          </w:tcPr>
          <w:p w14:paraId="1A819672">
            <w:pPr>
              <w:jc w:val="center"/>
              <w:rPr>
                <w:rFonts w:ascii="宋体" w:hAnsi="宋体"/>
                <w:color w:val="auto"/>
                <w:szCs w:val="21"/>
                <w:highlight w:val="none"/>
              </w:rPr>
            </w:pPr>
            <w:r>
              <w:rPr>
                <w:rFonts w:hint="eastAsia" w:ascii="宋体" w:hAnsi="宋体"/>
                <w:color w:val="auto"/>
                <w:szCs w:val="21"/>
                <w:highlight w:val="none"/>
              </w:rPr>
              <w:t>11</w:t>
            </w:r>
          </w:p>
        </w:tc>
        <w:tc>
          <w:tcPr>
            <w:tcW w:w="7532" w:type="dxa"/>
            <w:gridSpan w:val="2"/>
            <w:tcBorders>
              <w:tl2br w:val="nil"/>
              <w:tr2bl w:val="nil"/>
            </w:tcBorders>
            <w:vAlign w:val="center"/>
          </w:tcPr>
          <w:p w14:paraId="5644974E">
            <w:pPr>
              <w:jc w:val="center"/>
              <w:rPr>
                <w:rFonts w:ascii="宋体" w:hAnsi="宋体"/>
                <w:b/>
                <w:color w:val="auto"/>
                <w:szCs w:val="21"/>
                <w:highlight w:val="none"/>
              </w:rPr>
            </w:pPr>
            <w:r>
              <w:rPr>
                <w:rFonts w:hint="eastAsia" w:ascii="宋体" w:hAnsi="宋体"/>
                <w:b/>
                <w:color w:val="auto"/>
                <w:szCs w:val="21"/>
                <w:highlight w:val="none"/>
              </w:rPr>
              <w:t>投标人应提交以下投标文件（投标文件由价格文件、商务文件、技术文件三部分组成；价格文件、商务文件、技术文件分别单独装订成册；具体编制和封装要求详见第四部分投标人须知）</w:t>
            </w:r>
          </w:p>
        </w:tc>
      </w:tr>
      <w:tr w14:paraId="549E0E3F">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494" w:hRule="atLeast"/>
        </w:trPr>
        <w:tc>
          <w:tcPr>
            <w:tcW w:w="878" w:type="dxa"/>
            <w:vMerge w:val="continue"/>
            <w:tcBorders>
              <w:tl2br w:val="nil"/>
              <w:tr2bl w:val="nil"/>
            </w:tcBorders>
            <w:vAlign w:val="center"/>
          </w:tcPr>
          <w:p w14:paraId="41763150">
            <w:pPr>
              <w:jc w:val="center"/>
              <w:rPr>
                <w:rFonts w:ascii="宋体" w:hAnsi="宋体"/>
                <w:color w:val="auto"/>
                <w:szCs w:val="21"/>
                <w:highlight w:val="none"/>
              </w:rPr>
            </w:pPr>
          </w:p>
        </w:tc>
        <w:tc>
          <w:tcPr>
            <w:tcW w:w="1861" w:type="dxa"/>
            <w:tcBorders>
              <w:tl2br w:val="nil"/>
              <w:tr2bl w:val="nil"/>
            </w:tcBorders>
            <w:vAlign w:val="center"/>
          </w:tcPr>
          <w:p w14:paraId="6A452302">
            <w:pPr>
              <w:jc w:val="center"/>
              <w:rPr>
                <w:rFonts w:ascii="宋体" w:hAnsi="宋体"/>
                <w:b/>
                <w:color w:val="auto"/>
                <w:szCs w:val="21"/>
                <w:highlight w:val="none"/>
              </w:rPr>
            </w:pPr>
            <w:r>
              <w:rPr>
                <w:rFonts w:hint="eastAsia" w:ascii="宋体" w:hAnsi="宋体"/>
                <w:b/>
                <w:color w:val="auto"/>
                <w:szCs w:val="21"/>
                <w:highlight w:val="none"/>
              </w:rPr>
              <w:t>投标文件类型</w:t>
            </w:r>
          </w:p>
        </w:tc>
        <w:tc>
          <w:tcPr>
            <w:tcW w:w="5671" w:type="dxa"/>
            <w:tcBorders>
              <w:tl2br w:val="nil"/>
              <w:tr2bl w:val="nil"/>
            </w:tcBorders>
            <w:vAlign w:val="center"/>
          </w:tcPr>
          <w:p w14:paraId="79258351">
            <w:pPr>
              <w:jc w:val="center"/>
              <w:rPr>
                <w:rFonts w:ascii="宋体" w:hAnsi="宋体"/>
                <w:b/>
                <w:color w:val="auto"/>
                <w:szCs w:val="21"/>
                <w:highlight w:val="none"/>
              </w:rPr>
            </w:pPr>
            <w:r>
              <w:rPr>
                <w:rFonts w:hint="eastAsia" w:ascii="宋体" w:hAnsi="宋体"/>
                <w:b/>
                <w:color w:val="auto"/>
                <w:szCs w:val="21"/>
                <w:highlight w:val="none"/>
              </w:rPr>
              <w:t>份数</w:t>
            </w:r>
          </w:p>
        </w:tc>
      </w:tr>
      <w:tr w14:paraId="65FFF1EC">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494" w:hRule="atLeast"/>
        </w:trPr>
        <w:tc>
          <w:tcPr>
            <w:tcW w:w="878" w:type="dxa"/>
            <w:vMerge w:val="continue"/>
            <w:tcBorders>
              <w:tl2br w:val="nil"/>
              <w:tr2bl w:val="nil"/>
            </w:tcBorders>
            <w:vAlign w:val="center"/>
          </w:tcPr>
          <w:p w14:paraId="220264EC">
            <w:pPr>
              <w:jc w:val="center"/>
              <w:rPr>
                <w:rFonts w:ascii="宋体" w:hAnsi="宋体"/>
                <w:color w:val="auto"/>
                <w:szCs w:val="21"/>
                <w:highlight w:val="none"/>
              </w:rPr>
            </w:pPr>
          </w:p>
        </w:tc>
        <w:tc>
          <w:tcPr>
            <w:tcW w:w="1861" w:type="dxa"/>
            <w:tcBorders>
              <w:tl2br w:val="nil"/>
              <w:tr2bl w:val="nil"/>
            </w:tcBorders>
            <w:vAlign w:val="center"/>
          </w:tcPr>
          <w:p w14:paraId="58513BD6">
            <w:pPr>
              <w:jc w:val="center"/>
              <w:rPr>
                <w:rFonts w:ascii="宋体" w:hAnsi="宋体"/>
                <w:b/>
                <w:color w:val="auto"/>
                <w:szCs w:val="21"/>
                <w:highlight w:val="none"/>
              </w:rPr>
            </w:pPr>
            <w:r>
              <w:rPr>
                <w:rFonts w:hint="eastAsia" w:ascii="宋体" w:hAnsi="宋体"/>
                <w:b/>
                <w:color w:val="auto"/>
                <w:szCs w:val="21"/>
                <w:highlight w:val="none"/>
              </w:rPr>
              <w:t>唱标信封</w:t>
            </w:r>
          </w:p>
        </w:tc>
        <w:tc>
          <w:tcPr>
            <w:tcW w:w="5671" w:type="dxa"/>
            <w:tcBorders>
              <w:tl2br w:val="nil"/>
              <w:tr2bl w:val="nil"/>
            </w:tcBorders>
            <w:vAlign w:val="center"/>
          </w:tcPr>
          <w:p w14:paraId="65E6A018">
            <w:pPr>
              <w:jc w:val="center"/>
              <w:rPr>
                <w:rFonts w:ascii="宋体" w:hAnsi="宋体"/>
                <w:b/>
                <w:color w:val="auto"/>
                <w:szCs w:val="21"/>
                <w:highlight w:val="none"/>
              </w:rPr>
            </w:pPr>
            <w:r>
              <w:rPr>
                <w:rFonts w:hint="eastAsia" w:ascii="宋体" w:hAnsi="宋体"/>
                <w:b/>
                <w:color w:val="auto"/>
                <w:szCs w:val="21"/>
                <w:highlight w:val="none"/>
              </w:rPr>
              <w:t>1</w:t>
            </w:r>
          </w:p>
        </w:tc>
      </w:tr>
      <w:tr w14:paraId="07AC72FE">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494" w:hRule="atLeast"/>
        </w:trPr>
        <w:tc>
          <w:tcPr>
            <w:tcW w:w="878" w:type="dxa"/>
            <w:vMerge w:val="continue"/>
            <w:tcBorders>
              <w:tl2br w:val="nil"/>
              <w:tr2bl w:val="nil"/>
            </w:tcBorders>
            <w:vAlign w:val="center"/>
          </w:tcPr>
          <w:p w14:paraId="1D0AABBD">
            <w:pPr>
              <w:jc w:val="center"/>
              <w:rPr>
                <w:rFonts w:ascii="宋体" w:hAnsi="宋体"/>
                <w:color w:val="auto"/>
                <w:szCs w:val="21"/>
                <w:highlight w:val="none"/>
              </w:rPr>
            </w:pPr>
          </w:p>
        </w:tc>
        <w:tc>
          <w:tcPr>
            <w:tcW w:w="1861" w:type="dxa"/>
            <w:tcBorders>
              <w:tl2br w:val="nil"/>
              <w:tr2bl w:val="nil"/>
            </w:tcBorders>
            <w:vAlign w:val="center"/>
          </w:tcPr>
          <w:p w14:paraId="7CB23A95">
            <w:pPr>
              <w:jc w:val="center"/>
              <w:rPr>
                <w:rFonts w:ascii="宋体" w:hAnsi="宋体"/>
                <w:b/>
                <w:color w:val="auto"/>
                <w:szCs w:val="21"/>
                <w:highlight w:val="none"/>
              </w:rPr>
            </w:pPr>
            <w:r>
              <w:rPr>
                <w:rFonts w:hint="eastAsia" w:ascii="宋体" w:hAnsi="宋体"/>
                <w:b/>
                <w:color w:val="auto"/>
                <w:szCs w:val="21"/>
                <w:highlight w:val="none"/>
              </w:rPr>
              <w:t>投标文件正本</w:t>
            </w:r>
          </w:p>
        </w:tc>
        <w:tc>
          <w:tcPr>
            <w:tcW w:w="5671" w:type="dxa"/>
            <w:tcBorders>
              <w:tl2br w:val="nil"/>
              <w:tr2bl w:val="nil"/>
            </w:tcBorders>
            <w:vAlign w:val="center"/>
          </w:tcPr>
          <w:p w14:paraId="33689B11">
            <w:pPr>
              <w:jc w:val="center"/>
              <w:rPr>
                <w:rFonts w:ascii="宋体" w:hAnsi="宋体"/>
                <w:b/>
                <w:color w:val="auto"/>
                <w:szCs w:val="21"/>
                <w:highlight w:val="none"/>
              </w:rPr>
            </w:pPr>
            <w:r>
              <w:rPr>
                <w:rFonts w:hint="eastAsia" w:ascii="宋体" w:hAnsi="宋体"/>
                <w:b/>
                <w:color w:val="auto"/>
                <w:szCs w:val="21"/>
                <w:highlight w:val="none"/>
              </w:rPr>
              <w:t>1</w:t>
            </w:r>
          </w:p>
        </w:tc>
      </w:tr>
      <w:tr w14:paraId="5CEDA2B0">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537" w:hRule="atLeast"/>
        </w:trPr>
        <w:tc>
          <w:tcPr>
            <w:tcW w:w="878" w:type="dxa"/>
            <w:vMerge w:val="continue"/>
            <w:tcBorders>
              <w:tl2br w:val="nil"/>
              <w:tr2bl w:val="nil"/>
            </w:tcBorders>
            <w:vAlign w:val="center"/>
          </w:tcPr>
          <w:p w14:paraId="30F4B90B">
            <w:pPr>
              <w:jc w:val="center"/>
              <w:rPr>
                <w:rFonts w:ascii="宋体" w:hAnsi="宋体"/>
                <w:color w:val="auto"/>
                <w:szCs w:val="21"/>
                <w:highlight w:val="none"/>
              </w:rPr>
            </w:pPr>
          </w:p>
        </w:tc>
        <w:tc>
          <w:tcPr>
            <w:tcW w:w="1861" w:type="dxa"/>
            <w:tcBorders>
              <w:tl2br w:val="nil"/>
              <w:tr2bl w:val="nil"/>
            </w:tcBorders>
            <w:vAlign w:val="center"/>
          </w:tcPr>
          <w:p w14:paraId="56F0D509">
            <w:pPr>
              <w:jc w:val="center"/>
              <w:rPr>
                <w:rFonts w:ascii="宋体" w:hAnsi="宋体"/>
                <w:b/>
                <w:color w:val="auto"/>
                <w:szCs w:val="21"/>
                <w:highlight w:val="none"/>
              </w:rPr>
            </w:pPr>
            <w:r>
              <w:rPr>
                <w:rFonts w:hint="eastAsia" w:ascii="宋体" w:hAnsi="宋体"/>
                <w:b/>
                <w:color w:val="auto"/>
                <w:szCs w:val="21"/>
                <w:highlight w:val="none"/>
              </w:rPr>
              <w:t>投标文件副本</w:t>
            </w:r>
          </w:p>
        </w:tc>
        <w:tc>
          <w:tcPr>
            <w:tcW w:w="5671" w:type="dxa"/>
            <w:tcBorders>
              <w:tl2br w:val="nil"/>
              <w:tr2bl w:val="nil"/>
            </w:tcBorders>
            <w:vAlign w:val="center"/>
          </w:tcPr>
          <w:p w14:paraId="0D1A2C3E">
            <w:pPr>
              <w:jc w:val="center"/>
              <w:rPr>
                <w:rFonts w:ascii="宋体" w:hAnsi="宋体"/>
                <w:b/>
                <w:color w:val="auto"/>
                <w:szCs w:val="21"/>
                <w:highlight w:val="none"/>
              </w:rPr>
            </w:pPr>
            <w:r>
              <w:rPr>
                <w:rFonts w:hint="eastAsia" w:ascii="宋体" w:hAnsi="宋体" w:cs="宋体"/>
                <w:b/>
                <w:bCs/>
                <w:color w:val="auto"/>
                <w:szCs w:val="21"/>
                <w:highlight w:val="none"/>
              </w:rPr>
              <w:t>5</w:t>
            </w:r>
          </w:p>
        </w:tc>
      </w:tr>
      <w:tr w14:paraId="1FBEB6A5">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494" w:hRule="atLeast"/>
        </w:trPr>
        <w:tc>
          <w:tcPr>
            <w:tcW w:w="878" w:type="dxa"/>
            <w:vMerge w:val="continue"/>
            <w:tcBorders>
              <w:tl2br w:val="nil"/>
              <w:tr2bl w:val="nil"/>
            </w:tcBorders>
            <w:vAlign w:val="center"/>
          </w:tcPr>
          <w:p w14:paraId="2828F2E5">
            <w:pPr>
              <w:jc w:val="center"/>
              <w:rPr>
                <w:rFonts w:ascii="宋体" w:hAnsi="宋体"/>
                <w:color w:val="auto"/>
                <w:szCs w:val="21"/>
                <w:highlight w:val="none"/>
              </w:rPr>
            </w:pPr>
          </w:p>
        </w:tc>
        <w:tc>
          <w:tcPr>
            <w:tcW w:w="1861" w:type="dxa"/>
            <w:vMerge w:val="restart"/>
            <w:tcBorders>
              <w:tl2br w:val="nil"/>
              <w:tr2bl w:val="nil"/>
            </w:tcBorders>
            <w:vAlign w:val="center"/>
          </w:tcPr>
          <w:p w14:paraId="21914A06">
            <w:pPr>
              <w:jc w:val="center"/>
              <w:rPr>
                <w:rFonts w:ascii="宋体" w:hAnsi="宋体"/>
                <w:b/>
                <w:color w:val="auto"/>
                <w:szCs w:val="21"/>
                <w:highlight w:val="none"/>
              </w:rPr>
            </w:pPr>
            <w:r>
              <w:rPr>
                <w:rFonts w:hint="eastAsia" w:ascii="宋体" w:hAnsi="宋体"/>
                <w:b/>
                <w:color w:val="auto"/>
                <w:szCs w:val="21"/>
                <w:highlight w:val="none"/>
              </w:rPr>
              <w:t>电子文档</w:t>
            </w:r>
          </w:p>
        </w:tc>
        <w:tc>
          <w:tcPr>
            <w:tcW w:w="5671" w:type="dxa"/>
            <w:tcBorders>
              <w:tl2br w:val="nil"/>
              <w:tr2bl w:val="nil"/>
            </w:tcBorders>
            <w:vAlign w:val="center"/>
          </w:tcPr>
          <w:p w14:paraId="3DB3B3F1">
            <w:pPr>
              <w:jc w:val="center"/>
              <w:rPr>
                <w:rFonts w:ascii="宋体" w:hAnsi="宋体"/>
                <w:b/>
                <w:color w:val="auto"/>
                <w:szCs w:val="21"/>
                <w:highlight w:val="none"/>
              </w:rPr>
            </w:pPr>
            <w:r>
              <w:rPr>
                <w:rFonts w:hint="eastAsia" w:ascii="宋体" w:hAnsi="宋体"/>
                <w:b/>
                <w:color w:val="auto"/>
                <w:szCs w:val="21"/>
                <w:highlight w:val="none"/>
              </w:rPr>
              <w:t>1</w:t>
            </w:r>
          </w:p>
        </w:tc>
      </w:tr>
      <w:tr w14:paraId="37C9C82D">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494" w:hRule="atLeast"/>
        </w:trPr>
        <w:tc>
          <w:tcPr>
            <w:tcW w:w="878" w:type="dxa"/>
            <w:vMerge w:val="continue"/>
            <w:tcBorders>
              <w:tl2br w:val="nil"/>
              <w:tr2bl w:val="nil"/>
            </w:tcBorders>
            <w:vAlign w:val="center"/>
          </w:tcPr>
          <w:p w14:paraId="378E3DE4">
            <w:pPr>
              <w:jc w:val="center"/>
              <w:rPr>
                <w:rFonts w:ascii="宋体" w:hAnsi="宋体"/>
                <w:color w:val="auto"/>
                <w:szCs w:val="21"/>
                <w:highlight w:val="none"/>
              </w:rPr>
            </w:pPr>
          </w:p>
        </w:tc>
        <w:tc>
          <w:tcPr>
            <w:tcW w:w="1861" w:type="dxa"/>
            <w:vMerge w:val="continue"/>
            <w:tcBorders>
              <w:tl2br w:val="nil"/>
              <w:tr2bl w:val="nil"/>
            </w:tcBorders>
            <w:vAlign w:val="center"/>
          </w:tcPr>
          <w:p w14:paraId="1FCB860E">
            <w:pPr>
              <w:jc w:val="center"/>
              <w:rPr>
                <w:rFonts w:ascii="宋体" w:hAnsi="宋体"/>
                <w:b/>
                <w:color w:val="auto"/>
                <w:szCs w:val="21"/>
                <w:highlight w:val="none"/>
              </w:rPr>
            </w:pPr>
          </w:p>
        </w:tc>
        <w:tc>
          <w:tcPr>
            <w:tcW w:w="5671" w:type="dxa"/>
            <w:tcBorders>
              <w:tl2br w:val="nil"/>
              <w:tr2bl w:val="nil"/>
            </w:tcBorders>
            <w:vAlign w:val="center"/>
          </w:tcPr>
          <w:p w14:paraId="13C3DBDC">
            <w:pPr>
              <w:jc w:val="center"/>
              <w:rPr>
                <w:rFonts w:ascii="宋体" w:hAnsi="宋体"/>
                <w:b/>
                <w:color w:val="auto"/>
                <w:szCs w:val="21"/>
                <w:highlight w:val="none"/>
              </w:rPr>
            </w:pPr>
            <w:r>
              <w:rPr>
                <w:rFonts w:hint="eastAsia" w:ascii="宋体" w:hAnsi="宋体" w:cs="Times New Roman"/>
                <w:b/>
                <w:color w:val="auto"/>
                <w:szCs w:val="21"/>
                <w:highlight w:val="none"/>
              </w:rPr>
              <w:t>U盘，须含盖章版PDF投标文件和WORD版投标文件各一版，文字采用WORD文档，计算表格采用 EXCEL文档。</w:t>
            </w:r>
          </w:p>
        </w:tc>
      </w:tr>
      <w:tr w14:paraId="092D9535">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857" w:hRule="atLeast"/>
        </w:trPr>
        <w:tc>
          <w:tcPr>
            <w:tcW w:w="8410" w:type="dxa"/>
            <w:gridSpan w:val="3"/>
            <w:tcBorders>
              <w:tl2br w:val="nil"/>
              <w:tr2bl w:val="nil"/>
            </w:tcBorders>
            <w:vAlign w:val="center"/>
          </w:tcPr>
          <w:p w14:paraId="11F6CCF7">
            <w:pPr>
              <w:jc w:val="center"/>
              <w:rPr>
                <w:rFonts w:ascii="宋体" w:hAnsi="宋体"/>
                <w:b/>
                <w:color w:val="auto"/>
                <w:szCs w:val="21"/>
                <w:highlight w:val="none"/>
              </w:rPr>
            </w:pPr>
            <w:r>
              <w:rPr>
                <w:rFonts w:hint="eastAsia" w:ascii="宋体" w:hAnsi="宋体"/>
                <w:b/>
                <w:color w:val="auto"/>
                <w:szCs w:val="21"/>
                <w:highlight w:val="none"/>
              </w:rPr>
              <w:t>三、开标与评标</w:t>
            </w:r>
          </w:p>
        </w:tc>
      </w:tr>
      <w:tr w14:paraId="66F2D761">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473" w:hRule="atLeast"/>
        </w:trPr>
        <w:tc>
          <w:tcPr>
            <w:tcW w:w="878" w:type="dxa"/>
            <w:vMerge w:val="restart"/>
            <w:tcBorders>
              <w:tl2br w:val="nil"/>
              <w:tr2bl w:val="nil"/>
            </w:tcBorders>
            <w:vAlign w:val="center"/>
          </w:tcPr>
          <w:p w14:paraId="2015F7EA">
            <w:pPr>
              <w:jc w:val="center"/>
              <w:rPr>
                <w:rFonts w:ascii="宋体" w:hAnsi="宋体"/>
                <w:color w:val="auto"/>
                <w:szCs w:val="21"/>
                <w:highlight w:val="none"/>
              </w:rPr>
            </w:pPr>
            <w:r>
              <w:rPr>
                <w:rFonts w:hint="eastAsia" w:ascii="宋体" w:hAnsi="宋体"/>
                <w:color w:val="auto"/>
                <w:szCs w:val="21"/>
                <w:highlight w:val="none"/>
              </w:rPr>
              <w:t>12</w:t>
            </w:r>
          </w:p>
        </w:tc>
        <w:tc>
          <w:tcPr>
            <w:tcW w:w="7532" w:type="dxa"/>
            <w:gridSpan w:val="2"/>
            <w:tcBorders>
              <w:tl2br w:val="nil"/>
              <w:tr2bl w:val="nil"/>
            </w:tcBorders>
            <w:vAlign w:val="center"/>
          </w:tcPr>
          <w:p w14:paraId="6BEC7F3C">
            <w:pPr>
              <w:jc w:val="both"/>
              <w:rPr>
                <w:rFonts w:ascii="宋体" w:hAnsi="宋体"/>
                <w:color w:val="auto"/>
                <w:szCs w:val="21"/>
                <w:highlight w:val="none"/>
              </w:rPr>
            </w:pPr>
            <w:r>
              <w:rPr>
                <w:rFonts w:hint="eastAsia" w:ascii="宋体" w:hAnsi="宋体"/>
                <w:b/>
                <w:color w:val="auto"/>
                <w:szCs w:val="21"/>
                <w:highlight w:val="none"/>
              </w:rPr>
              <w:t>本项目评标方法</w:t>
            </w:r>
          </w:p>
        </w:tc>
      </w:tr>
      <w:tr w14:paraId="1CAC8C42">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472" w:hRule="atLeast"/>
        </w:trPr>
        <w:tc>
          <w:tcPr>
            <w:tcW w:w="878" w:type="dxa"/>
            <w:vMerge w:val="continue"/>
            <w:tcBorders>
              <w:tl2br w:val="nil"/>
              <w:tr2bl w:val="nil"/>
            </w:tcBorders>
            <w:vAlign w:val="center"/>
          </w:tcPr>
          <w:p w14:paraId="1AD8ED2D">
            <w:pPr>
              <w:jc w:val="center"/>
              <w:rPr>
                <w:rFonts w:ascii="宋体" w:hAnsi="宋体"/>
                <w:color w:val="auto"/>
                <w:szCs w:val="21"/>
                <w:highlight w:val="none"/>
              </w:rPr>
            </w:pPr>
          </w:p>
        </w:tc>
        <w:tc>
          <w:tcPr>
            <w:tcW w:w="7532" w:type="dxa"/>
            <w:gridSpan w:val="2"/>
            <w:tcBorders>
              <w:tl2br w:val="nil"/>
              <w:tr2bl w:val="nil"/>
            </w:tcBorders>
            <w:vAlign w:val="center"/>
          </w:tcPr>
          <w:p w14:paraId="7B0A1376">
            <w:pPr>
              <w:jc w:val="both"/>
              <w:rPr>
                <w:rFonts w:ascii="宋体" w:hAnsi="宋体"/>
                <w:b/>
                <w:color w:val="auto"/>
                <w:szCs w:val="21"/>
                <w:highlight w:val="none"/>
              </w:rPr>
            </w:pPr>
            <w:r>
              <w:rPr>
                <w:rFonts w:hint="eastAsia" w:ascii="宋体" w:hAnsi="宋体"/>
                <w:b/>
                <w:bCs/>
                <w:color w:val="auto"/>
                <w:szCs w:val="21"/>
                <w:highlight w:val="none"/>
              </w:rPr>
              <w:t>最低评标价法。（具体详见附表二）</w:t>
            </w:r>
          </w:p>
        </w:tc>
      </w:tr>
      <w:tr w14:paraId="3CE474C6">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472" w:hRule="atLeast"/>
        </w:trPr>
        <w:tc>
          <w:tcPr>
            <w:tcW w:w="878" w:type="dxa"/>
            <w:vMerge w:val="restart"/>
            <w:tcBorders>
              <w:tl2br w:val="nil"/>
              <w:tr2bl w:val="nil"/>
            </w:tcBorders>
            <w:vAlign w:val="center"/>
          </w:tcPr>
          <w:p w14:paraId="75063C74">
            <w:pPr>
              <w:jc w:val="center"/>
              <w:rPr>
                <w:rFonts w:ascii="宋体" w:hAnsi="宋体"/>
                <w:color w:val="auto"/>
                <w:szCs w:val="21"/>
                <w:highlight w:val="none"/>
              </w:rPr>
            </w:pPr>
            <w:r>
              <w:rPr>
                <w:rFonts w:hint="eastAsia" w:ascii="宋体" w:hAnsi="宋体"/>
                <w:color w:val="auto"/>
                <w:szCs w:val="21"/>
                <w:highlight w:val="none"/>
              </w:rPr>
              <w:t>13</w:t>
            </w:r>
          </w:p>
        </w:tc>
        <w:tc>
          <w:tcPr>
            <w:tcW w:w="7532" w:type="dxa"/>
            <w:gridSpan w:val="2"/>
            <w:tcBorders>
              <w:tl2br w:val="nil"/>
              <w:tr2bl w:val="nil"/>
            </w:tcBorders>
            <w:vAlign w:val="center"/>
          </w:tcPr>
          <w:p w14:paraId="5E0B03B1">
            <w:pPr>
              <w:jc w:val="both"/>
              <w:rPr>
                <w:rFonts w:ascii="宋体" w:hAnsi="宋体"/>
                <w:color w:val="auto"/>
                <w:szCs w:val="21"/>
                <w:highlight w:val="none"/>
              </w:rPr>
            </w:pPr>
            <w:r>
              <w:rPr>
                <w:rFonts w:hint="eastAsia" w:ascii="宋体" w:hAnsi="宋体"/>
                <w:b/>
                <w:color w:val="auto"/>
                <w:szCs w:val="21"/>
                <w:highlight w:val="none"/>
              </w:rPr>
              <w:t>评标委员会</w:t>
            </w:r>
          </w:p>
        </w:tc>
      </w:tr>
      <w:tr w14:paraId="7B142BDA">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472" w:hRule="atLeast"/>
        </w:trPr>
        <w:tc>
          <w:tcPr>
            <w:tcW w:w="878" w:type="dxa"/>
            <w:vMerge w:val="continue"/>
            <w:tcBorders>
              <w:tl2br w:val="nil"/>
              <w:tr2bl w:val="nil"/>
            </w:tcBorders>
            <w:vAlign w:val="center"/>
          </w:tcPr>
          <w:p w14:paraId="7A3EAFEF">
            <w:pPr>
              <w:jc w:val="center"/>
              <w:rPr>
                <w:rFonts w:ascii="宋体" w:hAnsi="宋体"/>
                <w:color w:val="auto"/>
                <w:szCs w:val="21"/>
                <w:highlight w:val="none"/>
              </w:rPr>
            </w:pPr>
          </w:p>
        </w:tc>
        <w:tc>
          <w:tcPr>
            <w:tcW w:w="7532" w:type="dxa"/>
            <w:gridSpan w:val="2"/>
            <w:tcBorders>
              <w:tl2br w:val="nil"/>
              <w:tr2bl w:val="nil"/>
            </w:tcBorders>
            <w:vAlign w:val="center"/>
          </w:tcPr>
          <w:p w14:paraId="607AB7A0">
            <w:pPr>
              <w:jc w:val="both"/>
              <w:rPr>
                <w:rFonts w:ascii="宋体" w:hAnsi="宋体"/>
                <w:color w:val="auto"/>
                <w:szCs w:val="21"/>
                <w:highlight w:val="none"/>
              </w:rPr>
            </w:pPr>
            <w:r>
              <w:rPr>
                <w:rFonts w:hint="eastAsia" w:ascii="宋体" w:hAnsi="宋体"/>
                <w:color w:val="auto"/>
                <w:szCs w:val="21"/>
                <w:highlight w:val="none"/>
              </w:rPr>
              <w:t>评标委员会成员共</w:t>
            </w:r>
            <w:r>
              <w:rPr>
                <w:rFonts w:hint="eastAsia" w:ascii="宋体" w:hAnsi="宋体"/>
                <w:color w:val="auto"/>
                <w:szCs w:val="21"/>
                <w:highlight w:val="none"/>
                <w:u w:val="single"/>
              </w:rPr>
              <w:t>5</w:t>
            </w:r>
            <w:r>
              <w:rPr>
                <w:rFonts w:hint="eastAsia" w:ascii="宋体" w:hAnsi="宋体"/>
                <w:color w:val="auto"/>
                <w:szCs w:val="21"/>
                <w:highlight w:val="none"/>
              </w:rPr>
              <w:t>人：</w:t>
            </w:r>
            <w:r>
              <w:rPr>
                <w:rFonts w:hint="eastAsia" w:ascii="宋体" w:hAnsi="宋体"/>
                <w:color w:val="auto"/>
                <w:szCs w:val="21"/>
                <w:highlight w:val="none"/>
                <w:lang w:val="zh-CN"/>
              </w:rPr>
              <w:t>评标委员会由采购人代表和评审专家组成，其中评审专家不得少于成员总数的三分之二。</w:t>
            </w:r>
          </w:p>
        </w:tc>
      </w:tr>
      <w:tr w14:paraId="4B071501">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cantSplit/>
          <w:trHeight w:val="748" w:hRule="atLeast"/>
        </w:trPr>
        <w:tc>
          <w:tcPr>
            <w:tcW w:w="8410" w:type="dxa"/>
            <w:gridSpan w:val="3"/>
            <w:tcBorders>
              <w:tl2br w:val="nil"/>
              <w:tr2bl w:val="nil"/>
            </w:tcBorders>
            <w:vAlign w:val="center"/>
          </w:tcPr>
          <w:p w14:paraId="73EB3A7C">
            <w:pPr>
              <w:jc w:val="center"/>
              <w:rPr>
                <w:rFonts w:ascii="宋体" w:hAnsi="宋体"/>
                <w:b/>
                <w:color w:val="auto"/>
                <w:szCs w:val="21"/>
                <w:highlight w:val="none"/>
              </w:rPr>
            </w:pPr>
            <w:r>
              <w:rPr>
                <w:rFonts w:hint="eastAsia" w:ascii="宋体" w:hAnsi="宋体"/>
                <w:b/>
                <w:color w:val="auto"/>
                <w:szCs w:val="21"/>
                <w:highlight w:val="none"/>
              </w:rPr>
              <w:t>四、授予合同</w:t>
            </w:r>
          </w:p>
        </w:tc>
      </w:tr>
      <w:tr w14:paraId="35F6E56A">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539" w:hRule="atLeast"/>
        </w:trPr>
        <w:tc>
          <w:tcPr>
            <w:tcW w:w="878" w:type="dxa"/>
            <w:vMerge w:val="restart"/>
            <w:tcBorders>
              <w:tl2br w:val="nil"/>
              <w:tr2bl w:val="nil"/>
            </w:tcBorders>
            <w:vAlign w:val="center"/>
          </w:tcPr>
          <w:p w14:paraId="4D955C3F">
            <w:pPr>
              <w:jc w:val="center"/>
              <w:rPr>
                <w:rFonts w:ascii="宋体" w:hAnsi="宋体"/>
                <w:color w:val="auto"/>
                <w:szCs w:val="21"/>
                <w:highlight w:val="none"/>
              </w:rPr>
            </w:pPr>
            <w:r>
              <w:rPr>
                <w:rFonts w:hint="eastAsia" w:ascii="宋体" w:hAnsi="宋体"/>
                <w:color w:val="auto"/>
                <w:szCs w:val="21"/>
                <w:highlight w:val="none"/>
              </w:rPr>
              <w:t>15</w:t>
            </w:r>
          </w:p>
        </w:tc>
        <w:tc>
          <w:tcPr>
            <w:tcW w:w="7532" w:type="dxa"/>
            <w:gridSpan w:val="2"/>
            <w:tcBorders>
              <w:tl2br w:val="nil"/>
              <w:tr2bl w:val="nil"/>
            </w:tcBorders>
            <w:shd w:val="clear" w:color="auto" w:fill="auto"/>
            <w:vAlign w:val="center"/>
          </w:tcPr>
          <w:p w14:paraId="0623AB6A">
            <w:pPr>
              <w:jc w:val="both"/>
              <w:rPr>
                <w:rFonts w:ascii="宋体" w:hAnsi="宋体"/>
                <w:b/>
                <w:color w:val="auto"/>
                <w:szCs w:val="21"/>
                <w:highlight w:val="none"/>
              </w:rPr>
            </w:pPr>
            <w:r>
              <w:rPr>
                <w:rFonts w:hint="eastAsia" w:ascii="宋体" w:hAnsi="宋体"/>
                <w:b/>
                <w:color w:val="auto"/>
                <w:szCs w:val="21"/>
                <w:highlight w:val="none"/>
              </w:rPr>
              <w:t>履约担保</w:t>
            </w:r>
          </w:p>
        </w:tc>
      </w:tr>
      <w:tr w14:paraId="214BB2AD">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540" w:hRule="atLeast"/>
        </w:trPr>
        <w:tc>
          <w:tcPr>
            <w:tcW w:w="878" w:type="dxa"/>
            <w:vMerge w:val="continue"/>
            <w:tcBorders>
              <w:tl2br w:val="nil"/>
              <w:tr2bl w:val="nil"/>
            </w:tcBorders>
            <w:vAlign w:val="center"/>
          </w:tcPr>
          <w:p w14:paraId="061111C0">
            <w:pPr>
              <w:jc w:val="center"/>
              <w:rPr>
                <w:rFonts w:ascii="宋体" w:hAnsi="宋体"/>
                <w:color w:val="auto"/>
                <w:szCs w:val="21"/>
                <w:highlight w:val="none"/>
              </w:rPr>
            </w:pPr>
          </w:p>
        </w:tc>
        <w:tc>
          <w:tcPr>
            <w:tcW w:w="7532" w:type="dxa"/>
            <w:gridSpan w:val="2"/>
            <w:tcBorders>
              <w:tl2br w:val="nil"/>
              <w:tr2bl w:val="nil"/>
            </w:tcBorders>
            <w:shd w:val="clear" w:color="auto" w:fill="auto"/>
            <w:vAlign w:val="center"/>
          </w:tcPr>
          <w:p w14:paraId="4D012E7C">
            <w:pPr>
              <w:jc w:val="both"/>
              <w:rPr>
                <w:rFonts w:ascii="宋体" w:hAnsi="宋体"/>
                <w:color w:val="auto"/>
                <w:szCs w:val="21"/>
                <w:highlight w:val="none"/>
              </w:rPr>
            </w:pPr>
            <w:r>
              <w:rPr>
                <w:rFonts w:hint="eastAsia" w:ascii="宋体" w:hAnsi="宋体"/>
                <w:color w:val="auto"/>
                <w:szCs w:val="21"/>
                <w:highlight w:val="none"/>
              </w:rPr>
              <w:t>1.履约担保金额为：</w:t>
            </w:r>
            <w:r>
              <w:rPr>
                <w:rFonts w:hint="eastAsia" w:ascii="宋体" w:hAnsi="宋体"/>
                <w:color w:val="auto"/>
                <w:szCs w:val="21"/>
                <w:highlight w:val="none"/>
                <w:u w:val="single"/>
              </w:rPr>
              <w:t>合同</w:t>
            </w:r>
            <w:r>
              <w:rPr>
                <w:rFonts w:hint="eastAsia" w:ascii="宋体" w:hAnsi="宋体"/>
                <w:color w:val="auto"/>
                <w:szCs w:val="21"/>
                <w:highlight w:val="none"/>
                <w:u w:val="single"/>
                <w:lang w:val="en-US" w:eastAsia="zh-CN"/>
              </w:rPr>
              <w:t>预算</w:t>
            </w:r>
            <w:r>
              <w:rPr>
                <w:rFonts w:hint="eastAsia" w:ascii="宋体" w:hAnsi="宋体"/>
                <w:color w:val="auto"/>
                <w:szCs w:val="21"/>
                <w:highlight w:val="none"/>
                <w:u w:val="single"/>
              </w:rPr>
              <w:t>金额</w:t>
            </w:r>
            <w:r>
              <w:rPr>
                <w:rFonts w:hint="eastAsia" w:ascii="宋体" w:hAnsi="宋体"/>
                <w:color w:val="auto"/>
                <w:szCs w:val="21"/>
                <w:highlight w:val="none"/>
                <w:u w:val="single"/>
                <w:lang w:val="en-US" w:eastAsia="zh-CN"/>
              </w:rPr>
              <w:t>5</w:t>
            </w:r>
            <w:r>
              <w:rPr>
                <w:rFonts w:hint="eastAsia" w:ascii="宋体" w:hAnsi="宋体"/>
                <w:color w:val="auto"/>
                <w:szCs w:val="21"/>
                <w:highlight w:val="none"/>
                <w:u w:val="single"/>
              </w:rPr>
              <w:t>%的履约担保。</w:t>
            </w:r>
          </w:p>
          <w:p w14:paraId="19C898CF">
            <w:pPr>
              <w:jc w:val="both"/>
              <w:rPr>
                <w:rFonts w:ascii="宋体" w:hAnsi="宋体"/>
                <w:color w:val="auto"/>
                <w:szCs w:val="21"/>
                <w:highlight w:val="none"/>
              </w:rPr>
            </w:pPr>
            <w:r>
              <w:rPr>
                <w:rFonts w:hint="eastAsia" w:ascii="宋体" w:hAnsi="宋体"/>
                <w:color w:val="auto"/>
                <w:szCs w:val="21"/>
                <w:highlight w:val="none"/>
              </w:rPr>
              <w:t>2</w:t>
            </w:r>
            <w:r>
              <w:rPr>
                <w:rFonts w:ascii="宋体" w:hAnsi="宋体"/>
                <w:color w:val="auto"/>
                <w:szCs w:val="21"/>
                <w:highlight w:val="none"/>
              </w:rPr>
              <w:t>.</w:t>
            </w:r>
            <w:r>
              <w:rPr>
                <w:rFonts w:hint="eastAsia" w:ascii="宋体" w:hAnsi="宋体"/>
                <w:color w:val="auto"/>
                <w:szCs w:val="21"/>
                <w:highlight w:val="none"/>
              </w:rPr>
              <w:t>履约担保方式：履约保证金转账或银行保函。</w:t>
            </w:r>
          </w:p>
          <w:p w14:paraId="3A49541C">
            <w:pPr>
              <w:jc w:val="both"/>
              <w:rPr>
                <w:rFonts w:ascii="宋体" w:hAnsi="宋体"/>
                <w:color w:val="auto"/>
                <w:szCs w:val="21"/>
                <w:highlight w:val="none"/>
              </w:rPr>
            </w:pPr>
            <w:r>
              <w:rPr>
                <w:rFonts w:hint="eastAsia" w:ascii="宋体" w:hAnsi="宋体"/>
                <w:color w:val="auto"/>
                <w:szCs w:val="21"/>
                <w:highlight w:val="none"/>
              </w:rPr>
              <w:t>3.中标人在采购（合同签署）时提交履约担保，如果中标人提交的履约保函的有效期先于合同要求的履约保函有效期到达，中标人应在原提交的履约保函有效期满前15天，无条件办理保函延期手续。否则，视为中标人违约，采购人有权没收履约担保。</w:t>
            </w:r>
          </w:p>
          <w:p w14:paraId="4CF55DC0">
            <w:pPr>
              <w:jc w:val="both"/>
              <w:rPr>
                <w:rFonts w:ascii="宋体" w:hAnsi="宋体"/>
                <w:color w:val="auto"/>
                <w:szCs w:val="21"/>
                <w:highlight w:val="none"/>
              </w:rPr>
            </w:pPr>
            <w:r>
              <w:rPr>
                <w:rFonts w:hint="eastAsia" w:ascii="宋体" w:hAnsi="宋体"/>
                <w:color w:val="auto"/>
                <w:szCs w:val="21"/>
                <w:highlight w:val="none"/>
              </w:rPr>
              <w:t>4.履约担保期限从合同签订之日起至</w:t>
            </w:r>
            <w:r>
              <w:rPr>
                <w:rFonts w:hint="eastAsia" w:ascii="宋体" w:hAnsi="宋体"/>
                <w:color w:val="auto"/>
                <w:szCs w:val="21"/>
                <w:highlight w:val="none"/>
                <w:lang w:val="en-US" w:eastAsia="zh-CN"/>
              </w:rPr>
              <w:t>服务</w:t>
            </w:r>
            <w:r>
              <w:rPr>
                <w:rFonts w:hint="eastAsia" w:ascii="宋体" w:hAnsi="宋体"/>
                <w:color w:val="auto"/>
                <w:szCs w:val="21"/>
                <w:highlight w:val="none"/>
              </w:rPr>
              <w:t>完成并双方结算完毕后，经双方签字</w:t>
            </w:r>
            <w:r>
              <w:rPr>
                <w:rFonts w:hint="eastAsia" w:ascii="宋体" w:hAnsi="宋体"/>
                <w:color w:val="auto"/>
                <w:szCs w:val="21"/>
                <w:highlight w:val="none"/>
                <w:u w:val="single"/>
              </w:rPr>
              <w:t xml:space="preserve"> 7</w:t>
            </w:r>
            <w:r>
              <w:rPr>
                <w:rFonts w:hint="eastAsia" w:ascii="宋体" w:hAnsi="宋体"/>
                <w:color w:val="auto"/>
                <w:szCs w:val="21"/>
                <w:highlight w:val="none"/>
              </w:rPr>
              <w:t>天内保持有效。</w:t>
            </w:r>
          </w:p>
          <w:p w14:paraId="4F6D830B">
            <w:pPr>
              <w:jc w:val="both"/>
              <w:rPr>
                <w:rFonts w:ascii="宋体" w:hAnsi="宋体"/>
                <w:color w:val="auto"/>
                <w:szCs w:val="21"/>
                <w:highlight w:val="none"/>
              </w:rPr>
            </w:pPr>
            <w:r>
              <w:rPr>
                <w:rFonts w:hint="eastAsia" w:ascii="宋体" w:hAnsi="宋体"/>
                <w:color w:val="auto"/>
                <w:szCs w:val="21"/>
                <w:highlight w:val="none"/>
              </w:rPr>
              <w:t>5、履约担保要求：</w:t>
            </w:r>
          </w:p>
          <w:p w14:paraId="13E30D98">
            <w:pPr>
              <w:jc w:val="both"/>
              <w:rPr>
                <w:rFonts w:ascii="宋体" w:hAnsi="宋体"/>
                <w:color w:val="auto"/>
                <w:szCs w:val="21"/>
                <w:highlight w:val="none"/>
              </w:rPr>
            </w:pPr>
            <w:r>
              <w:rPr>
                <w:rFonts w:hint="eastAsia" w:ascii="宋体" w:hAnsi="宋体"/>
                <w:color w:val="auto"/>
                <w:szCs w:val="21"/>
                <w:highlight w:val="none"/>
              </w:rPr>
              <w:t>（1）履约保函。如果中标人的履约担保是以银行保函形式提供的，则该银行保函应：</w:t>
            </w:r>
          </w:p>
          <w:p w14:paraId="4FFAC7B5">
            <w:pPr>
              <w:jc w:val="both"/>
              <w:rPr>
                <w:rFonts w:ascii="宋体" w:hAnsi="宋体"/>
                <w:color w:val="auto"/>
                <w:szCs w:val="21"/>
                <w:highlight w:val="none"/>
              </w:rPr>
            </w:pPr>
            <w:r>
              <w:rPr>
                <w:rFonts w:hint="eastAsia" w:ascii="宋体" w:hAnsi="宋体"/>
                <w:color w:val="auto"/>
                <w:szCs w:val="21"/>
                <w:highlight w:val="none"/>
              </w:rPr>
              <w:t>①保函应由银行支行或以上银行机构开具。</w:t>
            </w:r>
          </w:p>
          <w:p w14:paraId="5E13BD68">
            <w:pPr>
              <w:jc w:val="both"/>
              <w:rPr>
                <w:rFonts w:ascii="宋体" w:hAnsi="宋体"/>
                <w:color w:val="auto"/>
                <w:szCs w:val="21"/>
                <w:highlight w:val="none"/>
              </w:rPr>
            </w:pPr>
            <w:r>
              <w:rPr>
                <w:rFonts w:hint="eastAsia" w:ascii="宋体" w:hAnsi="宋体"/>
                <w:color w:val="auto"/>
                <w:szCs w:val="21"/>
                <w:highlight w:val="none"/>
              </w:rPr>
              <w:t>②保函的格式参考投标文件附件中提供的无条件不可撤销履约保函格式，保函担保期内若项目需延长合同</w:t>
            </w:r>
            <w:r>
              <w:rPr>
                <w:rFonts w:hint="eastAsia" w:ascii="宋体" w:hAnsi="宋体"/>
                <w:color w:val="auto"/>
                <w:szCs w:val="21"/>
                <w:highlight w:val="none"/>
                <w:lang w:val="en-US" w:eastAsia="zh-CN"/>
              </w:rPr>
              <w:t>服务</w:t>
            </w:r>
            <w:r>
              <w:rPr>
                <w:rFonts w:hint="eastAsia" w:ascii="宋体" w:hAnsi="宋体"/>
                <w:color w:val="auto"/>
                <w:szCs w:val="21"/>
                <w:highlight w:val="none"/>
              </w:rPr>
              <w:t>期，保函必须延期，办理延期手续时在银行方面所产生费用由中标人负责。</w:t>
            </w:r>
          </w:p>
          <w:p w14:paraId="0E07D558">
            <w:pPr>
              <w:jc w:val="both"/>
              <w:rPr>
                <w:rFonts w:ascii="宋体" w:hAnsi="宋体"/>
                <w:color w:val="auto"/>
                <w:szCs w:val="21"/>
                <w:highlight w:val="none"/>
              </w:rPr>
            </w:pPr>
            <w:r>
              <w:rPr>
                <w:rFonts w:hint="eastAsia" w:ascii="宋体" w:hAnsi="宋体"/>
                <w:color w:val="auto"/>
                <w:szCs w:val="21"/>
                <w:highlight w:val="none"/>
              </w:rPr>
              <w:t>③履约保函必须打印，手写、涂改无效。</w:t>
            </w:r>
          </w:p>
          <w:p w14:paraId="3C6FD94D">
            <w:pPr>
              <w:jc w:val="both"/>
              <w:rPr>
                <w:rFonts w:ascii="宋体" w:hAnsi="宋体"/>
                <w:color w:val="auto"/>
                <w:szCs w:val="21"/>
                <w:highlight w:val="none"/>
              </w:rPr>
            </w:pPr>
            <w:r>
              <w:rPr>
                <w:rFonts w:hint="eastAsia" w:ascii="宋体" w:hAnsi="宋体"/>
                <w:color w:val="auto"/>
                <w:szCs w:val="21"/>
                <w:highlight w:val="none"/>
              </w:rPr>
              <w:t>（2）履约保证金。可采用电汇、银行汇票等银行转帐方式提交，但不可以采用现金方式提交。中标人必须保证履约保证金以中标人名称在签订合同前提交至采购人指定账户。</w:t>
            </w:r>
          </w:p>
          <w:p w14:paraId="2FC75428">
            <w:pPr>
              <w:jc w:val="both"/>
              <w:rPr>
                <w:rFonts w:ascii="宋体" w:hAnsi="宋体"/>
                <w:color w:val="auto"/>
                <w:szCs w:val="21"/>
                <w:highlight w:val="none"/>
              </w:rPr>
            </w:pPr>
            <w:r>
              <w:rPr>
                <w:rFonts w:hint="eastAsia" w:ascii="宋体" w:hAnsi="宋体"/>
                <w:color w:val="auto"/>
                <w:szCs w:val="21"/>
                <w:highlight w:val="none"/>
              </w:rPr>
              <w:t>（3）若中标人不能按本采购文件的规定提交履约担保的，采购人将有权取消中标人的中标资格（采购人可以按照评标委员会提出的中标候选人名单排序依次确定其他中标候选人为中标人，也可以重新采购），投标保证金不予退还，给采购人造成的损失如果超过投标保证金数额的，还应当对超过部分予以赔偿。</w:t>
            </w:r>
          </w:p>
          <w:p w14:paraId="57DDEDCB">
            <w:pPr>
              <w:jc w:val="both"/>
              <w:rPr>
                <w:rFonts w:ascii="宋体" w:hAnsi="宋体"/>
                <w:color w:val="auto"/>
                <w:szCs w:val="21"/>
                <w:highlight w:val="none"/>
              </w:rPr>
            </w:pPr>
            <w:r>
              <w:rPr>
                <w:rFonts w:hint="eastAsia" w:ascii="宋体" w:hAnsi="宋体"/>
                <w:color w:val="auto"/>
                <w:szCs w:val="21"/>
                <w:highlight w:val="none"/>
              </w:rPr>
              <w:t>（4）为取得履约担保所需的费用，由中标人承担；如履约担保时间延长的，延长费用由中标人承担。</w:t>
            </w:r>
          </w:p>
          <w:p w14:paraId="7ED63271">
            <w:pPr>
              <w:jc w:val="both"/>
              <w:rPr>
                <w:rFonts w:ascii="宋体" w:hAnsi="宋体"/>
                <w:color w:val="auto"/>
                <w:szCs w:val="21"/>
                <w:highlight w:val="none"/>
              </w:rPr>
            </w:pPr>
            <w:r>
              <w:rPr>
                <w:rFonts w:hint="eastAsia" w:ascii="宋体" w:hAnsi="宋体"/>
                <w:color w:val="auto"/>
                <w:szCs w:val="21"/>
                <w:highlight w:val="none"/>
              </w:rPr>
              <w:t>（5）若中标人在合同履行过程中出现项目质量事故、服务拖延、欠付工人工资、欠付材料款等情况，采购人在经核查属实后，有权将履约保函金额转为现金存入履约保证金账户；中标人造成采购人损失的，采购人有权立即没收其履约担保，若造成损失超过履约担保的，还应当对超过部分予以赔偿。</w:t>
            </w:r>
          </w:p>
          <w:p w14:paraId="2D275618">
            <w:pPr>
              <w:jc w:val="both"/>
              <w:rPr>
                <w:rFonts w:ascii="宋体" w:hAnsi="宋体"/>
                <w:color w:val="auto"/>
                <w:szCs w:val="21"/>
                <w:highlight w:val="none"/>
              </w:rPr>
            </w:pPr>
            <w:r>
              <w:rPr>
                <w:rFonts w:hint="eastAsia" w:ascii="宋体" w:hAnsi="宋体"/>
                <w:color w:val="auto"/>
                <w:szCs w:val="21"/>
                <w:highlight w:val="none"/>
              </w:rPr>
              <w:t>（6）下列任何情况发生时，采购人有权行使担保权利</w:t>
            </w:r>
            <w:r>
              <w:rPr>
                <w:rFonts w:hint="eastAsia"/>
                <w:color w:val="auto"/>
                <w:highlight w:val="none"/>
              </w:rPr>
              <w:t>，</w:t>
            </w:r>
            <w:r>
              <w:rPr>
                <w:rFonts w:hint="eastAsia" w:ascii="宋体" w:hAnsi="宋体"/>
                <w:color w:val="auto"/>
                <w:szCs w:val="21"/>
                <w:highlight w:val="none"/>
              </w:rPr>
              <w:t>立即没收其履约担保，若造成损失超过履约担保的，还应当对超过部分予以赔偿：</w:t>
            </w:r>
          </w:p>
          <w:p w14:paraId="59B510FB">
            <w:pPr>
              <w:jc w:val="both"/>
              <w:rPr>
                <w:rFonts w:ascii="宋体" w:hAnsi="宋体"/>
                <w:color w:val="auto"/>
                <w:szCs w:val="21"/>
                <w:highlight w:val="none"/>
              </w:rPr>
            </w:pPr>
            <w:r>
              <w:rPr>
                <w:rFonts w:hint="eastAsia" w:ascii="宋体" w:hAnsi="宋体"/>
                <w:color w:val="auto"/>
                <w:szCs w:val="21"/>
                <w:highlight w:val="none"/>
              </w:rPr>
              <w:t>①中标人将本项目转让给他人，或者在投标文件中未说明，且未经采购人同意，将中标项目分包给他人的；</w:t>
            </w:r>
          </w:p>
          <w:p w14:paraId="7C611A27">
            <w:pPr>
              <w:jc w:val="both"/>
              <w:rPr>
                <w:rFonts w:ascii="宋体" w:hAnsi="宋体"/>
                <w:color w:val="auto"/>
                <w:szCs w:val="21"/>
                <w:highlight w:val="none"/>
              </w:rPr>
            </w:pPr>
            <w:r>
              <w:rPr>
                <w:rFonts w:hint="eastAsia" w:ascii="宋体" w:hAnsi="宋体"/>
                <w:color w:val="auto"/>
                <w:szCs w:val="21"/>
                <w:highlight w:val="none"/>
              </w:rPr>
              <w:t>②中标人在履行采购合同期间，违反有关法律法规的规定及合同约定的条款，损害了采购人的利益。</w:t>
            </w:r>
          </w:p>
          <w:p w14:paraId="49D4082D">
            <w:pPr>
              <w:jc w:val="both"/>
              <w:rPr>
                <w:rFonts w:ascii="宋体" w:hAnsi="宋体"/>
                <w:b/>
                <w:color w:val="auto"/>
                <w:szCs w:val="21"/>
                <w:highlight w:val="none"/>
              </w:rPr>
            </w:pPr>
            <w:r>
              <w:rPr>
                <w:rFonts w:hint="eastAsia" w:ascii="宋体" w:hAnsi="宋体"/>
                <w:color w:val="auto"/>
                <w:szCs w:val="21"/>
                <w:highlight w:val="none"/>
              </w:rPr>
              <w:t>（7）在项目完成且双方结算完毕后，中标人向采购人提交退回履约担保的申请，采购人在收到退款资料并核对无误后的三十个日历日内将扣除应当由中标人承担的违约金、赔偿金后对剩余的部分一次性无息退还。</w:t>
            </w:r>
          </w:p>
        </w:tc>
      </w:tr>
      <w:tr w14:paraId="0F7990CE">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452" w:hRule="atLeast"/>
        </w:trPr>
        <w:tc>
          <w:tcPr>
            <w:tcW w:w="878" w:type="dxa"/>
            <w:vMerge w:val="restart"/>
            <w:tcBorders>
              <w:tl2br w:val="nil"/>
              <w:tr2bl w:val="nil"/>
            </w:tcBorders>
            <w:vAlign w:val="center"/>
          </w:tcPr>
          <w:p w14:paraId="57220001">
            <w:pPr>
              <w:jc w:val="center"/>
              <w:rPr>
                <w:rFonts w:ascii="宋体" w:hAnsi="宋体"/>
                <w:color w:val="auto"/>
                <w:szCs w:val="21"/>
                <w:highlight w:val="none"/>
              </w:rPr>
            </w:pPr>
            <w:r>
              <w:rPr>
                <w:rFonts w:hint="eastAsia" w:ascii="宋体" w:hAnsi="宋体"/>
                <w:color w:val="auto"/>
                <w:szCs w:val="21"/>
                <w:highlight w:val="none"/>
              </w:rPr>
              <w:t>16</w:t>
            </w:r>
          </w:p>
        </w:tc>
        <w:tc>
          <w:tcPr>
            <w:tcW w:w="7532" w:type="dxa"/>
            <w:gridSpan w:val="2"/>
            <w:tcBorders>
              <w:tl2br w:val="nil"/>
              <w:tr2bl w:val="nil"/>
            </w:tcBorders>
            <w:vAlign w:val="center"/>
          </w:tcPr>
          <w:p w14:paraId="16A1D6EC">
            <w:pPr>
              <w:jc w:val="both"/>
              <w:rPr>
                <w:rFonts w:ascii="宋体" w:hAnsi="宋体"/>
                <w:b/>
                <w:color w:val="auto"/>
                <w:szCs w:val="21"/>
                <w:highlight w:val="none"/>
              </w:rPr>
            </w:pPr>
            <w:r>
              <w:rPr>
                <w:rFonts w:hint="eastAsia" w:ascii="宋体" w:hAnsi="宋体"/>
                <w:b/>
                <w:color w:val="auto"/>
                <w:szCs w:val="21"/>
                <w:highlight w:val="none"/>
              </w:rPr>
              <w:t>中标服务费</w:t>
            </w:r>
          </w:p>
        </w:tc>
      </w:tr>
      <w:tr w14:paraId="537A9962">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452" w:hRule="atLeast"/>
        </w:trPr>
        <w:tc>
          <w:tcPr>
            <w:tcW w:w="878" w:type="dxa"/>
            <w:vMerge w:val="continue"/>
            <w:tcBorders>
              <w:tl2br w:val="nil"/>
              <w:tr2bl w:val="nil"/>
            </w:tcBorders>
            <w:vAlign w:val="center"/>
          </w:tcPr>
          <w:p w14:paraId="7A2943C7">
            <w:pPr>
              <w:jc w:val="center"/>
              <w:rPr>
                <w:rFonts w:ascii="宋体" w:hAnsi="宋体"/>
                <w:color w:val="auto"/>
                <w:szCs w:val="21"/>
                <w:highlight w:val="none"/>
              </w:rPr>
            </w:pPr>
          </w:p>
        </w:tc>
        <w:tc>
          <w:tcPr>
            <w:tcW w:w="7532" w:type="dxa"/>
            <w:gridSpan w:val="2"/>
            <w:tcBorders>
              <w:tl2br w:val="nil"/>
              <w:tr2bl w:val="nil"/>
            </w:tcBorders>
            <w:vAlign w:val="center"/>
          </w:tcPr>
          <w:p w14:paraId="3A888A92">
            <w:pPr>
              <w:widowControl w:val="0"/>
              <w:tabs>
                <w:tab w:val="left" w:pos="907"/>
              </w:tabs>
              <w:adjustRightInd/>
              <w:snapToGrid/>
              <w:spacing w:line="360" w:lineRule="exact"/>
              <w:jc w:val="both"/>
              <w:rPr>
                <w:rFonts w:ascii="宋体" w:hAnsi="宋体"/>
                <w:color w:val="auto"/>
                <w:szCs w:val="21"/>
                <w:highlight w:val="none"/>
              </w:rPr>
            </w:pPr>
            <w:r>
              <w:rPr>
                <w:rFonts w:hint="eastAsia" w:ascii="宋体" w:hAnsi="宋体"/>
                <w:color w:val="auto"/>
                <w:szCs w:val="21"/>
                <w:highlight w:val="none"/>
              </w:rPr>
              <w:t>本项目中标服务费</w:t>
            </w:r>
            <w:r>
              <w:rPr>
                <w:rFonts w:hint="eastAsia" w:ascii="宋体" w:hAnsi="宋体"/>
                <w:color w:val="auto"/>
                <w:szCs w:val="21"/>
                <w:highlight w:val="none"/>
                <w:lang w:val="en-US" w:eastAsia="zh-CN"/>
              </w:rPr>
              <w:t>由采购人支付。</w:t>
            </w:r>
          </w:p>
        </w:tc>
      </w:tr>
      <w:tr w14:paraId="35C2ECAE">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820" w:hRule="atLeast"/>
        </w:trPr>
        <w:tc>
          <w:tcPr>
            <w:tcW w:w="8410" w:type="dxa"/>
            <w:gridSpan w:val="3"/>
            <w:tcBorders>
              <w:tl2br w:val="nil"/>
              <w:tr2bl w:val="nil"/>
            </w:tcBorders>
            <w:vAlign w:val="center"/>
          </w:tcPr>
          <w:p w14:paraId="7CFE016B">
            <w:pPr>
              <w:widowControl w:val="0"/>
              <w:tabs>
                <w:tab w:val="left" w:pos="907"/>
              </w:tabs>
              <w:adjustRightInd/>
              <w:snapToGrid/>
              <w:ind w:firstLine="420" w:firstLineChars="200"/>
              <w:jc w:val="both"/>
              <w:rPr>
                <w:rFonts w:ascii="宋体" w:hAnsi="宋体"/>
                <w:color w:val="auto"/>
                <w:szCs w:val="21"/>
                <w:highlight w:val="none"/>
              </w:rPr>
            </w:pPr>
            <w:r>
              <w:rPr>
                <w:rFonts w:hint="eastAsia" w:ascii="宋体" w:hAnsi="宋体"/>
                <w:color w:val="auto"/>
                <w:szCs w:val="21"/>
                <w:highlight w:val="none"/>
              </w:rPr>
              <w:t>注：本表关于要采购项目的具体资料，是对投标人须知的具体补充和修改，如有矛盾，应以本资料表为准。不满足采购文件中 “★”条款的投标文件将作无效投标处理。</w:t>
            </w:r>
          </w:p>
        </w:tc>
      </w:tr>
    </w:tbl>
    <w:p w14:paraId="11DB2239">
      <w:pPr>
        <w:jc w:val="center"/>
        <w:rPr>
          <w:color w:val="auto"/>
          <w:highlight w:val="none"/>
        </w:rPr>
      </w:pPr>
      <w:r>
        <w:rPr>
          <w:rFonts w:hint="eastAsia"/>
          <w:color w:val="auto"/>
          <w:highlight w:val="none"/>
        </w:rPr>
        <w:br w:type="page"/>
      </w:r>
    </w:p>
    <w:p w14:paraId="277F4402">
      <w:pPr>
        <w:pStyle w:val="3"/>
        <w:spacing w:before="0" w:after="0" w:line="240" w:lineRule="auto"/>
        <w:jc w:val="center"/>
        <w:rPr>
          <w:rFonts w:ascii="宋体" w:hAnsi="宋体" w:cs="宋体"/>
          <w:color w:val="auto"/>
          <w:sz w:val="24"/>
          <w:szCs w:val="24"/>
          <w:highlight w:val="none"/>
        </w:rPr>
      </w:pPr>
      <w:bookmarkStart w:id="10" w:name="_Toc9572"/>
      <w:bookmarkStart w:id="11" w:name="_Toc9622"/>
      <w:bookmarkStart w:id="12" w:name="_Toc21237"/>
      <w:r>
        <w:rPr>
          <w:rFonts w:hint="eastAsia" w:ascii="宋体" w:hAnsi="宋体" w:cs="宋体"/>
          <w:color w:val="auto"/>
          <w:sz w:val="24"/>
          <w:szCs w:val="24"/>
          <w:highlight w:val="none"/>
        </w:rPr>
        <w:t>附表二：</w:t>
      </w:r>
      <w:bookmarkEnd w:id="10"/>
      <w:r>
        <w:rPr>
          <w:rFonts w:hint="eastAsia" w:ascii="宋体" w:hAnsi="宋体" w:cs="宋体"/>
          <w:color w:val="auto"/>
          <w:sz w:val="24"/>
          <w:szCs w:val="24"/>
          <w:highlight w:val="none"/>
        </w:rPr>
        <w:t>最低评标价法评分因素</w:t>
      </w:r>
      <w:bookmarkEnd w:id="11"/>
    </w:p>
    <w:p w14:paraId="55202882">
      <w:pPr>
        <w:ind w:firstLine="422" w:firstLineChars="200"/>
        <w:rPr>
          <w:b/>
          <w:bCs/>
          <w:color w:val="auto"/>
          <w:highlight w:val="none"/>
        </w:rPr>
      </w:pPr>
    </w:p>
    <w:tbl>
      <w:tblPr>
        <w:tblStyle w:val="17"/>
        <w:tblW w:w="0" w:type="auto"/>
        <w:tblInd w:w="18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522"/>
        <w:gridCol w:w="6820"/>
      </w:tblGrid>
      <w:tr w14:paraId="3CF3A9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50" w:type="dxa"/>
            <w:vAlign w:val="center"/>
          </w:tcPr>
          <w:p w14:paraId="2050573E">
            <w:pPr>
              <w:jc w:val="center"/>
              <w:rPr>
                <w:b/>
                <w:bCs/>
                <w:color w:val="auto"/>
                <w:highlight w:val="none"/>
              </w:rPr>
            </w:pPr>
            <w:r>
              <w:rPr>
                <w:rFonts w:hint="eastAsia"/>
                <w:b/>
                <w:bCs/>
                <w:color w:val="auto"/>
                <w:highlight w:val="none"/>
              </w:rPr>
              <w:t>序号</w:t>
            </w:r>
          </w:p>
        </w:tc>
        <w:tc>
          <w:tcPr>
            <w:tcW w:w="7520" w:type="dxa"/>
          </w:tcPr>
          <w:p w14:paraId="661EB4D5">
            <w:pPr>
              <w:ind w:firstLine="422" w:firstLineChars="200"/>
              <w:jc w:val="center"/>
              <w:rPr>
                <w:b/>
                <w:bCs/>
                <w:color w:val="auto"/>
                <w:highlight w:val="none"/>
              </w:rPr>
            </w:pPr>
            <w:r>
              <w:rPr>
                <w:rFonts w:hint="eastAsia"/>
                <w:b/>
                <w:bCs/>
                <w:color w:val="auto"/>
                <w:highlight w:val="none"/>
              </w:rPr>
              <w:t>内容</w:t>
            </w:r>
          </w:p>
        </w:tc>
      </w:tr>
      <w:tr w14:paraId="549C08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91" w:hRule="atLeast"/>
        </w:trPr>
        <w:tc>
          <w:tcPr>
            <w:tcW w:w="1650" w:type="dxa"/>
            <w:vAlign w:val="center"/>
          </w:tcPr>
          <w:p w14:paraId="0722B58A">
            <w:pPr>
              <w:jc w:val="center"/>
              <w:rPr>
                <w:b/>
                <w:bCs/>
                <w:color w:val="auto"/>
                <w:highlight w:val="none"/>
              </w:rPr>
            </w:pPr>
            <w:r>
              <w:rPr>
                <w:rFonts w:hint="eastAsia"/>
                <w:b/>
                <w:bCs/>
                <w:color w:val="auto"/>
                <w:highlight w:val="none"/>
              </w:rPr>
              <w:t>1</w:t>
            </w:r>
          </w:p>
        </w:tc>
        <w:tc>
          <w:tcPr>
            <w:tcW w:w="7520" w:type="dxa"/>
          </w:tcPr>
          <w:p w14:paraId="75C7B060">
            <w:pPr>
              <w:ind w:firstLine="422" w:firstLineChars="200"/>
              <w:rPr>
                <w:b/>
                <w:bCs/>
                <w:color w:val="auto"/>
                <w:highlight w:val="none"/>
              </w:rPr>
            </w:pPr>
            <w:r>
              <w:rPr>
                <w:rFonts w:hint="eastAsia"/>
                <w:b/>
                <w:bCs/>
                <w:color w:val="auto"/>
                <w:highlight w:val="none"/>
              </w:rPr>
              <w:t>最低评标价法，是指投标文件满足采购文件全部实质性要求，且投标报价最低的投标人为中标候选人的评标方法。采用最低评标价法的采购项目，提供相同品牌产品的不同投标人参加同一合同项下投标的，以其中通过资格审查、符合性审查且报价最低的参加评标；报价相同的，由采购人或者采购人委托评标委员会按照采购文件规定的方式确定一个参加评标的投标人，采购文件未规定的采取随机抽取方式确定，其他投标无效。</w:t>
            </w:r>
          </w:p>
        </w:tc>
      </w:tr>
    </w:tbl>
    <w:p w14:paraId="44DEAE46">
      <w:pPr>
        <w:rPr>
          <w:color w:val="auto"/>
          <w:sz w:val="28"/>
          <w:szCs w:val="28"/>
          <w:highlight w:val="none"/>
        </w:rPr>
      </w:pPr>
      <w:r>
        <w:rPr>
          <w:rFonts w:hint="eastAsia"/>
          <w:color w:val="auto"/>
          <w:sz w:val="28"/>
          <w:szCs w:val="28"/>
          <w:highlight w:val="none"/>
        </w:rPr>
        <w:br w:type="page"/>
      </w:r>
    </w:p>
    <w:p w14:paraId="4C39F1E5">
      <w:pPr>
        <w:pStyle w:val="2"/>
        <w:spacing w:before="0" w:after="0" w:line="240" w:lineRule="auto"/>
        <w:rPr>
          <w:color w:val="auto"/>
          <w:sz w:val="36"/>
          <w:szCs w:val="36"/>
          <w:highlight w:val="none"/>
        </w:rPr>
      </w:pPr>
      <w:bookmarkStart w:id="13" w:name="_Toc12354"/>
      <w:r>
        <w:rPr>
          <w:rFonts w:hint="eastAsia"/>
          <w:color w:val="auto"/>
          <w:sz w:val="28"/>
          <w:szCs w:val="28"/>
          <w:highlight w:val="none"/>
        </w:rPr>
        <w:t>第三部分用户需求书</w:t>
      </w:r>
      <w:bookmarkEnd w:id="12"/>
      <w:bookmarkEnd w:id="13"/>
    </w:p>
    <w:p w14:paraId="3EB3C405">
      <w:pPr>
        <w:pStyle w:val="3"/>
        <w:spacing w:before="0" w:after="0" w:line="360" w:lineRule="auto"/>
        <w:jc w:val="center"/>
        <w:rPr>
          <w:rFonts w:ascii="宋体" w:hAnsi="宋体"/>
          <w:color w:val="auto"/>
          <w:highlight w:val="none"/>
        </w:rPr>
      </w:pPr>
      <w:bookmarkStart w:id="14" w:name="_Toc1593"/>
      <w:bookmarkStart w:id="15" w:name="_Toc18420"/>
      <w:bookmarkStart w:id="16" w:name="_Toc15266"/>
      <w:bookmarkStart w:id="17" w:name="_Toc31278"/>
      <w:bookmarkStart w:id="18" w:name="_Toc308786492"/>
      <w:bookmarkStart w:id="19" w:name="_Toc24679"/>
      <w:bookmarkStart w:id="20" w:name="_Toc14462"/>
      <w:bookmarkStart w:id="21" w:name="_Toc13112"/>
      <w:r>
        <w:rPr>
          <w:rFonts w:hint="eastAsia" w:ascii="宋体" w:hAnsi="宋体"/>
          <w:color w:val="auto"/>
          <w:highlight w:val="none"/>
        </w:rPr>
        <w:t>第一章 商务需求书</w:t>
      </w:r>
      <w:bookmarkEnd w:id="14"/>
      <w:bookmarkEnd w:id="15"/>
      <w:bookmarkEnd w:id="16"/>
    </w:p>
    <w:tbl>
      <w:tblPr>
        <w:tblStyle w:val="16"/>
        <w:tblW w:w="8685" w:type="dxa"/>
        <w:tblInd w:w="0" w:type="dxa"/>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718"/>
        <w:gridCol w:w="1501"/>
        <w:gridCol w:w="6466"/>
      </w:tblGrid>
      <w:tr w14:paraId="150F3C33">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c>
          <w:tcPr>
            <w:tcW w:w="718" w:type="dxa"/>
            <w:vAlign w:val="center"/>
          </w:tcPr>
          <w:p w14:paraId="694AC6A1">
            <w:pPr>
              <w:jc w:val="center"/>
              <w:rPr>
                <w:rFonts w:ascii="宋体" w:hAnsi="宋体" w:cs="宋体"/>
                <w:color w:val="auto"/>
                <w:szCs w:val="21"/>
                <w:highlight w:val="none"/>
              </w:rPr>
            </w:pPr>
            <w:r>
              <w:rPr>
                <w:rFonts w:hint="eastAsia" w:ascii="宋体" w:hAnsi="宋体" w:cs="宋体"/>
                <w:color w:val="auto"/>
                <w:szCs w:val="21"/>
                <w:highlight w:val="none"/>
              </w:rPr>
              <w:t>序号</w:t>
            </w:r>
          </w:p>
        </w:tc>
        <w:tc>
          <w:tcPr>
            <w:tcW w:w="1501" w:type="dxa"/>
            <w:vAlign w:val="center"/>
          </w:tcPr>
          <w:p w14:paraId="2D15B4C4">
            <w:pPr>
              <w:jc w:val="center"/>
              <w:rPr>
                <w:rFonts w:ascii="宋体" w:hAnsi="宋体" w:cs="宋体"/>
                <w:color w:val="auto"/>
                <w:szCs w:val="21"/>
                <w:highlight w:val="none"/>
              </w:rPr>
            </w:pPr>
            <w:r>
              <w:rPr>
                <w:rFonts w:hint="eastAsia" w:ascii="宋体" w:hAnsi="宋体" w:cs="宋体"/>
                <w:color w:val="auto"/>
                <w:szCs w:val="21"/>
                <w:highlight w:val="none"/>
              </w:rPr>
              <w:t>条款名称</w:t>
            </w:r>
          </w:p>
        </w:tc>
        <w:tc>
          <w:tcPr>
            <w:tcW w:w="6466" w:type="dxa"/>
            <w:vAlign w:val="center"/>
          </w:tcPr>
          <w:p w14:paraId="1228D2C2">
            <w:pPr>
              <w:jc w:val="center"/>
              <w:rPr>
                <w:rFonts w:ascii="宋体" w:hAnsi="宋体" w:cs="宋体"/>
                <w:color w:val="auto"/>
                <w:szCs w:val="21"/>
                <w:highlight w:val="none"/>
              </w:rPr>
            </w:pPr>
            <w:r>
              <w:rPr>
                <w:rFonts w:hint="eastAsia" w:ascii="宋体" w:hAnsi="宋体" w:cs="宋体"/>
                <w:color w:val="auto"/>
                <w:szCs w:val="21"/>
                <w:highlight w:val="none"/>
              </w:rPr>
              <w:t>说  明</w:t>
            </w:r>
          </w:p>
        </w:tc>
      </w:tr>
      <w:tr w14:paraId="3E8288FC">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741" w:hRule="atLeast"/>
        </w:trPr>
        <w:tc>
          <w:tcPr>
            <w:tcW w:w="718" w:type="dxa"/>
            <w:vAlign w:val="center"/>
          </w:tcPr>
          <w:p w14:paraId="7E3A1BD9">
            <w:pPr>
              <w:jc w:val="center"/>
              <w:rPr>
                <w:rFonts w:ascii="宋体" w:hAnsi="宋体" w:cs="宋体"/>
                <w:color w:val="auto"/>
                <w:szCs w:val="21"/>
                <w:highlight w:val="none"/>
              </w:rPr>
            </w:pPr>
            <w:r>
              <w:rPr>
                <w:rFonts w:hint="eastAsia" w:ascii="宋体" w:hAnsi="宋体" w:cs="宋体"/>
                <w:color w:val="auto"/>
                <w:szCs w:val="21"/>
                <w:highlight w:val="none"/>
              </w:rPr>
              <w:t>1</w:t>
            </w:r>
          </w:p>
        </w:tc>
        <w:tc>
          <w:tcPr>
            <w:tcW w:w="1501" w:type="dxa"/>
            <w:vAlign w:val="center"/>
          </w:tcPr>
          <w:p w14:paraId="6791FDFE">
            <w:pPr>
              <w:jc w:val="center"/>
              <w:rPr>
                <w:rFonts w:ascii="宋体" w:hAnsi="宋体" w:cs="宋体"/>
                <w:color w:val="auto"/>
                <w:szCs w:val="21"/>
                <w:highlight w:val="none"/>
              </w:rPr>
            </w:pPr>
            <w:r>
              <w:rPr>
                <w:rFonts w:hint="eastAsia" w:ascii="宋体" w:hAnsi="宋体" w:cs="宋体"/>
                <w:color w:val="auto"/>
                <w:szCs w:val="21"/>
                <w:highlight w:val="none"/>
              </w:rPr>
              <w:t>合格投标人</w:t>
            </w:r>
          </w:p>
        </w:tc>
        <w:tc>
          <w:tcPr>
            <w:tcW w:w="6466" w:type="dxa"/>
            <w:vAlign w:val="center"/>
          </w:tcPr>
          <w:p w14:paraId="171B9565">
            <w:pPr>
              <w:pStyle w:val="20"/>
              <w:rPr>
                <w:rFonts w:ascii="宋体" w:hAnsi="宋体" w:cs="宋体"/>
                <w:bCs/>
                <w:color w:val="auto"/>
                <w:kern w:val="44"/>
                <w:szCs w:val="21"/>
                <w:highlight w:val="none"/>
              </w:rPr>
            </w:pPr>
            <w:r>
              <w:rPr>
                <w:rFonts w:hint="eastAsia" w:ascii="宋体" w:hAnsi="宋体" w:cs="宋体"/>
                <w:color w:val="auto"/>
                <w:szCs w:val="21"/>
                <w:highlight w:val="none"/>
              </w:rPr>
              <w:t>详见“第一部分 投标邀请”中“二、投标人资格要求”</w:t>
            </w:r>
          </w:p>
        </w:tc>
      </w:tr>
      <w:tr w14:paraId="1E49140A">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741" w:hRule="atLeast"/>
        </w:trPr>
        <w:tc>
          <w:tcPr>
            <w:tcW w:w="718" w:type="dxa"/>
            <w:vAlign w:val="center"/>
          </w:tcPr>
          <w:p w14:paraId="35FCA703">
            <w:pPr>
              <w:jc w:val="center"/>
              <w:rPr>
                <w:rFonts w:ascii="宋体" w:hAnsi="宋体" w:cs="宋体"/>
                <w:color w:val="auto"/>
                <w:szCs w:val="21"/>
                <w:highlight w:val="none"/>
              </w:rPr>
            </w:pPr>
            <w:r>
              <w:rPr>
                <w:rFonts w:hint="eastAsia" w:ascii="宋体" w:hAnsi="宋体" w:cs="宋体"/>
                <w:color w:val="auto"/>
                <w:szCs w:val="21"/>
                <w:highlight w:val="none"/>
              </w:rPr>
              <w:t>2</w:t>
            </w:r>
          </w:p>
        </w:tc>
        <w:tc>
          <w:tcPr>
            <w:tcW w:w="1501" w:type="dxa"/>
            <w:vAlign w:val="center"/>
          </w:tcPr>
          <w:p w14:paraId="5F94E952">
            <w:pPr>
              <w:jc w:val="center"/>
              <w:rPr>
                <w:rFonts w:ascii="宋体" w:hAnsi="宋体" w:cs="宋体"/>
                <w:color w:val="auto"/>
                <w:szCs w:val="21"/>
                <w:highlight w:val="none"/>
              </w:rPr>
            </w:pPr>
            <w:r>
              <w:rPr>
                <w:rFonts w:hint="eastAsia" w:ascii="宋体" w:hAnsi="宋体" w:cs="宋体"/>
                <w:color w:val="auto"/>
                <w:szCs w:val="21"/>
                <w:highlight w:val="none"/>
              </w:rPr>
              <w:t>服务期</w:t>
            </w:r>
          </w:p>
        </w:tc>
        <w:tc>
          <w:tcPr>
            <w:tcW w:w="6466" w:type="dxa"/>
            <w:vAlign w:val="center"/>
          </w:tcPr>
          <w:p w14:paraId="40FE5837">
            <w:pPr>
              <w:pStyle w:val="19"/>
              <w:spacing w:line="360" w:lineRule="auto"/>
              <w:rPr>
                <w:rFonts w:ascii="宋体" w:hAnsi="宋体" w:cs="宋体"/>
                <w:color w:val="auto"/>
                <w:szCs w:val="21"/>
                <w:highlight w:val="none"/>
              </w:rPr>
            </w:pPr>
            <w:r>
              <w:rPr>
                <w:rFonts w:hint="eastAsia" w:ascii="宋体" w:hAnsi="宋体" w:eastAsia="宋体" w:cs="宋体"/>
                <w:color w:val="auto"/>
                <w:sz w:val="21"/>
                <w:szCs w:val="21"/>
                <w:highlight w:val="none"/>
              </w:rPr>
              <w:t>自发出中标通知书之日起服务期1年或达到项目预算金额。</w:t>
            </w:r>
          </w:p>
        </w:tc>
      </w:tr>
      <w:tr w14:paraId="0D24F1F5">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918" w:hRule="atLeast"/>
        </w:trPr>
        <w:tc>
          <w:tcPr>
            <w:tcW w:w="718" w:type="dxa"/>
            <w:vAlign w:val="center"/>
          </w:tcPr>
          <w:p w14:paraId="6A92375E">
            <w:pPr>
              <w:jc w:val="center"/>
              <w:rPr>
                <w:rFonts w:ascii="宋体" w:hAnsi="宋体" w:cs="宋体"/>
                <w:color w:val="auto"/>
                <w:szCs w:val="21"/>
                <w:highlight w:val="none"/>
              </w:rPr>
            </w:pPr>
            <w:r>
              <w:rPr>
                <w:rFonts w:hint="eastAsia" w:ascii="宋体" w:hAnsi="宋体" w:cs="宋体"/>
                <w:color w:val="auto"/>
                <w:szCs w:val="21"/>
                <w:highlight w:val="none"/>
              </w:rPr>
              <w:t>3</w:t>
            </w:r>
          </w:p>
        </w:tc>
        <w:tc>
          <w:tcPr>
            <w:tcW w:w="1501" w:type="dxa"/>
            <w:vAlign w:val="center"/>
          </w:tcPr>
          <w:p w14:paraId="287D1A63">
            <w:pPr>
              <w:jc w:val="center"/>
              <w:rPr>
                <w:rFonts w:ascii="宋体" w:hAnsi="宋体" w:cs="宋体"/>
                <w:color w:val="auto"/>
                <w:szCs w:val="21"/>
                <w:highlight w:val="none"/>
              </w:rPr>
            </w:pPr>
            <w:r>
              <w:rPr>
                <w:rFonts w:hint="eastAsia" w:ascii="宋体" w:hAnsi="宋体" w:cs="宋体"/>
                <w:color w:val="auto"/>
                <w:szCs w:val="21"/>
                <w:highlight w:val="none"/>
              </w:rPr>
              <w:t>付款方式</w:t>
            </w:r>
          </w:p>
        </w:tc>
        <w:tc>
          <w:tcPr>
            <w:tcW w:w="6466" w:type="dxa"/>
            <w:vAlign w:val="center"/>
          </w:tcPr>
          <w:p w14:paraId="610BDE16">
            <w:pPr>
              <w:ind w:firstLine="420" w:firstLineChars="200"/>
              <w:rPr>
                <w:color w:val="auto"/>
                <w:highlight w:val="none"/>
              </w:rPr>
            </w:pPr>
            <w:r>
              <w:rPr>
                <w:rFonts w:hint="eastAsia"/>
                <w:color w:val="auto"/>
                <w:highlight w:val="none"/>
              </w:rPr>
              <w:t>每月</w:t>
            </w:r>
            <w:r>
              <w:rPr>
                <w:rFonts w:hint="eastAsia"/>
                <w:color w:val="auto"/>
                <w:highlight w:val="none"/>
                <w:lang w:val="en-US" w:eastAsia="zh-CN"/>
              </w:rPr>
              <w:t>5个工作</w:t>
            </w:r>
            <w:r>
              <w:rPr>
                <w:rFonts w:hint="eastAsia"/>
                <w:color w:val="auto"/>
                <w:highlight w:val="none"/>
              </w:rPr>
              <w:t>日前，成交人向采购人提交上月维修保养费用对账单，双方对车辆维修保养数量及金额核对无误后，采购人在收到成交人提交合法有效的等额增值税专用发票后三十个日历日内支付上月维修保养费用的100%。</w:t>
            </w:r>
          </w:p>
        </w:tc>
      </w:tr>
      <w:tr w14:paraId="023F2A6E">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741" w:hRule="atLeast"/>
        </w:trPr>
        <w:tc>
          <w:tcPr>
            <w:tcW w:w="718" w:type="dxa"/>
            <w:vAlign w:val="center"/>
          </w:tcPr>
          <w:p w14:paraId="289F467E">
            <w:pPr>
              <w:jc w:val="center"/>
              <w:rPr>
                <w:rFonts w:ascii="宋体" w:hAnsi="宋体" w:cs="宋体"/>
                <w:color w:val="auto"/>
                <w:szCs w:val="21"/>
                <w:highlight w:val="none"/>
              </w:rPr>
            </w:pPr>
            <w:r>
              <w:rPr>
                <w:rFonts w:hint="eastAsia" w:ascii="宋体" w:hAnsi="宋体" w:cs="宋体"/>
                <w:color w:val="auto"/>
                <w:szCs w:val="21"/>
                <w:highlight w:val="none"/>
              </w:rPr>
              <w:t>4</w:t>
            </w:r>
          </w:p>
        </w:tc>
        <w:tc>
          <w:tcPr>
            <w:tcW w:w="1501" w:type="dxa"/>
            <w:vAlign w:val="center"/>
          </w:tcPr>
          <w:p w14:paraId="55B439F8">
            <w:pPr>
              <w:jc w:val="center"/>
              <w:rPr>
                <w:rFonts w:ascii="宋体" w:hAnsi="宋体" w:cs="宋体"/>
                <w:color w:val="auto"/>
                <w:szCs w:val="21"/>
                <w:highlight w:val="none"/>
              </w:rPr>
            </w:pPr>
            <w:r>
              <w:rPr>
                <w:rFonts w:hint="eastAsia" w:ascii="宋体" w:hAnsi="宋体" w:cs="宋体"/>
                <w:color w:val="auto"/>
                <w:szCs w:val="21"/>
                <w:highlight w:val="none"/>
              </w:rPr>
              <w:t>项目地点</w:t>
            </w:r>
          </w:p>
        </w:tc>
        <w:tc>
          <w:tcPr>
            <w:tcW w:w="6466" w:type="dxa"/>
            <w:vAlign w:val="center"/>
          </w:tcPr>
          <w:p w14:paraId="393491A9">
            <w:pPr>
              <w:ind w:firstLine="420" w:firstLineChars="200"/>
              <w:rPr>
                <w:rFonts w:ascii="宋体" w:hAnsi="宋体" w:cs="宋体"/>
                <w:color w:val="auto"/>
                <w:szCs w:val="21"/>
                <w:highlight w:val="none"/>
              </w:rPr>
            </w:pPr>
            <w:r>
              <w:rPr>
                <w:rFonts w:hint="eastAsia" w:ascii="宋体" w:hAnsi="宋体" w:cs="宋体"/>
                <w:color w:val="auto"/>
                <w:szCs w:val="21"/>
                <w:highlight w:val="none"/>
              </w:rPr>
              <w:t>采购人指定地点。</w:t>
            </w:r>
          </w:p>
        </w:tc>
      </w:tr>
      <w:tr w14:paraId="242357AA">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796" w:hRule="atLeast"/>
        </w:trPr>
        <w:tc>
          <w:tcPr>
            <w:tcW w:w="718" w:type="dxa"/>
            <w:vAlign w:val="center"/>
          </w:tcPr>
          <w:p w14:paraId="5F243DB4">
            <w:pPr>
              <w:jc w:val="center"/>
              <w:rPr>
                <w:rFonts w:ascii="宋体" w:hAnsi="宋体" w:cs="宋体"/>
                <w:color w:val="auto"/>
                <w:szCs w:val="21"/>
                <w:highlight w:val="none"/>
              </w:rPr>
            </w:pPr>
            <w:r>
              <w:rPr>
                <w:rFonts w:hint="eastAsia" w:ascii="宋体" w:hAnsi="宋体" w:cs="宋体"/>
                <w:color w:val="auto"/>
                <w:szCs w:val="21"/>
                <w:highlight w:val="none"/>
              </w:rPr>
              <w:t>5</w:t>
            </w:r>
          </w:p>
        </w:tc>
        <w:tc>
          <w:tcPr>
            <w:tcW w:w="1501" w:type="dxa"/>
            <w:vAlign w:val="center"/>
          </w:tcPr>
          <w:p w14:paraId="574D6445">
            <w:pPr>
              <w:jc w:val="center"/>
              <w:rPr>
                <w:rFonts w:ascii="宋体" w:hAnsi="宋体" w:cs="宋体"/>
                <w:color w:val="auto"/>
                <w:szCs w:val="21"/>
                <w:highlight w:val="none"/>
              </w:rPr>
            </w:pPr>
            <w:r>
              <w:rPr>
                <w:rFonts w:hint="eastAsia" w:ascii="宋体" w:hAnsi="宋体" w:cs="宋体"/>
                <w:color w:val="auto"/>
                <w:szCs w:val="21"/>
                <w:highlight w:val="none"/>
              </w:rPr>
              <w:t>报价要求</w:t>
            </w:r>
          </w:p>
        </w:tc>
        <w:tc>
          <w:tcPr>
            <w:tcW w:w="6466" w:type="dxa"/>
            <w:vAlign w:val="center"/>
          </w:tcPr>
          <w:p w14:paraId="5ED3A80A">
            <w:pPr>
              <w:pStyle w:val="5"/>
              <w:numPr>
                <w:ilvl w:val="0"/>
                <w:numId w:val="1"/>
              </w:numPr>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本项目</w:t>
            </w:r>
            <w:r>
              <w:rPr>
                <w:rFonts w:hint="eastAsia" w:ascii="宋体" w:hAnsi="宋体" w:cs="宋体"/>
                <w:color w:val="auto"/>
                <w:szCs w:val="21"/>
                <w:highlight w:val="none"/>
                <w:lang w:val="en-US" w:eastAsia="zh-CN"/>
              </w:rPr>
              <w:t>为</w:t>
            </w:r>
            <w:r>
              <w:rPr>
                <w:rFonts w:hint="eastAsia" w:ascii="宋体" w:hAnsi="宋体" w:cs="宋体"/>
                <w:color w:val="auto"/>
                <w:szCs w:val="21"/>
                <w:highlight w:val="none"/>
              </w:rPr>
              <w:t>下浮率报价。统一下浮率报价范围为[0%,100%]，投标人报价方式非统一统一下浮率报价形式或统一下浮率报价超出报价范围的将被视为非实质性响应而予以投标无效处理。</w:t>
            </w:r>
          </w:p>
          <w:p w14:paraId="23DBCD2A">
            <w:pPr>
              <w:pStyle w:val="5"/>
              <w:numPr>
                <w:ilvl w:val="0"/>
                <w:numId w:val="1"/>
              </w:numPr>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本项目以《</w:t>
            </w:r>
            <w:r>
              <w:rPr>
                <w:rFonts w:hint="eastAsia" w:ascii="宋体" w:hAnsi="宋体" w:cs="宋体"/>
                <w:color w:val="auto"/>
                <w:szCs w:val="21"/>
                <w:highlight w:val="none"/>
                <w:u w:val="none"/>
                <w:lang w:val="en-US" w:eastAsia="zh-CN"/>
              </w:rPr>
              <w:t>餐厨项目车辆维修</w:t>
            </w:r>
            <w:r>
              <w:rPr>
                <w:rFonts w:hint="eastAsia" w:ascii="宋体" w:hAnsi="宋体" w:cs="宋体"/>
                <w:color w:val="auto"/>
                <w:szCs w:val="21"/>
                <w:highlight w:val="none"/>
              </w:rPr>
              <w:t>配件及工时单价限价表》规定的配件费用及工时费用的单价最高限价为基准进行统一下浮率报价。</w:t>
            </w:r>
          </w:p>
          <w:p w14:paraId="0C0E7FB9">
            <w:pPr>
              <w:pStyle w:val="5"/>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维修收费计价公式：</w:t>
            </w:r>
          </w:p>
          <w:p w14:paraId="57B24C74">
            <w:pPr>
              <w:pStyle w:val="5"/>
              <w:ind w:firstLine="420" w:firstLineChars="200"/>
              <w:rPr>
                <w:rFonts w:hint="eastAsia" w:ascii="宋体" w:hAnsi="宋体" w:cs="宋体"/>
                <w:color w:val="auto"/>
                <w:szCs w:val="21"/>
                <w:highlight w:val="none"/>
              </w:rPr>
            </w:pPr>
            <w:r>
              <w:rPr>
                <w:rFonts w:hint="eastAsia" w:ascii="宋体" w:hAnsi="宋体" w:cs="宋体"/>
                <w:color w:val="auto"/>
                <w:szCs w:val="21"/>
                <w:highlight w:val="none"/>
                <w:lang w:eastAsia="zh-CN"/>
              </w:rPr>
              <w:t>（</w:t>
            </w:r>
            <w:r>
              <w:rPr>
                <w:rFonts w:hint="eastAsia" w:ascii="宋体" w:hAnsi="宋体" w:cs="宋体"/>
                <w:color w:val="auto"/>
                <w:szCs w:val="21"/>
                <w:highlight w:val="none"/>
                <w:lang w:val="en-US" w:eastAsia="zh-CN"/>
              </w:rPr>
              <w:t>1</w:t>
            </w:r>
            <w:r>
              <w:rPr>
                <w:rFonts w:hint="eastAsia" w:ascii="宋体" w:hAnsi="宋体" w:cs="宋体"/>
                <w:color w:val="auto"/>
                <w:szCs w:val="21"/>
                <w:highlight w:val="none"/>
                <w:lang w:eastAsia="zh-CN"/>
              </w:rPr>
              <w:t>）</w:t>
            </w:r>
            <w:r>
              <w:rPr>
                <w:rFonts w:hint="eastAsia" w:ascii="宋体" w:hAnsi="宋体" w:cs="宋体"/>
                <w:color w:val="auto"/>
                <w:szCs w:val="21"/>
                <w:highlight w:val="none"/>
              </w:rPr>
              <w:t>维修费总金额＝维修项目工时费＋维修配件费</w:t>
            </w:r>
          </w:p>
          <w:p w14:paraId="2966DDB6">
            <w:pPr>
              <w:pStyle w:val="5"/>
              <w:ind w:firstLine="420" w:firstLineChars="200"/>
              <w:rPr>
                <w:rFonts w:hint="eastAsia" w:ascii="宋体" w:hAnsi="宋体" w:cs="宋体"/>
                <w:color w:val="auto"/>
                <w:szCs w:val="21"/>
                <w:highlight w:val="none"/>
              </w:rPr>
            </w:pPr>
            <w:r>
              <w:rPr>
                <w:rFonts w:hint="eastAsia" w:ascii="宋体" w:hAnsi="宋体" w:cs="宋体"/>
                <w:color w:val="auto"/>
                <w:szCs w:val="21"/>
                <w:highlight w:val="none"/>
                <w:lang w:eastAsia="zh-CN"/>
              </w:rPr>
              <w:t>（</w:t>
            </w:r>
            <w:r>
              <w:rPr>
                <w:rFonts w:hint="eastAsia" w:ascii="宋体" w:hAnsi="宋体" w:cs="宋体"/>
                <w:color w:val="auto"/>
                <w:szCs w:val="21"/>
                <w:highlight w:val="none"/>
                <w:lang w:val="en-US" w:eastAsia="zh-CN"/>
              </w:rPr>
              <w:t>2</w:t>
            </w:r>
            <w:r>
              <w:rPr>
                <w:rFonts w:hint="eastAsia" w:ascii="宋体" w:hAnsi="宋体" w:cs="宋体"/>
                <w:color w:val="auto"/>
                <w:szCs w:val="21"/>
                <w:highlight w:val="none"/>
                <w:lang w:eastAsia="zh-CN"/>
              </w:rPr>
              <w:t>）</w:t>
            </w:r>
            <w:r>
              <w:rPr>
                <w:rFonts w:hint="eastAsia" w:ascii="宋体" w:hAnsi="宋体" w:cs="宋体"/>
                <w:color w:val="auto"/>
                <w:szCs w:val="21"/>
                <w:highlight w:val="none"/>
              </w:rPr>
              <w:t>维修项目工时费＝维修项目工时费单价最高限价×（1－中标下浮率）</w:t>
            </w:r>
          </w:p>
          <w:p w14:paraId="0E8043F2">
            <w:pPr>
              <w:pStyle w:val="5"/>
              <w:ind w:firstLine="420" w:firstLineChars="200"/>
              <w:rPr>
                <w:rFonts w:hint="eastAsia" w:ascii="宋体" w:hAnsi="宋体" w:cs="宋体"/>
                <w:color w:val="auto"/>
                <w:szCs w:val="21"/>
                <w:highlight w:val="none"/>
              </w:rPr>
            </w:pPr>
            <w:r>
              <w:rPr>
                <w:rFonts w:hint="eastAsia" w:ascii="宋体" w:hAnsi="宋体" w:cs="宋体"/>
                <w:color w:val="auto"/>
                <w:szCs w:val="21"/>
                <w:highlight w:val="none"/>
                <w:lang w:eastAsia="zh-CN"/>
              </w:rPr>
              <w:t>（</w:t>
            </w:r>
            <w:r>
              <w:rPr>
                <w:rFonts w:hint="eastAsia" w:ascii="宋体" w:hAnsi="宋体" w:cs="宋体"/>
                <w:color w:val="auto"/>
                <w:szCs w:val="21"/>
                <w:highlight w:val="none"/>
                <w:lang w:val="en-US" w:eastAsia="zh-CN"/>
              </w:rPr>
              <w:t>3</w:t>
            </w:r>
            <w:r>
              <w:rPr>
                <w:rFonts w:hint="eastAsia" w:ascii="宋体" w:hAnsi="宋体" w:cs="宋体"/>
                <w:color w:val="auto"/>
                <w:szCs w:val="21"/>
                <w:highlight w:val="none"/>
                <w:lang w:eastAsia="zh-CN"/>
              </w:rPr>
              <w:t>）</w:t>
            </w:r>
            <w:r>
              <w:rPr>
                <w:rFonts w:hint="eastAsia" w:ascii="宋体" w:hAnsi="宋体" w:cs="宋体"/>
                <w:color w:val="auto"/>
                <w:szCs w:val="21"/>
                <w:highlight w:val="none"/>
              </w:rPr>
              <w:t>维修配件费＝维修项目配件费单价最高限价×（1－中标下浮率）</w:t>
            </w:r>
          </w:p>
          <w:p w14:paraId="615928B8">
            <w:pPr>
              <w:pStyle w:val="5"/>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注：当同时出现大小修项时，小修项工时费用应包含在大修项工时费中。</w:t>
            </w:r>
          </w:p>
          <w:p w14:paraId="3FF6F16D">
            <w:pPr>
              <w:pStyle w:val="5"/>
              <w:ind w:firstLine="420" w:firstLineChars="200"/>
              <w:rPr>
                <w:rFonts w:ascii="宋体" w:hAnsi="宋体" w:cs="宋体"/>
                <w:color w:val="auto"/>
                <w:szCs w:val="21"/>
                <w:highlight w:val="none"/>
              </w:rPr>
            </w:pPr>
            <w:r>
              <w:rPr>
                <w:rFonts w:hint="eastAsia" w:ascii="宋体" w:hAnsi="宋体" w:cs="宋体"/>
                <w:color w:val="auto"/>
                <w:szCs w:val="21"/>
                <w:highlight w:val="none"/>
              </w:rPr>
              <w:t>投标报价应包括本次采购所有服务内容的费用，包括但不限于人工、材料、配件购置费</w:t>
            </w:r>
            <w:r>
              <w:rPr>
                <w:rFonts w:hint="eastAsia" w:ascii="宋体" w:cs="宋体"/>
                <w:color w:val="auto"/>
                <w:szCs w:val="21"/>
                <w:highlight w:val="none"/>
              </w:rPr>
              <w:t>、保险、</w:t>
            </w:r>
            <w:r>
              <w:rPr>
                <w:rFonts w:hint="eastAsia" w:ascii="宋体" w:hAnsi="宋体" w:cs="宋体"/>
                <w:color w:val="auto"/>
                <w:szCs w:val="21"/>
                <w:highlight w:val="none"/>
              </w:rPr>
              <w:t>成本、利润、机械设备使用费、措施费、税费以及合同实施过程中的不可预见费用等全部费用。</w:t>
            </w:r>
          </w:p>
        </w:tc>
      </w:tr>
      <w:tr w14:paraId="45ADD4C7">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811" w:hRule="atLeast"/>
        </w:trPr>
        <w:tc>
          <w:tcPr>
            <w:tcW w:w="718" w:type="dxa"/>
            <w:vAlign w:val="center"/>
          </w:tcPr>
          <w:p w14:paraId="025921DA">
            <w:pPr>
              <w:jc w:val="center"/>
              <w:rPr>
                <w:rFonts w:ascii="宋体" w:hAnsi="宋体" w:cs="宋体"/>
                <w:color w:val="auto"/>
                <w:szCs w:val="21"/>
                <w:highlight w:val="none"/>
              </w:rPr>
            </w:pPr>
            <w:r>
              <w:rPr>
                <w:rFonts w:hint="eastAsia" w:ascii="宋体" w:hAnsi="宋体" w:cs="宋体"/>
                <w:color w:val="auto"/>
                <w:szCs w:val="21"/>
                <w:highlight w:val="none"/>
              </w:rPr>
              <w:t>6</w:t>
            </w:r>
          </w:p>
        </w:tc>
        <w:tc>
          <w:tcPr>
            <w:tcW w:w="1501" w:type="dxa"/>
            <w:vAlign w:val="center"/>
          </w:tcPr>
          <w:p w14:paraId="0B5AF137">
            <w:pPr>
              <w:jc w:val="center"/>
              <w:rPr>
                <w:rFonts w:ascii="宋体" w:hAnsi="宋体" w:cs="宋体"/>
                <w:color w:val="auto"/>
                <w:szCs w:val="21"/>
                <w:highlight w:val="none"/>
              </w:rPr>
            </w:pPr>
            <w:r>
              <w:rPr>
                <w:rFonts w:hint="eastAsia" w:ascii="宋体" w:hAnsi="宋体" w:cs="宋体"/>
                <w:color w:val="auto"/>
                <w:szCs w:val="21"/>
                <w:highlight w:val="none"/>
              </w:rPr>
              <w:t>投标有效期</w:t>
            </w:r>
          </w:p>
        </w:tc>
        <w:tc>
          <w:tcPr>
            <w:tcW w:w="6466" w:type="dxa"/>
            <w:vAlign w:val="center"/>
          </w:tcPr>
          <w:p w14:paraId="156A1B30">
            <w:pPr>
              <w:tabs>
                <w:tab w:val="center" w:pos="3125"/>
              </w:tabs>
              <w:ind w:firstLine="420" w:firstLineChars="200"/>
              <w:rPr>
                <w:rFonts w:ascii="宋体" w:hAnsi="宋体" w:cs="宋体"/>
                <w:color w:val="auto"/>
                <w:szCs w:val="21"/>
                <w:highlight w:val="none"/>
              </w:rPr>
            </w:pPr>
            <w:r>
              <w:rPr>
                <w:rFonts w:hint="eastAsia" w:ascii="宋体" w:hAnsi="宋体" w:cs="宋体"/>
                <w:color w:val="auto"/>
                <w:szCs w:val="21"/>
                <w:highlight w:val="none"/>
              </w:rPr>
              <w:t>自开标之日起90天。</w:t>
            </w:r>
          </w:p>
        </w:tc>
      </w:tr>
      <w:tr w14:paraId="102E0414">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1101" w:hRule="atLeast"/>
        </w:trPr>
        <w:tc>
          <w:tcPr>
            <w:tcW w:w="718" w:type="dxa"/>
            <w:vAlign w:val="center"/>
          </w:tcPr>
          <w:p w14:paraId="374855D9">
            <w:pPr>
              <w:jc w:val="center"/>
              <w:rPr>
                <w:rFonts w:ascii="宋体" w:hAnsi="宋体" w:cs="宋体"/>
                <w:color w:val="auto"/>
                <w:szCs w:val="21"/>
                <w:highlight w:val="none"/>
              </w:rPr>
            </w:pPr>
            <w:r>
              <w:rPr>
                <w:rFonts w:hint="eastAsia" w:ascii="宋体" w:hAnsi="宋体" w:cs="宋体"/>
                <w:color w:val="auto"/>
                <w:szCs w:val="21"/>
                <w:highlight w:val="none"/>
              </w:rPr>
              <w:t>7</w:t>
            </w:r>
          </w:p>
        </w:tc>
        <w:tc>
          <w:tcPr>
            <w:tcW w:w="1501" w:type="dxa"/>
            <w:vAlign w:val="center"/>
          </w:tcPr>
          <w:p w14:paraId="3100222A">
            <w:pPr>
              <w:jc w:val="center"/>
              <w:rPr>
                <w:rFonts w:ascii="宋体" w:hAnsi="宋体" w:cs="宋体"/>
                <w:color w:val="auto"/>
                <w:szCs w:val="21"/>
                <w:highlight w:val="none"/>
              </w:rPr>
            </w:pPr>
            <w:r>
              <w:rPr>
                <w:rFonts w:hint="eastAsia" w:ascii="宋体" w:hAnsi="宋体" w:cs="宋体"/>
                <w:color w:val="auto"/>
                <w:szCs w:val="21"/>
                <w:highlight w:val="none"/>
              </w:rPr>
              <w:t>合同条款</w:t>
            </w:r>
          </w:p>
        </w:tc>
        <w:tc>
          <w:tcPr>
            <w:tcW w:w="6466" w:type="dxa"/>
            <w:vAlign w:val="center"/>
          </w:tcPr>
          <w:p w14:paraId="6F3903E8">
            <w:pPr>
              <w:ind w:firstLine="420" w:firstLineChars="200"/>
              <w:rPr>
                <w:rFonts w:ascii="宋体" w:hAnsi="宋体" w:cs="宋体"/>
                <w:color w:val="auto"/>
                <w:szCs w:val="21"/>
                <w:highlight w:val="none"/>
              </w:rPr>
            </w:pPr>
            <w:r>
              <w:rPr>
                <w:rFonts w:hint="eastAsia" w:ascii="宋体" w:hAnsi="宋体" w:cs="宋体"/>
                <w:color w:val="auto"/>
                <w:szCs w:val="21"/>
                <w:highlight w:val="none"/>
              </w:rPr>
              <w:t>投标人实质响应合同各条款。</w:t>
            </w:r>
          </w:p>
        </w:tc>
      </w:tr>
    </w:tbl>
    <w:p w14:paraId="4BE4774A">
      <w:pPr>
        <w:rPr>
          <w:rFonts w:ascii="宋体" w:hAnsi="宋体"/>
          <w:color w:val="auto"/>
          <w:highlight w:val="none"/>
        </w:rPr>
      </w:pPr>
      <w:bookmarkStart w:id="22" w:name="_Toc19316"/>
      <w:r>
        <w:rPr>
          <w:rFonts w:hint="eastAsia" w:ascii="宋体" w:hAnsi="宋体"/>
          <w:color w:val="auto"/>
          <w:highlight w:val="none"/>
        </w:rPr>
        <w:br w:type="page"/>
      </w:r>
    </w:p>
    <w:p w14:paraId="423E560B">
      <w:pPr>
        <w:pStyle w:val="3"/>
        <w:jc w:val="center"/>
        <w:rPr>
          <w:rFonts w:ascii="宋体" w:hAnsi="宋体" w:cs="宋体"/>
          <w:color w:val="auto"/>
          <w:szCs w:val="21"/>
          <w:highlight w:val="none"/>
        </w:rPr>
      </w:pPr>
      <w:bookmarkStart w:id="23" w:name="_Toc20722"/>
      <w:bookmarkStart w:id="24" w:name="_Toc30066"/>
      <w:r>
        <w:rPr>
          <w:rFonts w:hint="eastAsia" w:ascii="宋体" w:hAnsi="宋体"/>
          <w:color w:val="auto"/>
          <w:highlight w:val="none"/>
        </w:rPr>
        <w:t>第二章 技术需求书</w:t>
      </w:r>
      <w:bookmarkEnd w:id="17"/>
      <w:bookmarkEnd w:id="18"/>
      <w:bookmarkEnd w:id="19"/>
      <w:bookmarkEnd w:id="20"/>
      <w:bookmarkEnd w:id="21"/>
      <w:bookmarkEnd w:id="22"/>
      <w:bookmarkEnd w:id="23"/>
      <w:bookmarkEnd w:id="24"/>
    </w:p>
    <w:p w14:paraId="5A963F76">
      <w:pPr>
        <w:rPr>
          <w:rFonts w:hint="eastAsia" w:ascii="宋体" w:hAnsi="宋体" w:cs="Times New Roman"/>
          <w:b/>
          <w:bCs/>
          <w:color w:val="auto"/>
          <w:szCs w:val="21"/>
          <w:highlight w:val="none"/>
          <w:lang w:val="en-US" w:eastAsia="zh-CN"/>
        </w:rPr>
      </w:pPr>
      <w:r>
        <w:rPr>
          <w:rFonts w:hint="eastAsia" w:ascii="宋体" w:hAnsi="宋体" w:cs="Times New Roman"/>
          <w:b/>
          <w:bCs/>
          <w:color w:val="auto"/>
          <w:szCs w:val="21"/>
          <w:highlight w:val="none"/>
          <w:lang w:val="en-US" w:eastAsia="zh-CN"/>
        </w:rPr>
        <w:t>一、项目概况</w:t>
      </w:r>
    </w:p>
    <w:p w14:paraId="65363395">
      <w:pPr>
        <w:ind w:firstLine="420"/>
        <w:rPr>
          <w:rFonts w:hint="eastAsia" w:ascii="宋体" w:hAnsi="宋体" w:cs="Times New Roman"/>
          <w:color w:val="auto"/>
          <w:szCs w:val="21"/>
          <w:highlight w:val="none"/>
        </w:rPr>
      </w:pPr>
      <w:r>
        <w:rPr>
          <w:rFonts w:hint="eastAsia" w:ascii="宋体" w:hAnsi="宋体" w:cs="Times New Roman"/>
          <w:color w:val="auto"/>
          <w:szCs w:val="21"/>
          <w:highlight w:val="none"/>
        </w:rPr>
        <w:t>餐厨项目2025年度定点维修服务项目</w:t>
      </w:r>
    </w:p>
    <w:p w14:paraId="46C7E8FE">
      <w:pPr>
        <w:rPr>
          <w:rFonts w:ascii="宋体" w:hAnsi="宋体" w:cs="宋体"/>
          <w:b/>
          <w:bCs/>
          <w:color w:val="auto"/>
          <w:szCs w:val="21"/>
          <w:highlight w:val="none"/>
        </w:rPr>
      </w:pPr>
      <w:r>
        <w:rPr>
          <w:rFonts w:hint="eastAsia" w:ascii="宋体" w:hAnsi="宋体" w:cs="宋体"/>
          <w:b/>
          <w:bCs/>
          <w:color w:val="auto"/>
          <w:szCs w:val="21"/>
          <w:highlight w:val="none"/>
          <w:lang w:val="en-US" w:eastAsia="zh-CN"/>
        </w:rPr>
        <w:t>二</w:t>
      </w:r>
      <w:r>
        <w:rPr>
          <w:rFonts w:hint="eastAsia" w:ascii="宋体" w:hAnsi="宋体" w:cs="宋体"/>
          <w:b/>
          <w:bCs/>
          <w:color w:val="auto"/>
          <w:szCs w:val="21"/>
          <w:highlight w:val="none"/>
        </w:rPr>
        <w:t>、服务内容</w:t>
      </w:r>
    </w:p>
    <w:p w14:paraId="47AEAFD9">
      <w:pPr>
        <w:ind w:firstLine="420"/>
        <w:rPr>
          <w:rFonts w:hint="eastAsia" w:ascii="宋体" w:hAnsi="宋体" w:cs="宋体"/>
          <w:color w:val="auto"/>
          <w:szCs w:val="21"/>
          <w:highlight w:val="none"/>
        </w:rPr>
      </w:pPr>
      <w:r>
        <w:rPr>
          <w:rFonts w:hint="eastAsia" w:ascii="宋体" w:hAnsi="宋体" w:cs="宋体"/>
          <w:color w:val="auto"/>
          <w:szCs w:val="21"/>
          <w:highlight w:val="none"/>
        </w:rPr>
        <w:t>(一)采购标的</w:t>
      </w:r>
    </w:p>
    <w:p w14:paraId="4D5A6DBB">
      <w:pPr>
        <w:ind w:firstLine="420"/>
        <w:rPr>
          <w:rFonts w:hint="eastAsia" w:ascii="宋体" w:hAnsi="宋体" w:cs="Times New Roman"/>
          <w:color w:val="auto"/>
          <w:szCs w:val="21"/>
          <w:highlight w:val="none"/>
        </w:rPr>
      </w:pPr>
      <w:r>
        <w:rPr>
          <w:rFonts w:hint="eastAsia" w:ascii="宋体" w:hAnsi="宋体" w:cs="Times New Roman"/>
          <w:color w:val="auto"/>
          <w:szCs w:val="21"/>
          <w:highlight w:val="none"/>
        </w:rPr>
        <w:t>以采购人餐厨项目停车场所在位置为中心，服务距离</w:t>
      </w:r>
      <w:r>
        <w:rPr>
          <w:rFonts w:hint="eastAsia" w:ascii="宋体" w:hAnsi="宋体" w:cs="Times New Roman"/>
          <w:color w:val="auto"/>
          <w:szCs w:val="21"/>
          <w:highlight w:val="none"/>
          <w:lang w:val="en-US" w:eastAsia="zh-CN"/>
        </w:rPr>
        <w:t>30</w:t>
      </w:r>
      <w:r>
        <w:rPr>
          <w:rFonts w:hint="eastAsia" w:ascii="宋体" w:hAnsi="宋体" w:cs="Times New Roman"/>
          <w:color w:val="auto"/>
          <w:szCs w:val="21"/>
          <w:highlight w:val="none"/>
        </w:rPr>
        <w:t>公里以内（</w:t>
      </w:r>
      <w:bookmarkStart w:id="25" w:name="OLE_LINK6"/>
      <w:r>
        <w:rPr>
          <w:rFonts w:hint="eastAsia" w:ascii="宋体" w:hAnsi="宋体" w:cs="Times New Roman"/>
          <w:color w:val="auto"/>
          <w:szCs w:val="21"/>
          <w:highlight w:val="none"/>
        </w:rPr>
        <w:t>百度地图或高德地图导航距离</w:t>
      </w:r>
      <w:bookmarkEnd w:id="25"/>
      <w:r>
        <w:rPr>
          <w:rFonts w:hint="eastAsia" w:ascii="宋体" w:hAnsi="宋体" w:cs="Times New Roman"/>
          <w:color w:val="auto"/>
          <w:szCs w:val="21"/>
          <w:highlight w:val="none"/>
        </w:rPr>
        <w:t>），采购1家定点维修服务供应商，为采购人的</w:t>
      </w:r>
      <w:r>
        <w:rPr>
          <w:rFonts w:hint="eastAsia" w:ascii="宋体" w:hAnsi="宋体" w:cs="Times New Roman"/>
          <w:color w:val="auto"/>
          <w:szCs w:val="21"/>
          <w:highlight w:val="none"/>
          <w:lang w:val="en-US" w:eastAsia="zh-CN"/>
        </w:rPr>
        <w:t>餐厨作业车</w:t>
      </w:r>
      <w:r>
        <w:rPr>
          <w:rFonts w:hint="eastAsia" w:ascii="宋体" w:hAnsi="宋体" w:cs="Times New Roman"/>
          <w:color w:val="auto"/>
          <w:szCs w:val="21"/>
          <w:highlight w:val="none"/>
        </w:rPr>
        <w:t>、非机动车等提供日常维护、保养、维修服务。</w:t>
      </w:r>
    </w:p>
    <w:p w14:paraId="3C24FEA4">
      <w:pPr>
        <w:ind w:firstLine="420"/>
        <w:rPr>
          <w:rFonts w:hint="eastAsia" w:ascii="宋体" w:hAnsi="宋体" w:eastAsia="宋体" w:cs="Times New Roman"/>
          <w:color w:val="auto"/>
          <w:szCs w:val="21"/>
          <w:highlight w:val="none"/>
          <w:lang w:eastAsia="zh-CN"/>
        </w:rPr>
      </w:pPr>
      <w:r>
        <w:rPr>
          <w:rFonts w:hint="eastAsia" w:ascii="宋体" w:hAnsi="宋体" w:cs="Times New Roman"/>
          <w:color w:val="auto"/>
          <w:szCs w:val="21"/>
          <w:highlight w:val="none"/>
        </w:rPr>
        <w:t>具体详见附件：餐厨项目2025年度定点维修服务清单。</w:t>
      </w:r>
      <w:r>
        <w:rPr>
          <w:rFonts w:hint="eastAsia" w:ascii="宋体" w:hAnsi="宋体" w:cs="Times New Roman"/>
          <w:color w:val="auto"/>
          <w:szCs w:val="21"/>
          <w:highlight w:val="none"/>
          <w:lang w:eastAsia="zh-CN"/>
        </w:rPr>
        <w:t>（</w:t>
      </w:r>
      <w:r>
        <w:rPr>
          <w:rFonts w:hint="eastAsia" w:ascii="宋体" w:hAnsi="宋体" w:cs="Times New Roman"/>
          <w:color w:val="auto"/>
          <w:szCs w:val="21"/>
          <w:highlight w:val="none"/>
          <w:lang w:val="en-US" w:eastAsia="zh-CN"/>
        </w:rPr>
        <w:t>注：</w:t>
      </w:r>
      <w:r>
        <w:rPr>
          <w:rFonts w:hint="eastAsia" w:ascii="宋体" w:hAnsi="宋体" w:cs="Times New Roman"/>
          <w:color w:val="auto"/>
          <w:szCs w:val="21"/>
          <w:highlight w:val="none"/>
        </w:rPr>
        <w:t>餐厨项目2025年度定点维修服务清单</w:t>
      </w:r>
      <w:r>
        <w:rPr>
          <w:rFonts w:hint="eastAsia" w:ascii="宋体" w:hAnsi="宋体" w:cs="Times New Roman"/>
          <w:color w:val="auto"/>
          <w:szCs w:val="21"/>
          <w:highlight w:val="none"/>
          <w:lang w:val="en-US" w:eastAsia="zh-CN"/>
        </w:rPr>
        <w:t>以</w:t>
      </w:r>
      <w:r>
        <w:rPr>
          <w:rFonts w:hint="eastAsia" w:ascii="宋体" w:hAnsi="宋体" w:cs="宋体"/>
          <w:color w:val="auto"/>
          <w:szCs w:val="21"/>
          <w:highlight w:val="none"/>
        </w:rPr>
        <w:t>《</w:t>
      </w:r>
      <w:r>
        <w:rPr>
          <w:rFonts w:hint="eastAsia" w:ascii="宋体" w:hAnsi="宋体" w:cs="宋体"/>
          <w:color w:val="auto"/>
          <w:szCs w:val="21"/>
          <w:highlight w:val="none"/>
          <w:lang w:val="en-US" w:eastAsia="zh-CN"/>
        </w:rPr>
        <w:t>餐厨项目车辆维修</w:t>
      </w:r>
      <w:r>
        <w:rPr>
          <w:rFonts w:hint="eastAsia" w:ascii="宋体" w:hAnsi="宋体" w:cs="宋体"/>
          <w:color w:val="auto"/>
          <w:szCs w:val="21"/>
          <w:highlight w:val="none"/>
        </w:rPr>
        <w:t>配件及工时单价限价表》</w:t>
      </w:r>
      <w:r>
        <w:rPr>
          <w:rFonts w:hint="eastAsia" w:ascii="宋体" w:hAnsi="宋体" w:cs="宋体"/>
          <w:color w:val="auto"/>
          <w:szCs w:val="21"/>
          <w:highlight w:val="none"/>
          <w:lang w:val="en-US" w:eastAsia="zh-CN"/>
        </w:rPr>
        <w:t>作为附件随文件发出。）</w:t>
      </w:r>
    </w:p>
    <w:p w14:paraId="00E4ADF4">
      <w:pPr>
        <w:ind w:firstLine="420"/>
        <w:rPr>
          <w:rFonts w:hint="eastAsia" w:ascii="宋体" w:hAnsi="宋体" w:cs="Times New Roman"/>
          <w:color w:val="auto"/>
          <w:szCs w:val="21"/>
          <w:highlight w:val="none"/>
        </w:rPr>
      </w:pPr>
      <w:r>
        <w:rPr>
          <w:rFonts w:hint="eastAsia" w:ascii="宋体" w:hAnsi="宋体" w:cs="Times New Roman"/>
          <w:color w:val="auto"/>
          <w:szCs w:val="21"/>
          <w:highlight w:val="none"/>
        </w:rPr>
        <w:t>（二）车辆设备类型</w:t>
      </w:r>
    </w:p>
    <w:p w14:paraId="4CF85C08">
      <w:pPr>
        <w:ind w:firstLine="420"/>
        <w:rPr>
          <w:rFonts w:hint="eastAsia" w:ascii="宋体" w:hAnsi="宋体" w:cs="Times New Roman"/>
          <w:color w:val="auto"/>
          <w:szCs w:val="21"/>
          <w:highlight w:val="none"/>
        </w:rPr>
      </w:pPr>
      <w:r>
        <w:rPr>
          <w:rFonts w:hint="eastAsia" w:ascii="宋体" w:hAnsi="宋体" w:cs="Times New Roman"/>
          <w:color w:val="auto"/>
          <w:szCs w:val="21"/>
          <w:highlight w:val="none"/>
        </w:rPr>
        <w:t>成交人需提供以下车辆设备的维护、保养、维修服务：</w:t>
      </w:r>
    </w:p>
    <w:tbl>
      <w:tblPr>
        <w:tblStyle w:val="1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107"/>
        <w:gridCol w:w="6292"/>
      </w:tblGrid>
      <w:tr w14:paraId="0E69CA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6" w:hRule="atLeast"/>
        </w:trPr>
        <w:tc>
          <w:tcPr>
            <w:tcW w:w="2107" w:type="dxa"/>
            <w:vAlign w:val="center"/>
          </w:tcPr>
          <w:p w14:paraId="46AC5987">
            <w:pPr>
              <w:keepNext w:val="0"/>
              <w:keepLines w:val="0"/>
              <w:pageBreakBefore w:val="0"/>
              <w:widowControl/>
              <w:kinsoku/>
              <w:wordWrap/>
              <w:overflowPunct/>
              <w:topLinePunct w:val="0"/>
              <w:autoSpaceDE/>
              <w:autoSpaceDN/>
              <w:bidi w:val="0"/>
              <w:adjustRightInd w:val="0"/>
              <w:snapToGrid w:val="0"/>
              <w:spacing w:line="240" w:lineRule="auto"/>
              <w:ind w:firstLine="0"/>
              <w:textAlignment w:val="auto"/>
              <w:rPr>
                <w:rFonts w:hint="eastAsia" w:ascii="宋体" w:hAnsi="宋体" w:cs="Times New Roman"/>
                <w:color w:val="auto"/>
                <w:szCs w:val="21"/>
                <w:highlight w:val="none"/>
              </w:rPr>
            </w:pPr>
            <w:r>
              <w:rPr>
                <w:rFonts w:hint="eastAsia" w:ascii="宋体" w:hAnsi="宋体" w:cs="Times New Roman"/>
                <w:color w:val="auto"/>
                <w:szCs w:val="21"/>
                <w:highlight w:val="none"/>
              </w:rPr>
              <w:t>分类</w:t>
            </w:r>
          </w:p>
        </w:tc>
        <w:tc>
          <w:tcPr>
            <w:tcW w:w="6292" w:type="dxa"/>
            <w:vAlign w:val="center"/>
          </w:tcPr>
          <w:p w14:paraId="3C4DB280">
            <w:pPr>
              <w:keepNext w:val="0"/>
              <w:keepLines w:val="0"/>
              <w:pageBreakBefore w:val="0"/>
              <w:widowControl/>
              <w:kinsoku/>
              <w:wordWrap/>
              <w:overflowPunct/>
              <w:topLinePunct w:val="0"/>
              <w:autoSpaceDE/>
              <w:autoSpaceDN/>
              <w:bidi w:val="0"/>
              <w:adjustRightInd w:val="0"/>
              <w:snapToGrid w:val="0"/>
              <w:spacing w:line="240" w:lineRule="auto"/>
              <w:ind w:firstLine="0"/>
              <w:textAlignment w:val="auto"/>
              <w:rPr>
                <w:rFonts w:hint="eastAsia" w:ascii="宋体" w:hAnsi="宋体" w:cs="Times New Roman"/>
                <w:color w:val="auto"/>
                <w:szCs w:val="21"/>
                <w:highlight w:val="none"/>
              </w:rPr>
            </w:pPr>
            <w:r>
              <w:rPr>
                <w:rFonts w:hint="eastAsia" w:ascii="宋体" w:hAnsi="宋体" w:cs="Times New Roman"/>
                <w:color w:val="auto"/>
                <w:szCs w:val="21"/>
                <w:highlight w:val="none"/>
              </w:rPr>
              <w:t>具体设备类型</w:t>
            </w:r>
          </w:p>
        </w:tc>
      </w:tr>
      <w:tr w14:paraId="23CE59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0" w:hRule="atLeast"/>
        </w:trPr>
        <w:tc>
          <w:tcPr>
            <w:tcW w:w="2107" w:type="dxa"/>
            <w:vAlign w:val="center"/>
          </w:tcPr>
          <w:p w14:paraId="53F3277F">
            <w:pPr>
              <w:keepNext w:val="0"/>
              <w:keepLines w:val="0"/>
              <w:pageBreakBefore w:val="0"/>
              <w:widowControl/>
              <w:kinsoku/>
              <w:wordWrap/>
              <w:overflowPunct/>
              <w:topLinePunct w:val="0"/>
              <w:autoSpaceDE/>
              <w:autoSpaceDN/>
              <w:bidi w:val="0"/>
              <w:adjustRightInd w:val="0"/>
              <w:snapToGrid w:val="0"/>
              <w:spacing w:line="240" w:lineRule="auto"/>
              <w:ind w:firstLine="0"/>
              <w:textAlignment w:val="auto"/>
              <w:rPr>
                <w:rFonts w:hint="eastAsia" w:ascii="宋体" w:hAnsi="宋体" w:cs="Times New Roman"/>
                <w:color w:val="auto"/>
                <w:szCs w:val="21"/>
                <w:highlight w:val="none"/>
              </w:rPr>
            </w:pPr>
            <w:r>
              <w:rPr>
                <w:rFonts w:hint="eastAsia" w:ascii="宋体" w:hAnsi="宋体" w:cs="Times New Roman"/>
                <w:color w:val="auto"/>
                <w:szCs w:val="21"/>
                <w:highlight w:val="none"/>
              </w:rPr>
              <w:t>餐厨作业车（一）</w:t>
            </w:r>
          </w:p>
        </w:tc>
        <w:tc>
          <w:tcPr>
            <w:tcW w:w="6292" w:type="dxa"/>
            <w:vAlign w:val="center"/>
          </w:tcPr>
          <w:p w14:paraId="761D8B81">
            <w:pPr>
              <w:keepNext w:val="0"/>
              <w:keepLines w:val="0"/>
              <w:pageBreakBefore w:val="0"/>
              <w:widowControl/>
              <w:kinsoku/>
              <w:wordWrap/>
              <w:overflowPunct/>
              <w:topLinePunct w:val="0"/>
              <w:autoSpaceDE/>
              <w:autoSpaceDN/>
              <w:bidi w:val="0"/>
              <w:adjustRightInd w:val="0"/>
              <w:snapToGrid w:val="0"/>
              <w:spacing w:line="240" w:lineRule="auto"/>
              <w:ind w:firstLine="0"/>
              <w:textAlignment w:val="auto"/>
              <w:rPr>
                <w:rFonts w:hint="eastAsia" w:ascii="宋体" w:hAnsi="宋体" w:cs="Times New Roman"/>
                <w:color w:val="auto"/>
                <w:szCs w:val="21"/>
                <w:highlight w:val="none"/>
              </w:rPr>
            </w:pPr>
            <w:r>
              <w:rPr>
                <w:rFonts w:hint="eastAsia" w:ascii="宋体" w:hAnsi="宋体" w:cs="Times New Roman"/>
                <w:color w:val="auto"/>
                <w:szCs w:val="21"/>
                <w:highlight w:val="none"/>
              </w:rPr>
              <w:t>5吨餐厨车、8吨餐厨车、3吨餐厨车、吸污车、厢式货车</w:t>
            </w:r>
          </w:p>
        </w:tc>
      </w:tr>
      <w:tr w14:paraId="0A49E4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0" w:hRule="atLeast"/>
        </w:trPr>
        <w:tc>
          <w:tcPr>
            <w:tcW w:w="2107" w:type="dxa"/>
            <w:vAlign w:val="center"/>
          </w:tcPr>
          <w:p w14:paraId="3F3376EC">
            <w:pPr>
              <w:keepNext w:val="0"/>
              <w:keepLines w:val="0"/>
              <w:pageBreakBefore w:val="0"/>
              <w:widowControl/>
              <w:kinsoku/>
              <w:wordWrap/>
              <w:overflowPunct/>
              <w:topLinePunct w:val="0"/>
              <w:autoSpaceDE/>
              <w:autoSpaceDN/>
              <w:bidi w:val="0"/>
              <w:adjustRightInd w:val="0"/>
              <w:snapToGrid w:val="0"/>
              <w:spacing w:line="240" w:lineRule="auto"/>
              <w:ind w:firstLine="0"/>
              <w:textAlignment w:val="auto"/>
              <w:rPr>
                <w:rFonts w:hint="eastAsia" w:ascii="宋体" w:hAnsi="宋体" w:cs="Times New Roman"/>
                <w:color w:val="auto"/>
                <w:szCs w:val="21"/>
                <w:highlight w:val="none"/>
              </w:rPr>
            </w:pPr>
            <w:r>
              <w:rPr>
                <w:rFonts w:hint="eastAsia" w:ascii="宋体" w:hAnsi="宋体" w:cs="Times New Roman"/>
                <w:color w:val="auto"/>
                <w:szCs w:val="21"/>
                <w:highlight w:val="none"/>
              </w:rPr>
              <w:t>餐厨作业车（二）</w:t>
            </w:r>
          </w:p>
        </w:tc>
        <w:tc>
          <w:tcPr>
            <w:tcW w:w="6292" w:type="dxa"/>
            <w:vAlign w:val="center"/>
          </w:tcPr>
          <w:p w14:paraId="3FF83B55">
            <w:pPr>
              <w:keepNext w:val="0"/>
              <w:keepLines w:val="0"/>
              <w:pageBreakBefore w:val="0"/>
              <w:widowControl/>
              <w:kinsoku/>
              <w:wordWrap/>
              <w:overflowPunct/>
              <w:topLinePunct w:val="0"/>
              <w:autoSpaceDE/>
              <w:autoSpaceDN/>
              <w:bidi w:val="0"/>
              <w:adjustRightInd w:val="0"/>
              <w:snapToGrid w:val="0"/>
              <w:spacing w:line="240" w:lineRule="auto"/>
              <w:ind w:firstLine="0"/>
              <w:textAlignment w:val="auto"/>
              <w:rPr>
                <w:rFonts w:hint="eastAsia" w:ascii="宋体" w:hAnsi="宋体" w:cs="Times New Roman"/>
                <w:color w:val="auto"/>
                <w:szCs w:val="21"/>
                <w:highlight w:val="none"/>
              </w:rPr>
            </w:pPr>
            <w:r>
              <w:rPr>
                <w:rFonts w:hint="eastAsia" w:ascii="宋体" w:hAnsi="宋体" w:cs="Times New Roman"/>
                <w:color w:val="auto"/>
                <w:szCs w:val="21"/>
                <w:highlight w:val="none"/>
              </w:rPr>
              <w:t>皮卡车、可卸式垃圾车、</w:t>
            </w:r>
          </w:p>
        </w:tc>
      </w:tr>
    </w:tbl>
    <w:p w14:paraId="1E36DC40">
      <w:pPr>
        <w:ind w:firstLine="420"/>
        <w:rPr>
          <w:rFonts w:hint="eastAsia" w:ascii="宋体" w:hAnsi="宋体" w:cs="Times New Roman"/>
          <w:color w:val="auto"/>
          <w:szCs w:val="21"/>
          <w:highlight w:val="none"/>
        </w:rPr>
      </w:pPr>
      <w:r>
        <w:rPr>
          <w:rFonts w:hint="eastAsia" w:ascii="宋体" w:hAnsi="宋体" w:cs="Times New Roman"/>
          <w:color w:val="auto"/>
          <w:szCs w:val="21"/>
          <w:highlight w:val="none"/>
        </w:rPr>
        <w:t>注：除上述提及的服务车辆设备类型之外，包括后续采购人增添的其他车辆设备类型。车辆设备类型根据采购人项目实际情况而定。</w:t>
      </w:r>
    </w:p>
    <w:p w14:paraId="59079612">
      <w:pPr>
        <w:ind w:firstLine="420"/>
        <w:rPr>
          <w:rFonts w:hint="eastAsia" w:ascii="宋体" w:hAnsi="宋体" w:cs="Times New Roman"/>
          <w:color w:val="auto"/>
          <w:szCs w:val="21"/>
          <w:highlight w:val="none"/>
        </w:rPr>
      </w:pPr>
      <w:r>
        <w:rPr>
          <w:rFonts w:hint="eastAsia" w:ascii="宋体" w:hAnsi="宋体" w:cs="Times New Roman"/>
          <w:color w:val="auto"/>
          <w:szCs w:val="21"/>
          <w:highlight w:val="none"/>
        </w:rPr>
        <w:t>★（三）场地要求</w:t>
      </w:r>
    </w:p>
    <w:p w14:paraId="1D406A4D">
      <w:pPr>
        <w:ind w:firstLine="420"/>
        <w:rPr>
          <w:rFonts w:hint="eastAsia" w:eastAsia="宋体"/>
          <w:color w:val="auto"/>
          <w:lang w:val="en-US" w:eastAsia="zh-CN"/>
        </w:rPr>
      </w:pPr>
      <w:r>
        <w:rPr>
          <w:rFonts w:hint="eastAsia" w:ascii="宋体" w:hAnsi="宋体" w:cs="Times New Roman"/>
          <w:color w:val="auto"/>
          <w:sz w:val="21"/>
          <w:szCs w:val="21"/>
          <w:highlight w:val="none"/>
          <w:lang w:val="en-US" w:bidi="ar-SA"/>
        </w:rPr>
        <w:t>定点维修服务供应商</w:t>
      </w:r>
      <w:r>
        <w:rPr>
          <w:rFonts w:hint="eastAsia" w:cs="Times New Roman"/>
          <w:color w:val="auto"/>
          <w:sz w:val="21"/>
          <w:szCs w:val="21"/>
          <w:highlight w:val="none"/>
          <w:lang w:val="en-US" w:eastAsia="zh-CN" w:bidi="ar-SA"/>
        </w:rPr>
        <w:t>维修地点距离采购人项目点</w:t>
      </w:r>
      <w:r>
        <w:rPr>
          <w:rFonts w:hint="eastAsia" w:cs="Times New Roman"/>
          <w:color w:val="auto"/>
          <w:sz w:val="21"/>
          <w:szCs w:val="21"/>
          <w:highlight w:val="none"/>
          <w:lang w:val="en-US" w:bidi="ar-SA"/>
        </w:rPr>
        <w:t>≤</w:t>
      </w:r>
      <w:r>
        <w:rPr>
          <w:rFonts w:hint="eastAsia" w:ascii="宋体" w:hAnsi="宋体" w:cs="Times New Roman"/>
          <w:color w:val="auto"/>
          <w:sz w:val="21"/>
          <w:szCs w:val="21"/>
          <w:highlight w:val="none"/>
          <w:lang w:val="en-US" w:eastAsia="zh-CN" w:bidi="ar-SA"/>
        </w:rPr>
        <w:t>30</w:t>
      </w:r>
      <w:r>
        <w:rPr>
          <w:rFonts w:hint="eastAsia" w:ascii="宋体" w:hAnsi="宋体" w:cs="Times New Roman"/>
          <w:color w:val="auto"/>
          <w:sz w:val="21"/>
          <w:szCs w:val="21"/>
          <w:highlight w:val="none"/>
          <w:lang w:val="en-US" w:bidi="ar-SA"/>
        </w:rPr>
        <w:t>公里（以采购人餐厨项目停车场所在位置为中心，投标人“二类(含)以上机动车维修”维修资质登记的地址到采购人停车场的百度地图（或高德地图）导航距离）</w:t>
      </w:r>
      <w:r>
        <w:rPr>
          <w:rFonts w:hint="eastAsia" w:cs="Times New Roman"/>
          <w:color w:val="auto"/>
          <w:sz w:val="21"/>
          <w:szCs w:val="21"/>
          <w:highlight w:val="none"/>
          <w:lang w:val="en-US" w:eastAsia="zh-CN" w:bidi="ar-SA"/>
        </w:rPr>
        <w:t>。</w:t>
      </w:r>
    </w:p>
    <w:p w14:paraId="30924E31">
      <w:pPr>
        <w:ind w:firstLine="420"/>
        <w:rPr>
          <w:rFonts w:hint="eastAsia" w:ascii="宋体" w:hAnsi="宋体" w:cs="Times New Roman"/>
          <w:color w:val="auto"/>
          <w:szCs w:val="21"/>
          <w:highlight w:val="none"/>
        </w:rPr>
      </w:pPr>
      <w:r>
        <w:rPr>
          <w:rFonts w:hint="eastAsia" w:ascii="宋体" w:hAnsi="宋体" w:cs="Times New Roman"/>
          <w:color w:val="auto"/>
          <w:szCs w:val="21"/>
          <w:highlight w:val="none"/>
        </w:rPr>
        <w:t>定点维修服务供应商维修场地面积满足采购人维修需要；并配有一台服务车辆，专门提供上门维修、保养服务。具体如下：</w:t>
      </w:r>
    </w:p>
    <w:p w14:paraId="297989AA">
      <w:pPr>
        <w:ind w:firstLine="420"/>
        <w:rPr>
          <w:rFonts w:hint="eastAsia" w:ascii="宋体" w:hAnsi="宋体" w:cs="Times New Roman"/>
          <w:color w:val="auto"/>
          <w:szCs w:val="21"/>
          <w:highlight w:val="none"/>
        </w:rPr>
      </w:pPr>
      <w:r>
        <w:rPr>
          <w:rFonts w:hint="eastAsia" w:ascii="宋体" w:hAnsi="宋体" w:cs="Times New Roman"/>
          <w:color w:val="auto"/>
          <w:szCs w:val="21"/>
          <w:highlight w:val="none"/>
        </w:rPr>
        <w:t>（1）场地符合国家规定的标准要求；</w:t>
      </w:r>
    </w:p>
    <w:p w14:paraId="39DC1A96">
      <w:pPr>
        <w:ind w:firstLine="420"/>
        <w:rPr>
          <w:rFonts w:hint="eastAsia" w:ascii="宋体" w:hAnsi="宋体" w:cs="Times New Roman"/>
          <w:color w:val="auto"/>
          <w:szCs w:val="21"/>
          <w:highlight w:val="none"/>
        </w:rPr>
      </w:pPr>
      <w:r>
        <w:rPr>
          <w:rFonts w:hint="eastAsia" w:ascii="宋体" w:hAnsi="宋体" w:cs="Times New Roman"/>
          <w:color w:val="auto"/>
          <w:szCs w:val="21"/>
          <w:highlight w:val="none"/>
        </w:rPr>
        <w:t>（</w:t>
      </w:r>
      <w:r>
        <w:rPr>
          <w:rFonts w:hint="eastAsia" w:ascii="宋体" w:hAnsi="宋体" w:cs="Times New Roman"/>
          <w:color w:val="auto"/>
          <w:szCs w:val="21"/>
          <w:highlight w:val="none"/>
          <w:lang w:val="en-US" w:eastAsia="zh-CN"/>
        </w:rPr>
        <w:t>2</w:t>
      </w:r>
      <w:r>
        <w:rPr>
          <w:rFonts w:hint="eastAsia" w:ascii="宋体" w:hAnsi="宋体" w:cs="Times New Roman"/>
          <w:color w:val="auto"/>
          <w:szCs w:val="21"/>
          <w:highlight w:val="none"/>
        </w:rPr>
        <w:t>）修理车间布局合理、车间设施良好；</w:t>
      </w:r>
    </w:p>
    <w:p w14:paraId="7ADD4590">
      <w:pPr>
        <w:ind w:firstLine="420"/>
        <w:rPr>
          <w:rFonts w:hint="eastAsia" w:ascii="宋体" w:hAnsi="宋体" w:cs="Times New Roman"/>
          <w:color w:val="auto"/>
          <w:szCs w:val="21"/>
          <w:highlight w:val="none"/>
          <w:lang w:eastAsia="zh-CN"/>
        </w:rPr>
      </w:pPr>
      <w:r>
        <w:rPr>
          <w:rFonts w:hint="eastAsia" w:ascii="宋体" w:hAnsi="宋体" w:cs="Times New Roman"/>
          <w:color w:val="auto"/>
          <w:szCs w:val="21"/>
          <w:highlight w:val="none"/>
        </w:rPr>
        <w:t>（</w:t>
      </w:r>
      <w:r>
        <w:rPr>
          <w:rFonts w:hint="eastAsia" w:ascii="宋体" w:hAnsi="宋体" w:cs="Times New Roman"/>
          <w:color w:val="auto"/>
          <w:szCs w:val="21"/>
          <w:highlight w:val="none"/>
          <w:lang w:val="en-US" w:eastAsia="zh-CN"/>
        </w:rPr>
        <w:t>3</w:t>
      </w:r>
      <w:r>
        <w:rPr>
          <w:rFonts w:hint="eastAsia" w:ascii="宋体" w:hAnsi="宋体" w:cs="Times New Roman"/>
          <w:color w:val="auto"/>
          <w:szCs w:val="21"/>
          <w:highlight w:val="none"/>
        </w:rPr>
        <w:t>）</w:t>
      </w:r>
      <w:r>
        <w:rPr>
          <w:rFonts w:hint="eastAsia" w:ascii="宋体" w:hAnsi="宋体" w:cs="Times New Roman"/>
          <w:color w:val="auto"/>
          <w:szCs w:val="21"/>
          <w:highlight w:val="none"/>
          <w:lang w:val="en-US" w:eastAsia="zh-CN"/>
        </w:rPr>
        <w:t>有</w:t>
      </w:r>
      <w:r>
        <w:rPr>
          <w:rFonts w:hint="eastAsia" w:ascii="宋体" w:hAnsi="宋体" w:cs="Times New Roman"/>
          <w:color w:val="auto"/>
          <w:szCs w:val="21"/>
          <w:highlight w:val="none"/>
        </w:rPr>
        <w:t>足够的停车场地和接待区，接待区要有满足客户登记和休息的设施</w:t>
      </w:r>
      <w:r>
        <w:rPr>
          <w:rFonts w:hint="eastAsia" w:ascii="宋体" w:hAnsi="宋体" w:cs="Times New Roman"/>
          <w:color w:val="auto"/>
          <w:szCs w:val="21"/>
          <w:highlight w:val="none"/>
          <w:lang w:eastAsia="zh-CN"/>
        </w:rPr>
        <w:t>。</w:t>
      </w:r>
    </w:p>
    <w:p w14:paraId="7E5BE8E0">
      <w:pPr>
        <w:ind w:firstLine="420"/>
        <w:rPr>
          <w:rFonts w:hint="eastAsia" w:ascii="宋体" w:hAnsi="宋体" w:cs="Times New Roman"/>
          <w:color w:val="auto"/>
          <w:szCs w:val="21"/>
          <w:highlight w:val="none"/>
        </w:rPr>
      </w:pPr>
      <w:r>
        <w:rPr>
          <w:rFonts w:hint="eastAsia" w:ascii="宋体" w:hAnsi="宋体" w:cs="Times New Roman"/>
          <w:b/>
          <w:bCs/>
          <w:color w:val="auto"/>
          <w:szCs w:val="21"/>
          <w:highlight w:val="none"/>
          <w:lang w:val="en-US" w:eastAsia="zh-CN"/>
        </w:rPr>
        <w:t>注：</w:t>
      </w:r>
      <w:r>
        <w:rPr>
          <w:rFonts w:hint="eastAsia" w:ascii="宋体" w:hAnsi="宋体" w:cs="Times New Roman"/>
          <w:b/>
          <w:bCs/>
          <w:color w:val="auto"/>
          <w:szCs w:val="21"/>
          <w:highlight w:val="none"/>
          <w:lang w:eastAsia="zh-CN"/>
        </w:rPr>
        <w:t>（</w:t>
      </w:r>
      <w:r>
        <w:rPr>
          <w:rFonts w:hint="eastAsia" w:ascii="宋体" w:hAnsi="宋体" w:cs="Times New Roman"/>
          <w:b/>
          <w:bCs/>
          <w:color w:val="auto"/>
          <w:szCs w:val="21"/>
          <w:highlight w:val="none"/>
        </w:rPr>
        <w:t>投标人须提供承诺函加盖投标人公章，距离须提供投标人“二类(含)以上机动车维修”维修资质登记的地址到采购人停车场的百度地图（或高德地图）导航距离截图，相关资料须加盖投标人公章</w:t>
      </w:r>
      <w:r>
        <w:rPr>
          <w:rFonts w:hint="eastAsia" w:ascii="宋体" w:hAnsi="宋体" w:cs="Times New Roman"/>
          <w:b/>
          <w:bCs/>
          <w:color w:val="auto"/>
          <w:szCs w:val="21"/>
          <w:highlight w:val="none"/>
          <w:lang w:val="en-US" w:eastAsia="zh-CN"/>
        </w:rPr>
        <w:t>）。</w:t>
      </w:r>
    </w:p>
    <w:p w14:paraId="2871BEF2">
      <w:pPr>
        <w:rPr>
          <w:rFonts w:hint="eastAsia" w:ascii="宋体" w:hAnsi="宋体" w:cs="Times New Roman"/>
          <w:b/>
          <w:bCs/>
          <w:color w:val="auto"/>
          <w:szCs w:val="21"/>
          <w:highlight w:val="none"/>
          <w:lang w:val="en-US" w:eastAsia="zh-CN"/>
        </w:rPr>
      </w:pPr>
      <w:r>
        <w:rPr>
          <w:rFonts w:hint="eastAsia" w:ascii="宋体" w:hAnsi="宋体" w:cs="Times New Roman"/>
          <w:b/>
          <w:bCs/>
          <w:color w:val="auto"/>
          <w:szCs w:val="21"/>
          <w:highlight w:val="none"/>
          <w:lang w:val="en-US" w:eastAsia="zh-CN"/>
        </w:rPr>
        <w:t>三、项目位置</w:t>
      </w:r>
    </w:p>
    <w:p w14:paraId="283611A2">
      <w:pPr>
        <w:pStyle w:val="6"/>
        <w:rPr>
          <w:rFonts w:hint="eastAsia"/>
          <w:color w:val="auto"/>
          <w:lang w:eastAsia="zh-CN"/>
        </w:rPr>
      </w:pPr>
    </w:p>
    <w:tbl>
      <w:tblPr>
        <w:tblStyle w:val="1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850"/>
        <w:gridCol w:w="5492"/>
      </w:tblGrid>
      <w:tr w14:paraId="6DDCF2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2850" w:type="dxa"/>
            <w:vAlign w:val="center"/>
          </w:tcPr>
          <w:p w14:paraId="04C3EC88">
            <w:pPr>
              <w:keepNext w:val="0"/>
              <w:keepLines w:val="0"/>
              <w:pageBreakBefore w:val="0"/>
              <w:widowControl/>
              <w:kinsoku/>
              <w:wordWrap/>
              <w:overflowPunct/>
              <w:topLinePunct w:val="0"/>
              <w:autoSpaceDE/>
              <w:autoSpaceDN/>
              <w:bidi w:val="0"/>
              <w:adjustRightInd w:val="0"/>
              <w:snapToGrid w:val="0"/>
              <w:spacing w:line="240" w:lineRule="auto"/>
              <w:ind w:firstLine="0"/>
              <w:textAlignment w:val="auto"/>
              <w:rPr>
                <w:rFonts w:hint="eastAsia" w:ascii="宋体" w:hAnsi="宋体" w:cs="Times New Roman"/>
                <w:color w:val="auto"/>
                <w:szCs w:val="21"/>
                <w:highlight w:val="none"/>
              </w:rPr>
            </w:pPr>
            <w:r>
              <w:rPr>
                <w:rFonts w:hint="eastAsia" w:ascii="宋体" w:hAnsi="宋体" w:cs="Times New Roman"/>
                <w:color w:val="auto"/>
                <w:szCs w:val="21"/>
                <w:highlight w:val="none"/>
              </w:rPr>
              <w:t>项目</w:t>
            </w:r>
          </w:p>
        </w:tc>
        <w:tc>
          <w:tcPr>
            <w:tcW w:w="5492" w:type="dxa"/>
            <w:vAlign w:val="center"/>
          </w:tcPr>
          <w:p w14:paraId="3FF4482B">
            <w:pPr>
              <w:keepNext w:val="0"/>
              <w:keepLines w:val="0"/>
              <w:pageBreakBefore w:val="0"/>
              <w:widowControl/>
              <w:kinsoku/>
              <w:wordWrap/>
              <w:overflowPunct/>
              <w:topLinePunct w:val="0"/>
              <w:autoSpaceDE/>
              <w:autoSpaceDN/>
              <w:bidi w:val="0"/>
              <w:adjustRightInd w:val="0"/>
              <w:snapToGrid w:val="0"/>
              <w:spacing w:line="240" w:lineRule="auto"/>
              <w:ind w:firstLine="0"/>
              <w:textAlignment w:val="auto"/>
              <w:rPr>
                <w:rFonts w:hint="eastAsia" w:ascii="宋体" w:hAnsi="宋体" w:cs="Times New Roman"/>
                <w:color w:val="auto"/>
                <w:szCs w:val="21"/>
                <w:highlight w:val="none"/>
              </w:rPr>
            </w:pPr>
            <w:r>
              <w:rPr>
                <w:rFonts w:hint="eastAsia" w:ascii="宋体" w:hAnsi="宋体" w:cs="Times New Roman"/>
                <w:color w:val="auto"/>
                <w:szCs w:val="21"/>
                <w:highlight w:val="none"/>
              </w:rPr>
              <w:t>停车场位置</w:t>
            </w:r>
          </w:p>
        </w:tc>
      </w:tr>
      <w:tr w14:paraId="0F5A5A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2850" w:type="dxa"/>
            <w:vAlign w:val="center"/>
          </w:tcPr>
          <w:p w14:paraId="5D7CF68E">
            <w:pPr>
              <w:keepNext w:val="0"/>
              <w:keepLines w:val="0"/>
              <w:pageBreakBefore w:val="0"/>
              <w:widowControl/>
              <w:kinsoku/>
              <w:wordWrap/>
              <w:overflowPunct/>
              <w:topLinePunct w:val="0"/>
              <w:autoSpaceDE/>
              <w:autoSpaceDN/>
              <w:bidi w:val="0"/>
              <w:adjustRightInd w:val="0"/>
              <w:snapToGrid w:val="0"/>
              <w:spacing w:line="240" w:lineRule="auto"/>
              <w:ind w:firstLine="0"/>
              <w:textAlignment w:val="auto"/>
              <w:rPr>
                <w:rFonts w:hint="eastAsia" w:ascii="宋体" w:hAnsi="宋体" w:cs="Times New Roman"/>
                <w:color w:val="auto"/>
                <w:szCs w:val="21"/>
                <w:highlight w:val="none"/>
              </w:rPr>
            </w:pPr>
            <w:r>
              <w:rPr>
                <w:rFonts w:hint="eastAsia" w:ascii="宋体" w:hAnsi="宋体" w:cs="Times New Roman"/>
                <w:color w:val="auto"/>
                <w:szCs w:val="21"/>
                <w:highlight w:val="none"/>
              </w:rPr>
              <w:t>麻涌餐厨项目</w:t>
            </w:r>
          </w:p>
        </w:tc>
        <w:tc>
          <w:tcPr>
            <w:tcW w:w="5492" w:type="dxa"/>
            <w:vAlign w:val="center"/>
          </w:tcPr>
          <w:p w14:paraId="58120EF1">
            <w:pPr>
              <w:keepNext w:val="0"/>
              <w:keepLines w:val="0"/>
              <w:pageBreakBefore w:val="0"/>
              <w:widowControl/>
              <w:kinsoku/>
              <w:wordWrap/>
              <w:overflowPunct/>
              <w:topLinePunct w:val="0"/>
              <w:autoSpaceDE/>
              <w:autoSpaceDN/>
              <w:bidi w:val="0"/>
              <w:adjustRightInd w:val="0"/>
              <w:snapToGrid w:val="0"/>
              <w:spacing w:line="240" w:lineRule="auto"/>
              <w:ind w:firstLine="0"/>
              <w:textAlignment w:val="auto"/>
              <w:rPr>
                <w:rFonts w:hint="eastAsia" w:ascii="宋体" w:hAnsi="宋体" w:cs="Times New Roman"/>
                <w:color w:val="auto"/>
                <w:szCs w:val="21"/>
                <w:highlight w:val="none"/>
              </w:rPr>
            </w:pPr>
            <w:r>
              <w:rPr>
                <w:rFonts w:hint="eastAsia" w:ascii="宋体" w:hAnsi="宋体" w:cs="Times New Roman"/>
                <w:color w:val="auto"/>
                <w:szCs w:val="21"/>
                <w:highlight w:val="none"/>
              </w:rPr>
              <w:t>东莞市麻涌镇大步村海心沙岛海心沙路1号</w:t>
            </w:r>
          </w:p>
        </w:tc>
      </w:tr>
    </w:tbl>
    <w:p w14:paraId="617DCFC0">
      <w:pPr>
        <w:rPr>
          <w:rFonts w:hint="eastAsia" w:ascii="宋体" w:hAnsi="宋体" w:cs="Times New Roman"/>
          <w:b/>
          <w:bCs/>
          <w:color w:val="auto"/>
          <w:szCs w:val="21"/>
          <w:highlight w:val="none"/>
        </w:rPr>
      </w:pPr>
    </w:p>
    <w:p w14:paraId="3F06B28E">
      <w:pPr>
        <w:rPr>
          <w:rFonts w:hint="eastAsia" w:ascii="宋体" w:hAnsi="宋体" w:cs="Times New Roman"/>
          <w:b/>
          <w:bCs/>
          <w:color w:val="auto"/>
          <w:szCs w:val="21"/>
          <w:highlight w:val="none"/>
        </w:rPr>
      </w:pPr>
      <w:r>
        <w:rPr>
          <w:rFonts w:hint="eastAsia" w:ascii="宋体" w:hAnsi="宋体" w:cs="Times New Roman"/>
          <w:b/>
          <w:bCs/>
          <w:color w:val="auto"/>
          <w:szCs w:val="21"/>
          <w:highlight w:val="none"/>
        </w:rPr>
        <w:t>★</w:t>
      </w:r>
      <w:r>
        <w:rPr>
          <w:rFonts w:hint="eastAsia" w:ascii="宋体" w:hAnsi="宋体" w:cs="Times New Roman"/>
          <w:b/>
          <w:bCs/>
          <w:color w:val="auto"/>
          <w:szCs w:val="21"/>
          <w:highlight w:val="none"/>
          <w:lang w:val="en-US" w:eastAsia="zh-CN"/>
        </w:rPr>
        <w:t>四</w:t>
      </w:r>
      <w:r>
        <w:rPr>
          <w:rFonts w:hint="eastAsia" w:ascii="宋体" w:hAnsi="宋体" w:cs="Times New Roman"/>
          <w:b/>
          <w:bCs/>
          <w:color w:val="auto"/>
          <w:szCs w:val="21"/>
          <w:highlight w:val="none"/>
        </w:rPr>
        <w:t>、</w:t>
      </w:r>
      <w:r>
        <w:rPr>
          <w:rFonts w:hint="eastAsia" w:ascii="宋体" w:hAnsi="宋体" w:cs="Times New Roman"/>
          <w:b/>
          <w:bCs/>
          <w:color w:val="auto"/>
          <w:szCs w:val="21"/>
          <w:highlight w:val="none"/>
          <w:lang w:val="en-US" w:eastAsia="zh-CN"/>
        </w:rPr>
        <w:t>人员</w:t>
      </w:r>
      <w:r>
        <w:rPr>
          <w:rFonts w:hint="eastAsia" w:ascii="宋体" w:hAnsi="宋体" w:cs="Times New Roman"/>
          <w:b/>
          <w:bCs/>
          <w:color w:val="auto"/>
          <w:szCs w:val="21"/>
          <w:highlight w:val="none"/>
        </w:rPr>
        <w:t>要求</w:t>
      </w:r>
    </w:p>
    <w:p w14:paraId="3895ACAC">
      <w:pPr>
        <w:ind w:firstLine="420"/>
        <w:rPr>
          <w:rFonts w:hint="eastAsia" w:ascii="宋体" w:hAnsi="宋体" w:cs="Times New Roman"/>
          <w:b/>
          <w:bCs/>
          <w:color w:val="auto"/>
          <w:szCs w:val="21"/>
          <w:highlight w:val="none"/>
          <w:lang w:val="en-US" w:eastAsia="zh-CN"/>
        </w:rPr>
      </w:pPr>
      <w:r>
        <w:rPr>
          <w:rFonts w:hint="eastAsia" w:ascii="宋体" w:hAnsi="宋体" w:cs="Times New Roman"/>
          <w:color w:val="auto"/>
          <w:szCs w:val="21"/>
          <w:highlight w:val="none"/>
        </w:rPr>
        <w:t>维修团队人员须不少于1名管理人员、1名文员、1名焊工（须具备焊工证）、1名技术人员。</w:t>
      </w:r>
      <w:r>
        <w:rPr>
          <w:rFonts w:hint="eastAsia" w:ascii="宋体" w:hAnsi="宋体" w:cs="Times New Roman"/>
          <w:b/>
          <w:bCs/>
          <w:color w:val="auto"/>
          <w:szCs w:val="21"/>
          <w:highlight w:val="none"/>
          <w:lang w:val="en-US" w:eastAsia="zh-CN"/>
        </w:rPr>
        <w:t>注：</w:t>
      </w:r>
      <w:r>
        <w:rPr>
          <w:rFonts w:hint="eastAsia" w:ascii="宋体" w:hAnsi="宋体" w:cs="Times New Roman"/>
          <w:b/>
          <w:bCs/>
          <w:color w:val="auto"/>
          <w:szCs w:val="21"/>
          <w:highlight w:val="none"/>
          <w:lang w:eastAsia="zh-CN"/>
        </w:rPr>
        <w:t>（</w:t>
      </w:r>
      <w:r>
        <w:rPr>
          <w:rFonts w:hint="eastAsia" w:ascii="宋体" w:hAnsi="宋体" w:cs="Times New Roman"/>
          <w:b/>
          <w:bCs/>
          <w:color w:val="auto"/>
          <w:szCs w:val="21"/>
          <w:highlight w:val="none"/>
          <w:lang w:val="en-US" w:eastAsia="zh-CN"/>
        </w:rPr>
        <w:t>投标人须提供承诺函加盖投标人公章）。</w:t>
      </w:r>
    </w:p>
    <w:p w14:paraId="4341A5C8">
      <w:pPr>
        <w:rPr>
          <w:rFonts w:hint="eastAsia" w:ascii="宋体" w:hAnsi="宋体" w:cs="Times New Roman"/>
          <w:color w:val="auto"/>
          <w:szCs w:val="21"/>
          <w:highlight w:val="none"/>
        </w:rPr>
      </w:pPr>
      <w:r>
        <w:rPr>
          <w:rFonts w:hint="eastAsia" w:ascii="宋体" w:hAnsi="宋体" w:cs="Times New Roman"/>
          <w:b/>
          <w:bCs/>
          <w:color w:val="auto"/>
          <w:szCs w:val="21"/>
          <w:highlight w:val="none"/>
          <w:lang w:val="en-US" w:eastAsia="zh-CN"/>
        </w:rPr>
        <w:t>五</w:t>
      </w:r>
      <w:r>
        <w:rPr>
          <w:rFonts w:hint="eastAsia" w:ascii="宋体" w:hAnsi="宋体" w:cs="Times New Roman"/>
          <w:b/>
          <w:bCs/>
          <w:color w:val="auto"/>
          <w:szCs w:val="21"/>
          <w:highlight w:val="none"/>
        </w:rPr>
        <w:t>、服务要求</w:t>
      </w:r>
    </w:p>
    <w:p w14:paraId="548FC76D">
      <w:pPr>
        <w:ind w:firstLine="420"/>
        <w:rPr>
          <w:rFonts w:hint="eastAsia" w:ascii="宋体" w:hAnsi="宋体" w:cs="Times New Roman"/>
          <w:color w:val="auto"/>
          <w:szCs w:val="21"/>
          <w:highlight w:val="none"/>
        </w:rPr>
      </w:pPr>
      <w:r>
        <w:rPr>
          <w:rFonts w:hint="eastAsia" w:ascii="宋体" w:hAnsi="宋体" w:cs="Times New Roman"/>
          <w:color w:val="auto"/>
          <w:szCs w:val="21"/>
          <w:highlight w:val="none"/>
        </w:rPr>
        <w:t>（一）维修工期要求</w:t>
      </w:r>
    </w:p>
    <w:p w14:paraId="000E7786">
      <w:pPr>
        <w:ind w:firstLine="420"/>
        <w:rPr>
          <w:rFonts w:hint="eastAsia" w:ascii="宋体" w:hAnsi="宋体" w:cs="Times New Roman"/>
          <w:color w:val="auto"/>
          <w:szCs w:val="21"/>
          <w:highlight w:val="none"/>
        </w:rPr>
      </w:pPr>
      <w:r>
        <w:rPr>
          <w:rFonts w:hint="eastAsia" w:ascii="宋体" w:hAnsi="宋体" w:cs="Times New Roman"/>
          <w:b/>
          <w:bCs/>
          <w:color w:val="auto"/>
          <w:szCs w:val="21"/>
          <w:highlight w:val="none"/>
        </w:rPr>
        <w:t>项目服务期内，成交人应在收到采购人维修保养服务需求后2小时内响应，并经双方确认为小修类维修保养的，紧急情况需24小时内完成，一般情况需3天内完成。经双方确认为大修类维修保养的5天内完成。</w:t>
      </w:r>
      <w:r>
        <w:rPr>
          <w:rFonts w:hint="eastAsia" w:ascii="宋体" w:hAnsi="宋体" w:cs="Times New Roman"/>
          <w:color w:val="auto"/>
          <w:szCs w:val="21"/>
          <w:highlight w:val="none"/>
        </w:rPr>
        <w:t>如双方认定不一致时，成交人应先行维修，维修结束后聘请第三方进行鉴定，鉴定费用由责任方承担（存在质量问题的，责任方为成交人，不存在质量问题的，责任方为采购人）。如果成交人不能在规定时限内完成维修并交车给采购人的，要提前与采购人联系，经采购人书面同意后，才能延长车辆维修时限。</w:t>
      </w:r>
    </w:p>
    <w:p w14:paraId="60431BD8">
      <w:pPr>
        <w:ind w:firstLine="420"/>
        <w:rPr>
          <w:rFonts w:hint="eastAsia" w:ascii="宋体" w:hAnsi="宋体" w:cs="Times New Roman"/>
          <w:color w:val="auto"/>
          <w:szCs w:val="21"/>
          <w:highlight w:val="none"/>
        </w:rPr>
      </w:pPr>
      <w:r>
        <w:rPr>
          <w:rFonts w:hint="eastAsia" w:ascii="宋体" w:hAnsi="宋体" w:cs="Times New Roman"/>
          <w:color w:val="auto"/>
          <w:szCs w:val="21"/>
          <w:highlight w:val="none"/>
        </w:rPr>
        <w:t>成交人须安排专人提供从接车到验车出厂的全过程服务。为采购人用车提供优先服务，确保在规定的时限内完成维修服务，保障采购人用车需要。</w:t>
      </w:r>
    </w:p>
    <w:p w14:paraId="2D8A0F18">
      <w:pPr>
        <w:ind w:firstLine="420"/>
        <w:rPr>
          <w:rFonts w:hint="eastAsia" w:ascii="宋体" w:hAnsi="宋体" w:cs="Times New Roman"/>
          <w:color w:val="auto"/>
          <w:szCs w:val="21"/>
          <w:highlight w:val="none"/>
        </w:rPr>
      </w:pPr>
      <w:r>
        <w:rPr>
          <w:rFonts w:hint="eastAsia" w:ascii="宋体" w:hAnsi="宋体" w:cs="Times New Roman"/>
          <w:color w:val="auto"/>
          <w:szCs w:val="21"/>
          <w:highlight w:val="none"/>
        </w:rPr>
        <w:t>（二）上门简易维修及其他服务</w:t>
      </w:r>
    </w:p>
    <w:p w14:paraId="3ADDC0B1">
      <w:pPr>
        <w:ind w:firstLine="420"/>
        <w:rPr>
          <w:rFonts w:hint="eastAsia" w:ascii="宋体" w:hAnsi="宋体" w:cs="Times New Roman"/>
          <w:b/>
          <w:bCs/>
          <w:color w:val="auto"/>
          <w:szCs w:val="21"/>
          <w:highlight w:val="none"/>
        </w:rPr>
      </w:pPr>
      <w:r>
        <w:rPr>
          <w:rFonts w:hint="eastAsia" w:ascii="宋体" w:hAnsi="宋体" w:cs="Times New Roman"/>
          <w:b/>
          <w:bCs/>
          <w:color w:val="auto"/>
          <w:szCs w:val="21"/>
          <w:highlight w:val="none"/>
        </w:rPr>
        <w:t>1.所有简易配件更换的项目提供免费上门维修服务。</w:t>
      </w:r>
    </w:p>
    <w:p w14:paraId="6D5A669E">
      <w:pPr>
        <w:ind w:firstLine="420"/>
        <w:rPr>
          <w:rFonts w:hint="eastAsia" w:ascii="宋体" w:hAnsi="宋体" w:eastAsia="宋体" w:cs="Times New Roman"/>
          <w:b/>
          <w:bCs/>
          <w:color w:val="auto"/>
          <w:szCs w:val="21"/>
          <w:highlight w:val="none"/>
          <w:lang w:eastAsia="zh-CN"/>
        </w:rPr>
      </w:pPr>
      <w:r>
        <w:rPr>
          <w:rFonts w:hint="eastAsia" w:ascii="宋体" w:hAnsi="宋体" w:cs="Times New Roman"/>
          <w:b/>
          <w:bCs/>
          <w:color w:val="auto"/>
          <w:szCs w:val="21"/>
          <w:highlight w:val="none"/>
        </w:rPr>
        <w:t>2.所有维护、保养、机修项目车辆设备如须到成交人指定地点维修的，</w:t>
      </w:r>
      <w:bookmarkStart w:id="26" w:name="OLE_LINK3"/>
      <w:r>
        <w:rPr>
          <w:rFonts w:hint="eastAsia" w:ascii="宋体" w:hAnsi="宋体" w:cs="Times New Roman"/>
          <w:b/>
          <w:bCs/>
          <w:color w:val="auto"/>
          <w:szCs w:val="21"/>
          <w:highlight w:val="none"/>
        </w:rPr>
        <w:t>由成交人负责安排持有与待维修车辆相适应驾驶资质的司机将车辆驾驶至维修点。</w:t>
      </w:r>
      <w:r>
        <w:rPr>
          <w:rFonts w:hint="eastAsia" w:ascii="宋体" w:hAnsi="宋体" w:cs="Times New Roman"/>
          <w:b/>
          <w:bCs/>
          <w:color w:val="auto"/>
          <w:szCs w:val="21"/>
          <w:highlight w:val="none"/>
          <w:lang w:val="en-US" w:eastAsia="zh-CN"/>
        </w:rPr>
        <w:t>成交人</w:t>
      </w:r>
      <w:r>
        <w:rPr>
          <w:rFonts w:hint="eastAsia" w:ascii="宋体" w:hAnsi="宋体" w:cs="Times New Roman"/>
          <w:b/>
          <w:bCs/>
          <w:color w:val="auto"/>
          <w:szCs w:val="21"/>
          <w:highlight w:val="none"/>
        </w:rPr>
        <w:t>维修点需为</w:t>
      </w:r>
      <w:r>
        <w:rPr>
          <w:rFonts w:hint="eastAsia" w:ascii="宋体" w:hAnsi="宋体" w:cs="Times New Roman"/>
          <w:b/>
          <w:bCs/>
          <w:color w:val="auto"/>
          <w:szCs w:val="21"/>
          <w:highlight w:val="none"/>
          <w:lang w:val="en-US" w:eastAsia="zh-CN"/>
        </w:rPr>
        <w:t>成交人</w:t>
      </w:r>
      <w:r>
        <w:rPr>
          <w:rFonts w:hint="eastAsia" w:ascii="宋体" w:hAnsi="宋体" w:cs="Times New Roman"/>
          <w:b/>
          <w:bCs/>
          <w:color w:val="auto"/>
          <w:szCs w:val="21"/>
          <w:highlight w:val="none"/>
        </w:rPr>
        <w:t>独立经营场所</w:t>
      </w:r>
      <w:r>
        <w:rPr>
          <w:rFonts w:hint="eastAsia" w:ascii="宋体" w:hAnsi="宋体" w:cs="Times New Roman"/>
          <w:b/>
          <w:bCs/>
          <w:color w:val="auto"/>
          <w:szCs w:val="21"/>
          <w:highlight w:val="none"/>
          <w:lang w:eastAsia="zh-CN"/>
        </w:rPr>
        <w:t>。</w:t>
      </w:r>
    </w:p>
    <w:bookmarkEnd w:id="26"/>
    <w:p w14:paraId="50DDC449">
      <w:pPr>
        <w:ind w:firstLine="420"/>
        <w:rPr>
          <w:rFonts w:hint="eastAsia" w:ascii="宋体" w:hAnsi="宋体" w:cs="Times New Roman"/>
          <w:color w:val="auto"/>
          <w:szCs w:val="21"/>
          <w:highlight w:val="none"/>
        </w:rPr>
      </w:pPr>
      <w:r>
        <w:rPr>
          <w:rFonts w:hint="eastAsia" w:ascii="宋体" w:hAnsi="宋体" w:cs="Times New Roman"/>
          <w:color w:val="auto"/>
          <w:szCs w:val="21"/>
          <w:highlight w:val="none"/>
        </w:rPr>
        <w:t>3.服务费用包含上门服务、外出抢修。</w:t>
      </w:r>
    </w:p>
    <w:p w14:paraId="639B3EEC">
      <w:pPr>
        <w:ind w:firstLine="420"/>
        <w:rPr>
          <w:rFonts w:hint="eastAsia" w:ascii="宋体" w:hAnsi="宋体" w:cs="Times New Roman"/>
          <w:color w:val="auto"/>
          <w:szCs w:val="21"/>
          <w:highlight w:val="none"/>
        </w:rPr>
      </w:pPr>
      <w:r>
        <w:rPr>
          <w:rFonts w:hint="eastAsia" w:ascii="宋体" w:hAnsi="宋体" w:cs="Times New Roman"/>
          <w:color w:val="auto"/>
          <w:szCs w:val="21"/>
          <w:highlight w:val="none"/>
        </w:rPr>
        <w:t>4.成交人还需提供电话预约、急修快修、24小时救援服务、拖车等服务。</w:t>
      </w:r>
    </w:p>
    <w:p w14:paraId="1B5C2170">
      <w:pPr>
        <w:ind w:firstLine="420"/>
        <w:rPr>
          <w:rFonts w:hint="eastAsia" w:ascii="宋体" w:hAnsi="宋体" w:cs="Times New Roman"/>
          <w:color w:val="auto"/>
          <w:szCs w:val="21"/>
          <w:highlight w:val="none"/>
        </w:rPr>
      </w:pPr>
      <w:r>
        <w:rPr>
          <w:rFonts w:hint="eastAsia" w:ascii="宋体" w:hAnsi="宋体" w:cs="Times New Roman"/>
          <w:color w:val="auto"/>
          <w:szCs w:val="21"/>
          <w:highlight w:val="none"/>
        </w:rPr>
        <w:t>5.收到采购人车辆申报故障，故障在服务范围内的，成交人应在</w:t>
      </w:r>
      <w:r>
        <w:rPr>
          <w:rFonts w:hint="eastAsia" w:ascii="宋体" w:hAnsi="宋体" w:cs="Times New Roman"/>
          <w:color w:val="auto"/>
          <w:szCs w:val="21"/>
          <w:highlight w:val="none"/>
          <w:lang w:val="en-US" w:eastAsia="zh-CN"/>
        </w:rPr>
        <w:t>2</w:t>
      </w:r>
      <w:r>
        <w:rPr>
          <w:rFonts w:hint="eastAsia" w:ascii="宋体" w:hAnsi="宋体" w:cs="Times New Roman"/>
          <w:color w:val="auto"/>
          <w:szCs w:val="21"/>
          <w:highlight w:val="none"/>
        </w:rPr>
        <w:t>小时内赶到故障现场进行救援，24小时拖车服务以及接送维修服务。</w:t>
      </w:r>
    </w:p>
    <w:p w14:paraId="1B893498">
      <w:pPr>
        <w:ind w:firstLine="420"/>
        <w:rPr>
          <w:rFonts w:hint="eastAsia" w:ascii="宋体" w:hAnsi="宋体" w:cs="Times New Roman"/>
          <w:color w:val="auto"/>
          <w:szCs w:val="21"/>
          <w:highlight w:val="none"/>
        </w:rPr>
      </w:pPr>
      <w:r>
        <w:rPr>
          <w:rFonts w:hint="eastAsia" w:ascii="宋体" w:hAnsi="宋体" w:cs="Times New Roman"/>
          <w:color w:val="auto"/>
          <w:szCs w:val="21"/>
          <w:highlight w:val="none"/>
        </w:rPr>
        <w:t>（三）维修要求及流程</w:t>
      </w:r>
    </w:p>
    <w:p w14:paraId="4FC9F24D">
      <w:pPr>
        <w:ind w:firstLine="420"/>
        <w:rPr>
          <w:rFonts w:hint="eastAsia" w:ascii="宋体" w:hAnsi="宋体" w:cs="Times New Roman"/>
          <w:color w:val="auto"/>
          <w:szCs w:val="21"/>
          <w:highlight w:val="none"/>
        </w:rPr>
      </w:pPr>
      <w:r>
        <w:rPr>
          <w:rFonts w:hint="eastAsia" w:ascii="宋体" w:hAnsi="宋体" w:cs="Times New Roman"/>
          <w:color w:val="auto"/>
          <w:szCs w:val="21"/>
          <w:highlight w:val="none"/>
        </w:rPr>
        <w:t>1.当汽车出现故障时，成交人检验人员必须</w:t>
      </w:r>
      <w:r>
        <w:rPr>
          <w:rFonts w:hint="eastAsia" w:ascii="宋体" w:hAnsi="宋体" w:cs="Times New Roman"/>
          <w:color w:val="auto"/>
          <w:szCs w:val="21"/>
          <w:highlight w:val="none"/>
          <w:lang w:val="en-US" w:eastAsia="zh-CN"/>
        </w:rPr>
        <w:t>到</w:t>
      </w:r>
      <w:r>
        <w:rPr>
          <w:rFonts w:hint="eastAsia" w:ascii="宋体" w:hAnsi="宋体" w:cs="Times New Roman"/>
          <w:color w:val="auto"/>
          <w:szCs w:val="21"/>
          <w:highlight w:val="none"/>
        </w:rPr>
        <w:t>现场对车辆进行诊断，初步确定维修项目，并要充分征求采购人的意见，而后提供完整的维修清单、维修建议至采购人，采购人审核无误后通知成交人可开始进行维修。</w:t>
      </w:r>
    </w:p>
    <w:p w14:paraId="068A6341">
      <w:pPr>
        <w:ind w:firstLine="420"/>
        <w:rPr>
          <w:rFonts w:hint="eastAsia" w:ascii="宋体" w:hAnsi="宋体" w:cs="Times New Roman"/>
          <w:color w:val="auto"/>
          <w:szCs w:val="21"/>
          <w:highlight w:val="none"/>
        </w:rPr>
      </w:pPr>
      <w:r>
        <w:rPr>
          <w:rFonts w:hint="eastAsia" w:ascii="宋体" w:hAnsi="宋体" w:cs="Times New Roman"/>
          <w:color w:val="auto"/>
          <w:szCs w:val="21"/>
          <w:highlight w:val="none"/>
        </w:rPr>
        <w:t>2.成交人在制作估价单后，应详细向采购人说明维修的项目、作业的内容、配件的来源渠道及价格、维修时间和维修费用。</w:t>
      </w:r>
    </w:p>
    <w:p w14:paraId="1C4EC3E6">
      <w:pPr>
        <w:ind w:firstLine="420"/>
        <w:rPr>
          <w:rFonts w:hint="eastAsia" w:ascii="宋体" w:hAnsi="宋体" w:cs="Times New Roman"/>
          <w:b/>
          <w:bCs/>
          <w:color w:val="auto"/>
          <w:szCs w:val="21"/>
          <w:highlight w:val="none"/>
        </w:rPr>
      </w:pPr>
      <w:r>
        <w:rPr>
          <w:rFonts w:hint="eastAsia" w:ascii="宋体" w:hAnsi="宋体" w:cs="Times New Roman"/>
          <w:color w:val="auto"/>
          <w:szCs w:val="21"/>
          <w:highlight w:val="none"/>
        </w:rPr>
        <w:t>3.每次车辆维修项目和维修费用（工时费和配件费）必须由采购人签名或盖章认可。成交人应编制维修项目明细表，确保采购人对维修内容及其细节的知情权。</w:t>
      </w:r>
      <w:r>
        <w:rPr>
          <w:rFonts w:hint="eastAsia" w:ascii="宋体" w:hAnsi="宋体" w:cs="Times New Roman"/>
          <w:b/>
          <w:bCs/>
          <w:color w:val="auto"/>
          <w:szCs w:val="21"/>
          <w:highlight w:val="none"/>
        </w:rPr>
        <w:t>维护、保养及小修报修从检测到确认维修方案，成交人须在2小时内完成相应维修单等资料并报送给采购人，大修报修从检测到确认维修方案，成交人须在24小时内完成相应维修单等资料并报送给采购人。</w:t>
      </w:r>
    </w:p>
    <w:p w14:paraId="0475F790">
      <w:pPr>
        <w:ind w:firstLine="420"/>
        <w:rPr>
          <w:rFonts w:hint="eastAsia" w:ascii="宋体" w:hAnsi="宋体" w:cs="Times New Roman"/>
          <w:color w:val="auto"/>
          <w:szCs w:val="21"/>
          <w:highlight w:val="none"/>
        </w:rPr>
      </w:pPr>
      <w:r>
        <w:rPr>
          <w:rFonts w:hint="eastAsia" w:ascii="宋体" w:hAnsi="宋体" w:cs="Times New Roman"/>
          <w:color w:val="auto"/>
          <w:szCs w:val="21"/>
          <w:highlight w:val="none"/>
        </w:rPr>
        <w:t>4.送修车辆时，</w:t>
      </w:r>
      <w:bookmarkStart w:id="27" w:name="OLE_LINK4"/>
      <w:r>
        <w:rPr>
          <w:rFonts w:hint="eastAsia" w:ascii="宋体" w:hAnsi="宋体" w:cs="Times New Roman"/>
          <w:color w:val="auto"/>
          <w:szCs w:val="21"/>
          <w:highlight w:val="none"/>
        </w:rPr>
        <w:t>成交人</w:t>
      </w:r>
      <w:bookmarkEnd w:id="27"/>
      <w:r>
        <w:rPr>
          <w:rFonts w:hint="eastAsia" w:ascii="宋体" w:hAnsi="宋体" w:cs="Times New Roman"/>
          <w:color w:val="auto"/>
          <w:szCs w:val="21"/>
          <w:highlight w:val="none"/>
        </w:rPr>
        <w:t>根据“送修单”上填写的拟维修项目对送修车辆进行检测、拟定维修方案和计价，未征得采购人经办人书面同意和认可，不得擅自更改维修项目。成交人应充分考虑车况、部位、安全、经费等因素，向采购人经办人提出合理的维修方案，由采购人经办人书面确认。</w:t>
      </w:r>
    </w:p>
    <w:p w14:paraId="56E8A222">
      <w:pPr>
        <w:ind w:firstLine="420"/>
        <w:rPr>
          <w:rFonts w:hint="eastAsia" w:ascii="宋体" w:hAnsi="宋体" w:cs="Times New Roman"/>
          <w:color w:val="auto"/>
          <w:szCs w:val="21"/>
          <w:highlight w:val="none"/>
        </w:rPr>
      </w:pPr>
      <w:r>
        <w:rPr>
          <w:rFonts w:hint="eastAsia" w:ascii="宋体" w:hAnsi="宋体" w:cs="Times New Roman"/>
          <w:color w:val="auto"/>
          <w:szCs w:val="21"/>
          <w:highlight w:val="none"/>
        </w:rPr>
        <w:t>5.</w:t>
      </w:r>
      <w:r>
        <w:rPr>
          <w:rFonts w:hint="default" w:ascii="宋体" w:hAnsi="宋体" w:cs="Times New Roman"/>
          <w:color w:val="auto"/>
          <w:szCs w:val="21"/>
          <w:highlight w:val="none"/>
          <w:lang w:val="en-US"/>
        </w:rPr>
        <w:t>工作单</w:t>
      </w:r>
      <w:r>
        <w:rPr>
          <w:rFonts w:hint="eastAsia" w:ascii="宋体" w:hAnsi="宋体" w:cs="Times New Roman"/>
          <w:color w:val="auto"/>
          <w:szCs w:val="21"/>
          <w:highlight w:val="none"/>
        </w:rPr>
        <w:t>上没有的项目，在维修过程中发现某些项目是必须追加的，成交人维修人员应立即告知调度或技术负责人，确认后，在维修前及时反馈给采购人，征得采购人书面同意，方能增加费用开始</w:t>
      </w:r>
      <w:r>
        <w:rPr>
          <w:rFonts w:hint="eastAsia" w:ascii="宋体" w:hAnsi="宋体" w:cs="Times New Roman"/>
          <w:color w:val="auto"/>
          <w:szCs w:val="21"/>
          <w:highlight w:val="none"/>
          <w:lang w:val="en-US" w:eastAsia="zh-CN"/>
        </w:rPr>
        <w:t>维修</w:t>
      </w:r>
      <w:r>
        <w:rPr>
          <w:rFonts w:hint="eastAsia" w:ascii="宋体" w:hAnsi="宋体" w:cs="Times New Roman"/>
          <w:color w:val="auto"/>
          <w:szCs w:val="21"/>
          <w:highlight w:val="none"/>
        </w:rPr>
        <w:t>，并同时要追加工作单或在原工作单上补项。</w:t>
      </w:r>
    </w:p>
    <w:p w14:paraId="6B0E79D4">
      <w:pPr>
        <w:ind w:firstLine="420"/>
        <w:rPr>
          <w:rFonts w:hint="eastAsia" w:ascii="宋体" w:hAnsi="宋体" w:cs="Times New Roman"/>
          <w:color w:val="auto"/>
          <w:szCs w:val="21"/>
          <w:highlight w:val="none"/>
        </w:rPr>
      </w:pPr>
      <w:r>
        <w:rPr>
          <w:rFonts w:hint="eastAsia" w:ascii="宋体" w:hAnsi="宋体" w:cs="Times New Roman"/>
          <w:color w:val="auto"/>
          <w:szCs w:val="21"/>
          <w:highlight w:val="none"/>
        </w:rPr>
        <w:t>6.维修人员更换配件时，应以新件换取旧件，并向采购人明确该新件是原厂件还是副厂件，同时旧件应交库房保存，车辆竣工出厂后，旧件应归还采购人。</w:t>
      </w:r>
    </w:p>
    <w:p w14:paraId="282228C4">
      <w:pPr>
        <w:ind w:firstLine="420"/>
        <w:rPr>
          <w:rFonts w:hint="eastAsia" w:ascii="宋体" w:hAnsi="宋体" w:cs="Times New Roman"/>
          <w:color w:val="auto"/>
          <w:szCs w:val="21"/>
          <w:highlight w:val="none"/>
        </w:rPr>
      </w:pPr>
      <w:r>
        <w:rPr>
          <w:rFonts w:hint="eastAsia" w:ascii="宋体" w:hAnsi="宋体" w:cs="Times New Roman"/>
          <w:color w:val="auto"/>
          <w:szCs w:val="21"/>
          <w:highlight w:val="none"/>
        </w:rPr>
        <w:t>7.车辆维修竣工出厂执行质量保证期制度，不能低于中华人民共和国运输部最新修订的《机动车维修管理规定》规定的标准</w:t>
      </w:r>
      <w:r>
        <w:rPr>
          <w:rFonts w:hint="eastAsia" w:ascii="宋体" w:hAnsi="宋体" w:cs="Times New Roman"/>
          <w:color w:val="auto"/>
          <w:szCs w:val="21"/>
          <w:highlight w:val="none"/>
          <w:lang w:eastAsia="zh-CN"/>
        </w:rPr>
        <w:t>。</w:t>
      </w:r>
    </w:p>
    <w:p w14:paraId="2DED35EA">
      <w:pPr>
        <w:ind w:firstLine="420"/>
        <w:rPr>
          <w:rFonts w:hint="eastAsia" w:ascii="宋体" w:hAnsi="宋体" w:cs="Times New Roman"/>
          <w:color w:val="auto"/>
          <w:szCs w:val="21"/>
          <w:highlight w:val="none"/>
        </w:rPr>
      </w:pPr>
      <w:r>
        <w:rPr>
          <w:rFonts w:hint="eastAsia" w:ascii="宋体" w:hAnsi="宋体" w:cs="Times New Roman"/>
          <w:color w:val="auto"/>
          <w:szCs w:val="21"/>
          <w:highlight w:val="none"/>
        </w:rPr>
        <w:t>8.在</w:t>
      </w:r>
      <w:bookmarkStart w:id="28" w:name="OLE_LINK5"/>
      <w:r>
        <w:rPr>
          <w:rFonts w:hint="eastAsia" w:ascii="宋体" w:hAnsi="宋体" w:cs="Times New Roman"/>
          <w:color w:val="auto"/>
          <w:szCs w:val="21"/>
          <w:highlight w:val="none"/>
        </w:rPr>
        <w:t>质量保证期</w:t>
      </w:r>
      <w:bookmarkEnd w:id="28"/>
      <w:r>
        <w:rPr>
          <w:rFonts w:hint="eastAsia" w:ascii="宋体" w:hAnsi="宋体" w:cs="Times New Roman"/>
          <w:color w:val="auto"/>
          <w:szCs w:val="21"/>
          <w:highlight w:val="none"/>
        </w:rPr>
        <w:t>内，因维修质量或保养后的技术和油品等问题造成车辆故障或损坏的，</w:t>
      </w:r>
      <w:r>
        <w:rPr>
          <w:rFonts w:hint="eastAsia" w:ascii="宋体" w:hAnsi="宋体" w:cs="Times New Roman"/>
          <w:color w:val="auto"/>
          <w:szCs w:val="21"/>
          <w:highlight w:val="none"/>
          <w:lang w:val="en-US" w:eastAsia="zh-CN"/>
        </w:rPr>
        <w:t>成交人</w:t>
      </w:r>
      <w:r>
        <w:rPr>
          <w:rFonts w:hint="eastAsia" w:ascii="宋体" w:hAnsi="宋体" w:cs="Times New Roman"/>
          <w:color w:val="auto"/>
          <w:szCs w:val="21"/>
          <w:highlight w:val="none"/>
        </w:rPr>
        <w:t>应负责及时返修，返修不重新</w:t>
      </w:r>
      <w:r>
        <w:rPr>
          <w:rFonts w:hint="eastAsia" w:ascii="宋体" w:hAnsi="宋体" w:cs="Times New Roman"/>
          <w:color w:val="auto"/>
          <w:szCs w:val="21"/>
          <w:highlight w:val="none"/>
          <w:lang w:val="en-US" w:eastAsia="zh-CN"/>
        </w:rPr>
        <w:t>计</w:t>
      </w:r>
      <w:r>
        <w:rPr>
          <w:rFonts w:hint="eastAsia" w:ascii="宋体" w:hAnsi="宋体" w:cs="Times New Roman"/>
          <w:color w:val="auto"/>
          <w:szCs w:val="21"/>
          <w:highlight w:val="none"/>
        </w:rPr>
        <w:t>取维修费用；由于维修质量或保养后的技术和油品等问题造成的车辆异常损坏或车辆机件事故的，由成交人负责修理并承担相关的费用。</w:t>
      </w:r>
    </w:p>
    <w:p w14:paraId="412848D9">
      <w:pPr>
        <w:ind w:firstLine="420"/>
        <w:rPr>
          <w:rFonts w:hint="eastAsia" w:ascii="宋体" w:hAnsi="宋体" w:cs="Times New Roman"/>
          <w:color w:val="auto"/>
          <w:szCs w:val="21"/>
          <w:highlight w:val="none"/>
        </w:rPr>
      </w:pPr>
      <w:r>
        <w:rPr>
          <w:rFonts w:hint="eastAsia" w:ascii="宋体" w:hAnsi="宋体" w:cs="Times New Roman"/>
          <w:color w:val="auto"/>
          <w:szCs w:val="21"/>
          <w:highlight w:val="none"/>
        </w:rPr>
        <w:t>9.成交人不得以任何借口动用维修车辆，未经采购人书面允许不得将车开出维修厂试车或作</w:t>
      </w:r>
      <w:r>
        <w:rPr>
          <w:rFonts w:hint="default" w:ascii="宋体" w:hAnsi="宋体" w:cs="Times New Roman"/>
          <w:color w:val="auto"/>
          <w:szCs w:val="21"/>
          <w:highlight w:val="none"/>
          <w:lang w:val="en-US"/>
        </w:rPr>
        <w:t>它用</w:t>
      </w:r>
      <w:r>
        <w:rPr>
          <w:rFonts w:hint="eastAsia" w:ascii="宋体" w:hAnsi="宋体" w:cs="Times New Roman"/>
          <w:color w:val="auto"/>
          <w:szCs w:val="21"/>
          <w:highlight w:val="none"/>
        </w:rPr>
        <w:t>。</w:t>
      </w:r>
    </w:p>
    <w:p w14:paraId="0FD49DAB">
      <w:pPr>
        <w:ind w:firstLine="420"/>
        <w:rPr>
          <w:rFonts w:hint="eastAsia" w:ascii="宋体" w:hAnsi="宋体" w:cs="Times New Roman"/>
          <w:color w:val="auto"/>
          <w:szCs w:val="21"/>
          <w:highlight w:val="none"/>
        </w:rPr>
      </w:pPr>
      <w:r>
        <w:rPr>
          <w:rFonts w:hint="eastAsia" w:ascii="宋体" w:hAnsi="宋体" w:cs="Times New Roman"/>
          <w:color w:val="auto"/>
          <w:szCs w:val="21"/>
          <w:highlight w:val="none"/>
        </w:rPr>
        <w:t>10.成交人必须服从有关部门的监督、管理；成交人应对采购人车辆维修信息进行保密，不得将其资料外泄。</w:t>
      </w:r>
    </w:p>
    <w:p w14:paraId="4115C6F4">
      <w:pPr>
        <w:ind w:firstLine="420"/>
        <w:rPr>
          <w:rFonts w:hint="eastAsia" w:ascii="宋体" w:hAnsi="宋体" w:cs="Times New Roman"/>
          <w:color w:val="auto"/>
          <w:szCs w:val="21"/>
          <w:highlight w:val="none"/>
        </w:rPr>
      </w:pPr>
      <w:r>
        <w:rPr>
          <w:rFonts w:hint="eastAsia" w:ascii="宋体" w:hAnsi="宋体" w:cs="Times New Roman"/>
          <w:color w:val="auto"/>
          <w:szCs w:val="21"/>
          <w:highlight w:val="none"/>
        </w:rPr>
        <w:t>11.成交人必须对采购人车辆维修实行计算机专车专修管理。成交人必须通过计算机对采购人车辆基本情况、技术档案、维修档案、汽车配件材料、计费结算等分车建档管理。车辆维修档案应当包括：维修合同（托修单）、维修项目、维修人员及维修结算清单等。对车辆进行二级维护、总成修理、整车修理的，维修档案还应当包括：质量检验单、质量检验人员等。成交人根据采购人要求，提供车辆档案。此外，成交人必须严格履行保密义务，不得向任何第三方提供上述档案资料。</w:t>
      </w:r>
    </w:p>
    <w:p w14:paraId="4691173E">
      <w:pPr>
        <w:ind w:firstLine="420"/>
        <w:rPr>
          <w:rFonts w:hint="eastAsia" w:ascii="宋体" w:hAnsi="宋体" w:cs="Times New Roman"/>
          <w:color w:val="auto"/>
          <w:szCs w:val="21"/>
          <w:highlight w:val="none"/>
        </w:rPr>
      </w:pPr>
      <w:r>
        <w:rPr>
          <w:rFonts w:hint="eastAsia" w:ascii="宋体" w:hAnsi="宋体" w:cs="Times New Roman"/>
          <w:color w:val="auto"/>
          <w:szCs w:val="21"/>
          <w:highlight w:val="none"/>
        </w:rPr>
        <w:t>12.日常运作（接车、维修、交车、结算、投诉、索赔）要做到规范化、制度化，实行定人定岗，严格落实岗位责任制度，形成岗位责任追究制度，促进生产管理活动有秩序地进行。</w:t>
      </w:r>
    </w:p>
    <w:p w14:paraId="0BCCCE39">
      <w:pPr>
        <w:ind w:firstLine="420"/>
        <w:rPr>
          <w:rFonts w:hint="eastAsia" w:ascii="宋体" w:hAnsi="宋体" w:cs="Times New Roman"/>
          <w:color w:val="auto"/>
          <w:szCs w:val="21"/>
          <w:highlight w:val="none"/>
        </w:rPr>
      </w:pPr>
      <w:r>
        <w:rPr>
          <w:rFonts w:hint="eastAsia" w:ascii="宋体" w:hAnsi="宋体" w:cs="Times New Roman"/>
          <w:color w:val="auto"/>
          <w:szCs w:val="21"/>
          <w:highlight w:val="none"/>
        </w:rPr>
        <w:t>13.成交人应严格执行在投标文件中提出的服务承诺。</w:t>
      </w:r>
    </w:p>
    <w:p w14:paraId="6CF4EDA7">
      <w:pPr>
        <w:ind w:firstLine="420"/>
        <w:rPr>
          <w:rFonts w:hint="eastAsia" w:ascii="宋体" w:hAnsi="宋体" w:cs="Times New Roman"/>
          <w:color w:val="auto"/>
          <w:szCs w:val="21"/>
          <w:highlight w:val="none"/>
        </w:rPr>
      </w:pPr>
      <w:r>
        <w:rPr>
          <w:rFonts w:hint="eastAsia" w:ascii="宋体" w:hAnsi="宋体" w:cs="Times New Roman"/>
          <w:color w:val="auto"/>
          <w:szCs w:val="21"/>
          <w:highlight w:val="none"/>
        </w:rPr>
        <w:t>14.成交人在取得采购人车辆及将车辆交还采购人过程中，应对采购人车辆尽妥善保管义务，期间发生一切的事故由成交人承担。</w:t>
      </w:r>
    </w:p>
    <w:p w14:paraId="650C9F68">
      <w:pPr>
        <w:ind w:firstLine="420"/>
        <w:jc w:val="both"/>
        <w:rPr>
          <w:rFonts w:hint="eastAsia" w:ascii="宋体" w:hAnsi="宋体" w:cs="Times New Roman"/>
          <w:color w:val="auto"/>
          <w:szCs w:val="21"/>
          <w:highlight w:val="none"/>
        </w:rPr>
      </w:pPr>
      <w:r>
        <w:rPr>
          <w:rFonts w:hint="eastAsia" w:ascii="宋体" w:hAnsi="宋体" w:cs="Times New Roman"/>
          <w:color w:val="auto"/>
          <w:szCs w:val="21"/>
          <w:highlight w:val="none"/>
        </w:rPr>
        <w:t>15.具体维保流程详见附件</w:t>
      </w:r>
      <w:r>
        <w:rPr>
          <w:rFonts w:hint="eastAsia" w:ascii="宋体" w:hAnsi="宋体" w:cs="Times New Roman"/>
          <w:color w:val="auto"/>
          <w:szCs w:val="21"/>
          <w:highlight w:val="none"/>
          <w:lang w:eastAsia="zh-CN"/>
        </w:rPr>
        <w:t>《</w:t>
      </w:r>
      <w:r>
        <w:rPr>
          <w:rFonts w:hint="eastAsia" w:ascii="宋体" w:hAnsi="宋体" w:cs="Times New Roman"/>
          <w:color w:val="auto"/>
          <w:sz w:val="21"/>
          <w:szCs w:val="21"/>
          <w:highlight w:val="none"/>
        </w:rPr>
        <w:t>维修流程图</w:t>
      </w:r>
      <w:r>
        <w:rPr>
          <w:rFonts w:hint="eastAsia" w:ascii="宋体" w:hAnsi="宋体" w:cs="Times New Roman"/>
          <w:color w:val="auto"/>
          <w:sz w:val="21"/>
          <w:szCs w:val="21"/>
          <w:highlight w:val="none"/>
          <w:lang w:eastAsia="zh-CN"/>
        </w:rPr>
        <w:t>》</w:t>
      </w:r>
      <w:r>
        <w:rPr>
          <w:rFonts w:hint="eastAsia" w:ascii="宋体" w:hAnsi="宋体" w:cs="Times New Roman"/>
          <w:color w:val="auto"/>
          <w:szCs w:val="21"/>
          <w:highlight w:val="none"/>
        </w:rPr>
        <w:t>。</w:t>
      </w:r>
    </w:p>
    <w:p w14:paraId="7E58E47D">
      <w:pPr>
        <w:ind w:firstLine="420"/>
        <w:rPr>
          <w:rFonts w:hint="eastAsia" w:ascii="宋体" w:hAnsi="宋体" w:cs="Times New Roman"/>
          <w:color w:val="auto"/>
          <w:szCs w:val="21"/>
          <w:highlight w:val="none"/>
        </w:rPr>
      </w:pPr>
      <w:r>
        <w:rPr>
          <w:rFonts w:hint="eastAsia" w:ascii="宋体" w:hAnsi="宋体" w:cs="Times New Roman"/>
          <w:color w:val="auto"/>
          <w:szCs w:val="21"/>
          <w:highlight w:val="none"/>
        </w:rPr>
        <w:t>（四）零配件要求</w:t>
      </w:r>
    </w:p>
    <w:p w14:paraId="478096D8">
      <w:pPr>
        <w:ind w:firstLine="420"/>
        <w:rPr>
          <w:rFonts w:hint="eastAsia" w:ascii="宋体" w:hAnsi="宋体" w:cs="Times New Roman"/>
          <w:color w:val="auto"/>
          <w:szCs w:val="21"/>
          <w:highlight w:val="none"/>
        </w:rPr>
      </w:pPr>
      <w:r>
        <w:rPr>
          <w:rFonts w:hint="eastAsia" w:ascii="宋体" w:hAnsi="宋体" w:cs="Times New Roman"/>
          <w:color w:val="auto"/>
          <w:szCs w:val="21"/>
          <w:highlight w:val="none"/>
        </w:rPr>
        <w:t>1.对采购人车辆成交人应以修复为主，能不更换的零部件尽量不予更换，确实不能修复或没有修复价值的零部件，在征得</w:t>
      </w:r>
      <w:r>
        <w:rPr>
          <w:rFonts w:hint="eastAsia" w:ascii="宋体" w:hAnsi="宋体" w:cs="Times New Roman"/>
          <w:color w:val="auto"/>
          <w:szCs w:val="21"/>
          <w:highlight w:val="none"/>
          <w:lang w:val="en-US" w:eastAsia="zh-CN"/>
        </w:rPr>
        <w:t>采购人</w:t>
      </w:r>
      <w:r>
        <w:rPr>
          <w:rFonts w:hint="eastAsia" w:ascii="宋体" w:hAnsi="宋体" w:cs="Times New Roman"/>
          <w:color w:val="auto"/>
          <w:szCs w:val="21"/>
          <w:highlight w:val="none"/>
        </w:rPr>
        <w:t>书面同意后方可更换。成交人不得与任何人串通，虚假修车或虚报维修项目，损害采购人的利益。</w:t>
      </w:r>
    </w:p>
    <w:p w14:paraId="1BF0D60D">
      <w:pPr>
        <w:ind w:firstLine="420"/>
        <w:rPr>
          <w:rFonts w:hint="eastAsia" w:ascii="宋体" w:hAnsi="宋体" w:cs="Times New Roman"/>
          <w:color w:val="auto"/>
          <w:szCs w:val="21"/>
          <w:highlight w:val="none"/>
        </w:rPr>
      </w:pPr>
      <w:r>
        <w:rPr>
          <w:rFonts w:hint="eastAsia" w:ascii="宋体" w:hAnsi="宋体" w:cs="Times New Roman"/>
          <w:color w:val="auto"/>
          <w:szCs w:val="21"/>
          <w:highlight w:val="none"/>
        </w:rPr>
        <w:t>2.原则上优先使用原厂零配件，维修后更换下来的旧零部件须归还给采购人，成交人不得自行处理。</w:t>
      </w:r>
    </w:p>
    <w:p w14:paraId="3C12977D">
      <w:pPr>
        <w:ind w:firstLine="420"/>
        <w:rPr>
          <w:rFonts w:hint="eastAsia" w:ascii="宋体" w:hAnsi="宋体" w:cs="Times New Roman"/>
          <w:color w:val="auto"/>
          <w:szCs w:val="21"/>
          <w:highlight w:val="none"/>
        </w:rPr>
      </w:pPr>
      <w:r>
        <w:rPr>
          <w:rFonts w:hint="eastAsia" w:ascii="宋体" w:hAnsi="宋体" w:cs="Times New Roman"/>
          <w:color w:val="auto"/>
          <w:szCs w:val="21"/>
          <w:highlight w:val="none"/>
        </w:rPr>
        <w:t>3.成交人为采购人车辆维修所采用的零部件、配件等材料必须符合国家标准，不得使用假冒伪劣产品或以次充好。所用零件、材料是未使用过的原厂生产的合格正品，并完全符合合同规定的质量和性能的要求。</w:t>
      </w:r>
    </w:p>
    <w:p w14:paraId="3C1FB917">
      <w:pPr>
        <w:ind w:firstLine="420"/>
        <w:rPr>
          <w:rFonts w:hint="eastAsia" w:ascii="宋体" w:hAnsi="宋体" w:cs="Times New Roman"/>
          <w:color w:val="auto"/>
          <w:szCs w:val="21"/>
          <w:highlight w:val="none"/>
        </w:rPr>
      </w:pPr>
      <w:r>
        <w:rPr>
          <w:rFonts w:hint="eastAsia" w:ascii="宋体" w:hAnsi="宋体" w:cs="Times New Roman"/>
          <w:color w:val="auto"/>
          <w:szCs w:val="21"/>
          <w:highlight w:val="none"/>
        </w:rPr>
        <w:t>4.车辆设备维修竣工出厂时，由采购人维修监管组长进行质量验收验收合格后对修理所用材料进行核对，查验是否更换配件，对于更换的配件做好回收工作，确认无误后按实结算金额。采购人对更换的旧配件要做好登记和保管，并按照相关规定进行处置。</w:t>
      </w:r>
    </w:p>
    <w:p w14:paraId="13618B07">
      <w:pPr>
        <w:ind w:firstLine="420"/>
        <w:rPr>
          <w:rFonts w:hint="eastAsia" w:ascii="宋体" w:hAnsi="宋体" w:cs="Times New Roman"/>
          <w:color w:val="auto"/>
          <w:szCs w:val="21"/>
          <w:highlight w:val="none"/>
          <w:lang w:eastAsia="zh-CN"/>
        </w:rPr>
      </w:pPr>
      <w:r>
        <w:rPr>
          <w:rFonts w:hint="eastAsia" w:ascii="宋体" w:hAnsi="宋体" w:cs="Times New Roman"/>
          <w:color w:val="auto"/>
          <w:szCs w:val="21"/>
          <w:highlight w:val="none"/>
        </w:rPr>
        <w:t>5.</w:t>
      </w:r>
      <w:bookmarkStart w:id="29" w:name="OLE_LINK7"/>
      <w:r>
        <w:rPr>
          <w:rFonts w:hint="eastAsia" w:ascii="宋体" w:hAnsi="宋体" w:cs="Times New Roman"/>
          <w:color w:val="auto"/>
          <w:szCs w:val="21"/>
          <w:highlight w:val="none"/>
        </w:rPr>
        <w:t>易损件质保期一个月，非易损件质保期三个月，如厂家</w:t>
      </w:r>
      <w:r>
        <w:rPr>
          <w:rFonts w:hint="eastAsia" w:ascii="宋体" w:hAnsi="宋体" w:cs="Times New Roman"/>
          <w:color w:val="auto"/>
          <w:szCs w:val="21"/>
          <w:highlight w:val="none"/>
          <w:lang w:val="en-US" w:eastAsia="zh-CN"/>
        </w:rPr>
        <w:t>或国家</w:t>
      </w:r>
      <w:r>
        <w:rPr>
          <w:rFonts w:hint="eastAsia" w:ascii="宋体" w:hAnsi="宋体" w:cs="Times New Roman"/>
          <w:color w:val="auto"/>
          <w:szCs w:val="21"/>
          <w:highlight w:val="none"/>
        </w:rPr>
        <w:t>有制定更高标准则按更高标准执行。</w:t>
      </w:r>
      <w:bookmarkEnd w:id="29"/>
      <w:r>
        <w:rPr>
          <w:rFonts w:hint="eastAsia" w:ascii="宋体" w:hAnsi="宋体" w:cs="Times New Roman"/>
          <w:color w:val="auto"/>
          <w:szCs w:val="21"/>
          <w:highlight w:val="none"/>
        </w:rPr>
        <w:t>（易损件和非易损件定义，参照采购人</w:t>
      </w:r>
      <w:r>
        <w:rPr>
          <w:rFonts w:hint="eastAsia" w:ascii="宋体" w:hAnsi="宋体" w:cs="Times New Roman"/>
          <w:color w:val="auto"/>
          <w:szCs w:val="21"/>
          <w:highlight w:val="none"/>
          <w:lang w:val="en-US" w:eastAsia="zh-CN"/>
        </w:rPr>
        <w:t>维修</w:t>
      </w:r>
      <w:r>
        <w:rPr>
          <w:rFonts w:hint="eastAsia" w:ascii="宋体" w:hAnsi="宋体" w:cs="Times New Roman"/>
          <w:color w:val="auto"/>
          <w:szCs w:val="21"/>
          <w:highlight w:val="none"/>
        </w:rPr>
        <w:t>清单）</w:t>
      </w:r>
      <w:r>
        <w:rPr>
          <w:rFonts w:hint="eastAsia" w:ascii="宋体" w:hAnsi="宋体" w:cs="Times New Roman"/>
          <w:color w:val="auto"/>
          <w:szCs w:val="21"/>
          <w:highlight w:val="none"/>
          <w:lang w:eastAsia="zh-CN"/>
        </w:rPr>
        <w:t>。</w:t>
      </w:r>
    </w:p>
    <w:p w14:paraId="0E9E1FA6">
      <w:pPr>
        <w:ind w:firstLine="420"/>
        <w:rPr>
          <w:rFonts w:hint="eastAsia" w:ascii="宋体" w:hAnsi="宋体" w:cs="Times New Roman"/>
          <w:color w:val="auto"/>
          <w:szCs w:val="21"/>
          <w:highlight w:val="none"/>
        </w:rPr>
      </w:pPr>
      <w:r>
        <w:rPr>
          <w:rFonts w:hint="eastAsia" w:ascii="宋体" w:hAnsi="宋体" w:cs="Times New Roman"/>
          <w:color w:val="auto"/>
          <w:szCs w:val="21"/>
          <w:highlight w:val="none"/>
        </w:rPr>
        <w:t>（五）工时费计算要求</w:t>
      </w:r>
    </w:p>
    <w:p w14:paraId="5128D103">
      <w:pPr>
        <w:ind w:firstLine="420"/>
        <w:rPr>
          <w:rFonts w:hint="eastAsia" w:ascii="宋体" w:hAnsi="宋体" w:cs="Times New Roman"/>
          <w:color w:val="auto"/>
          <w:szCs w:val="21"/>
          <w:highlight w:val="none"/>
        </w:rPr>
      </w:pPr>
      <w:r>
        <w:rPr>
          <w:rFonts w:hint="eastAsia" w:ascii="宋体" w:hAnsi="宋体" w:cs="Times New Roman"/>
          <w:color w:val="auto"/>
          <w:szCs w:val="21"/>
          <w:highlight w:val="none"/>
        </w:rPr>
        <w:t>1.进行关联配件维修时，按工时费高的配件计算，不作重复计算。</w:t>
      </w:r>
    </w:p>
    <w:p w14:paraId="2F4CC01F">
      <w:pPr>
        <w:rPr>
          <w:rFonts w:hint="eastAsia" w:ascii="宋体" w:hAnsi="宋体" w:cs="Times New Roman"/>
          <w:color w:val="auto"/>
          <w:szCs w:val="21"/>
          <w:highlight w:val="none"/>
        </w:rPr>
      </w:pPr>
      <w:r>
        <w:rPr>
          <w:rFonts w:hint="eastAsia" w:ascii="宋体" w:hAnsi="宋体" w:cs="Times New Roman"/>
          <w:b/>
          <w:bCs/>
          <w:color w:val="auto"/>
          <w:szCs w:val="21"/>
          <w:highlight w:val="none"/>
          <w:lang w:val="en-US" w:eastAsia="zh-CN"/>
        </w:rPr>
        <w:t>六、</w:t>
      </w:r>
      <w:r>
        <w:rPr>
          <w:rFonts w:hint="eastAsia" w:ascii="宋体" w:hAnsi="宋体" w:cs="Times New Roman"/>
          <w:b/>
          <w:bCs/>
          <w:color w:val="auto"/>
          <w:szCs w:val="21"/>
          <w:highlight w:val="none"/>
        </w:rPr>
        <w:t>服务总体验收标准要求</w:t>
      </w:r>
    </w:p>
    <w:p w14:paraId="2800271B">
      <w:pPr>
        <w:ind w:firstLine="420"/>
        <w:rPr>
          <w:rFonts w:hint="eastAsia" w:ascii="宋体" w:hAnsi="宋体" w:cs="Times New Roman"/>
          <w:color w:val="auto"/>
          <w:szCs w:val="21"/>
          <w:highlight w:val="none"/>
        </w:rPr>
      </w:pPr>
      <w:r>
        <w:rPr>
          <w:rFonts w:hint="eastAsia" w:ascii="宋体" w:hAnsi="宋体" w:cs="Times New Roman"/>
          <w:color w:val="auto"/>
          <w:szCs w:val="21"/>
          <w:highlight w:val="none"/>
        </w:rPr>
        <w:t>（一）验收标准</w:t>
      </w:r>
    </w:p>
    <w:p w14:paraId="1C8B42C1">
      <w:pPr>
        <w:ind w:firstLine="420"/>
        <w:rPr>
          <w:rFonts w:hint="eastAsia" w:ascii="宋体" w:hAnsi="宋体" w:cs="Times New Roman"/>
          <w:color w:val="auto"/>
          <w:szCs w:val="21"/>
          <w:highlight w:val="none"/>
        </w:rPr>
      </w:pPr>
      <w:r>
        <w:rPr>
          <w:rFonts w:hint="eastAsia" w:ascii="宋体" w:hAnsi="宋体" w:cs="Times New Roman"/>
          <w:color w:val="auto"/>
          <w:szCs w:val="21"/>
          <w:highlight w:val="none"/>
        </w:rPr>
        <w:t>根据交通运输颁发的《机动车维修管理规定》、《中华人民共和国交通运输行业标准机动车维修服务规范》JT/T816-2011等相关规定，特殊情况根据实际而定。</w:t>
      </w:r>
    </w:p>
    <w:p w14:paraId="4292F7F9">
      <w:pPr>
        <w:ind w:firstLine="420"/>
        <w:rPr>
          <w:rFonts w:hint="eastAsia" w:ascii="宋体" w:hAnsi="宋体" w:cs="Times New Roman"/>
          <w:color w:val="auto"/>
          <w:szCs w:val="21"/>
          <w:highlight w:val="none"/>
        </w:rPr>
      </w:pPr>
      <w:r>
        <w:rPr>
          <w:rFonts w:hint="eastAsia" w:ascii="宋体" w:hAnsi="宋体" w:cs="Times New Roman"/>
          <w:color w:val="auto"/>
          <w:szCs w:val="21"/>
          <w:highlight w:val="none"/>
        </w:rPr>
        <w:t>（二）交付文件及成果说明</w:t>
      </w:r>
    </w:p>
    <w:p w14:paraId="4F0EFBA2">
      <w:pPr>
        <w:ind w:firstLine="420"/>
        <w:rPr>
          <w:rFonts w:hint="eastAsia" w:ascii="宋体" w:hAnsi="宋体" w:cs="Times New Roman"/>
          <w:color w:val="auto"/>
          <w:szCs w:val="21"/>
          <w:highlight w:val="none"/>
        </w:rPr>
      </w:pPr>
      <w:r>
        <w:rPr>
          <w:rFonts w:hint="eastAsia" w:ascii="宋体" w:hAnsi="宋体" w:cs="Times New Roman"/>
          <w:color w:val="auto"/>
          <w:szCs w:val="21"/>
          <w:highlight w:val="none"/>
        </w:rPr>
        <w:t>每次车辆维修保养后，必须提供车辆保养维修明细，且每辆车需要做专车专项电子台账，每月定期提供上月全部电子台账给采购人。</w:t>
      </w:r>
    </w:p>
    <w:p w14:paraId="107BD108">
      <w:pPr>
        <w:rPr>
          <w:rFonts w:hint="eastAsia" w:ascii="宋体" w:hAnsi="宋体" w:cs="Times New Roman"/>
          <w:b/>
          <w:bCs/>
          <w:color w:val="auto"/>
          <w:szCs w:val="21"/>
          <w:highlight w:val="none"/>
        </w:rPr>
      </w:pPr>
      <w:r>
        <w:rPr>
          <w:rFonts w:hint="eastAsia" w:ascii="宋体" w:hAnsi="宋体" w:cs="Times New Roman"/>
          <w:b/>
          <w:bCs/>
          <w:color w:val="auto"/>
          <w:szCs w:val="21"/>
          <w:highlight w:val="none"/>
          <w:lang w:val="en-US" w:eastAsia="zh-CN"/>
        </w:rPr>
        <w:t>七、</w:t>
      </w:r>
      <w:r>
        <w:rPr>
          <w:rFonts w:hint="eastAsia" w:ascii="宋体" w:hAnsi="宋体" w:cs="Times New Roman"/>
          <w:b/>
          <w:bCs/>
          <w:color w:val="auto"/>
          <w:szCs w:val="21"/>
          <w:highlight w:val="none"/>
        </w:rPr>
        <w:t>考核及退出机制</w:t>
      </w:r>
    </w:p>
    <w:p w14:paraId="52937F6B">
      <w:pPr>
        <w:ind w:firstLine="420"/>
        <w:rPr>
          <w:rFonts w:hint="eastAsia" w:ascii="宋体" w:hAnsi="宋体" w:cs="Times New Roman"/>
          <w:color w:val="auto"/>
          <w:szCs w:val="21"/>
          <w:highlight w:val="none"/>
        </w:rPr>
      </w:pPr>
      <w:r>
        <w:rPr>
          <w:rFonts w:hint="eastAsia" w:ascii="宋体" w:hAnsi="宋体" w:cs="Times New Roman"/>
          <w:color w:val="auto"/>
          <w:szCs w:val="21"/>
          <w:highlight w:val="none"/>
        </w:rPr>
        <w:t>（一）考核评分</w:t>
      </w:r>
    </w:p>
    <w:p w14:paraId="1F6D285D">
      <w:pPr>
        <w:ind w:firstLine="420"/>
        <w:rPr>
          <w:rFonts w:hint="eastAsia" w:ascii="宋体" w:hAnsi="宋体" w:cs="Times New Roman"/>
          <w:color w:val="auto"/>
          <w:szCs w:val="21"/>
          <w:highlight w:val="none"/>
        </w:rPr>
      </w:pPr>
      <w:r>
        <w:rPr>
          <w:rFonts w:hint="eastAsia" w:ascii="宋体" w:hAnsi="宋体" w:cs="Times New Roman"/>
          <w:color w:val="auto"/>
          <w:szCs w:val="21"/>
          <w:highlight w:val="none"/>
        </w:rPr>
        <w:t>采购人每月定期</w:t>
      </w:r>
      <w:r>
        <w:rPr>
          <w:rFonts w:hint="eastAsia" w:ascii="宋体" w:hAnsi="宋体" w:cs="Times New Roman"/>
          <w:color w:val="auto"/>
          <w:szCs w:val="21"/>
          <w:highlight w:val="none"/>
          <w:lang w:val="en-US" w:eastAsia="zh-CN"/>
        </w:rPr>
        <w:t>按照</w:t>
      </w:r>
      <w:r>
        <w:rPr>
          <w:rFonts w:hint="eastAsia" w:ascii="宋体" w:hAnsi="宋体" w:cs="Times New Roman"/>
          <w:color w:val="auto"/>
          <w:szCs w:val="21"/>
          <w:highlight w:val="none"/>
        </w:rPr>
        <w:t>《月度服务评价表》对成交人进行月度服务评价。</w:t>
      </w:r>
    </w:p>
    <w:p w14:paraId="071BB741">
      <w:pPr>
        <w:ind w:firstLine="420"/>
        <w:rPr>
          <w:rFonts w:hint="eastAsia" w:ascii="宋体" w:hAnsi="宋体" w:cs="Times New Roman"/>
          <w:color w:val="auto"/>
          <w:szCs w:val="21"/>
          <w:highlight w:val="none"/>
        </w:rPr>
      </w:pPr>
      <w:r>
        <w:rPr>
          <w:rFonts w:hint="eastAsia" w:ascii="宋体" w:hAnsi="宋体" w:cs="Times New Roman"/>
          <w:color w:val="auto"/>
          <w:szCs w:val="21"/>
          <w:highlight w:val="none"/>
        </w:rPr>
        <w:t>（二）退出机制</w:t>
      </w:r>
    </w:p>
    <w:p w14:paraId="720A7C36">
      <w:pPr>
        <w:ind w:firstLine="420"/>
        <w:rPr>
          <w:rFonts w:hint="eastAsia" w:ascii="宋体" w:hAnsi="宋体" w:cs="Times New Roman"/>
          <w:color w:val="auto"/>
          <w:szCs w:val="21"/>
          <w:highlight w:val="none"/>
        </w:rPr>
      </w:pPr>
      <w:r>
        <w:rPr>
          <w:rFonts w:hint="eastAsia" w:ascii="宋体" w:hAnsi="宋体" w:cs="Times New Roman"/>
          <w:color w:val="auto"/>
          <w:szCs w:val="21"/>
          <w:highlight w:val="none"/>
        </w:rPr>
        <w:t>1.成交人月度服务评价累计两次低于90分的，采购人有权单方解除合同并没收成交人履约保证金。</w:t>
      </w:r>
    </w:p>
    <w:p w14:paraId="070B4156">
      <w:pPr>
        <w:ind w:firstLine="420"/>
        <w:rPr>
          <w:rFonts w:hint="eastAsia" w:ascii="宋体" w:hAnsi="宋体" w:cs="Times New Roman"/>
          <w:color w:val="auto"/>
          <w:szCs w:val="21"/>
          <w:highlight w:val="none"/>
        </w:rPr>
      </w:pPr>
      <w:r>
        <w:rPr>
          <w:rFonts w:hint="eastAsia" w:ascii="宋体" w:hAnsi="宋体" w:cs="Times New Roman"/>
          <w:color w:val="auto"/>
          <w:szCs w:val="21"/>
          <w:highlight w:val="none"/>
        </w:rPr>
        <w:t>2.发现成交人维修过程中以次充好，第一次作警告处理并要求成交人承担重新维修和更换相关配件的费用。以次充好累计两次以上的，采购人有权单方解除合同并没收成交人履约保证金。</w:t>
      </w:r>
    </w:p>
    <w:p w14:paraId="4B1298FD">
      <w:pPr>
        <w:ind w:firstLine="420"/>
        <w:rPr>
          <w:rFonts w:hint="eastAsia" w:ascii="宋体" w:hAnsi="宋体" w:cs="Times New Roman"/>
          <w:color w:val="auto"/>
          <w:szCs w:val="21"/>
          <w:highlight w:val="none"/>
        </w:rPr>
      </w:pPr>
      <w:r>
        <w:rPr>
          <w:rFonts w:hint="eastAsia" w:ascii="宋体" w:hAnsi="宋体" w:cs="Times New Roman"/>
          <w:color w:val="auto"/>
          <w:szCs w:val="21"/>
          <w:highlight w:val="none"/>
        </w:rPr>
        <w:t>3.期间一旦发生违法违纪行为，采购人有权单方解除合同并没收成交人履约保证金。</w:t>
      </w:r>
    </w:p>
    <w:p w14:paraId="3126594C">
      <w:pPr>
        <w:rPr>
          <w:rFonts w:hint="eastAsia" w:ascii="宋体" w:hAnsi="宋体" w:cs="Times New Roman"/>
          <w:color w:val="auto"/>
          <w:szCs w:val="21"/>
          <w:highlight w:val="none"/>
          <w:lang w:val="en-US" w:eastAsia="zh-CN"/>
        </w:rPr>
      </w:pPr>
      <w:bookmarkStart w:id="30" w:name="_Toc31595"/>
    </w:p>
    <w:p w14:paraId="002AD88E">
      <w:pPr>
        <w:rPr>
          <w:rFonts w:hint="eastAsia" w:ascii="宋体" w:hAnsi="宋体" w:cs="Times New Roman"/>
          <w:color w:val="auto"/>
          <w:szCs w:val="21"/>
          <w:highlight w:val="none"/>
        </w:rPr>
      </w:pPr>
      <w:r>
        <w:rPr>
          <w:rFonts w:hint="eastAsia" w:ascii="宋体" w:hAnsi="宋体" w:cs="Times New Roman"/>
          <w:color w:val="auto"/>
          <w:szCs w:val="21"/>
          <w:highlight w:val="none"/>
        </w:rPr>
        <w:br w:type="page"/>
      </w:r>
    </w:p>
    <w:p w14:paraId="3288CA09">
      <w:pPr>
        <w:pStyle w:val="6"/>
        <w:rPr>
          <w:rFonts w:hint="eastAsia"/>
          <w:color w:val="auto"/>
        </w:rPr>
      </w:pPr>
    </w:p>
    <w:p w14:paraId="61999E6A">
      <w:pPr>
        <w:ind w:firstLine="420"/>
        <w:jc w:val="center"/>
        <w:rPr>
          <w:rFonts w:hint="eastAsia" w:ascii="宋体" w:hAnsi="宋体" w:cs="Times New Roman"/>
          <w:color w:val="auto"/>
          <w:sz w:val="24"/>
          <w:szCs w:val="24"/>
          <w:highlight w:val="none"/>
        </w:rPr>
      </w:pPr>
      <w:r>
        <w:rPr>
          <w:rFonts w:hint="eastAsia" w:ascii="宋体" w:hAnsi="宋体" w:cs="Times New Roman"/>
          <w:color w:val="auto"/>
          <w:sz w:val="24"/>
          <w:szCs w:val="24"/>
          <w:highlight w:val="none"/>
        </w:rPr>
        <w:t>维修流程图</w:t>
      </w:r>
    </w:p>
    <w:p w14:paraId="7A86D540">
      <w:pPr>
        <w:spacing w:line="600" w:lineRule="exact"/>
        <w:jc w:val="center"/>
        <w:rPr>
          <w:rFonts w:ascii="仿宋_GB2312" w:hAnsi="仿宋_GB2312" w:eastAsia="仿宋_GB2312" w:cs="仿宋_GB2312"/>
          <w:color w:val="auto"/>
          <w:sz w:val="32"/>
          <w:szCs w:val="32"/>
        </w:rPr>
      </w:pPr>
    </w:p>
    <w:p w14:paraId="5A743704">
      <w:pPr>
        <w:rPr>
          <w:color w:val="auto"/>
        </w:rPr>
      </w:pPr>
    </w:p>
    <w:p w14:paraId="10545604">
      <w:pPr>
        <w:rPr>
          <w:color w:val="auto"/>
        </w:rPr>
      </w:pPr>
      <w:r>
        <w:rPr>
          <w:rFonts w:ascii="仿宋_GB2312" w:hAnsi="仿宋_GB2312" w:eastAsia="仿宋_GB2312" w:cs="仿宋_GB2312"/>
          <w:color w:val="auto"/>
          <w:sz w:val="32"/>
          <w:szCs w:val="32"/>
        </w:rPr>
        <w:pict>
          <v:shape id="_x0000_s1026" o:spid="_x0000_s1026" o:spt="75" type="#_x0000_t75" style="position:absolute;left:0pt;margin-left:108.05pt;margin-top:8.75pt;height:464.2pt;width:254pt;z-index:251659264;mso-width-relative:page;mso-height-relative:page;" o:ole="t" filled="f" o:preferrelative="t" stroked="f" coordsize="21600,21600">
            <v:path/>
            <v:fill on="f" focussize="0,0"/>
            <v:stroke on="f" joinstyle="miter"/>
            <v:imagedata r:id="rId13" o:title=""/>
            <o:lock v:ext="edit" aspectratio="f"/>
          </v:shape>
          <o:OLEObject Type="Embed" ProgID="Visio.Drawing.15" ShapeID="_x0000_s1026" DrawAspect="Content" ObjectID="_1468075725" r:id="rId12">
            <o:LockedField>false</o:LockedField>
          </o:OLEObject>
        </w:pict>
      </w:r>
    </w:p>
    <w:p w14:paraId="3F74800B">
      <w:pPr>
        <w:rPr>
          <w:color w:val="auto"/>
        </w:rPr>
      </w:pPr>
    </w:p>
    <w:p w14:paraId="46397672">
      <w:pPr>
        <w:rPr>
          <w:color w:val="auto"/>
        </w:rPr>
      </w:pPr>
    </w:p>
    <w:p w14:paraId="6FBB2C03">
      <w:pPr>
        <w:rPr>
          <w:color w:val="auto"/>
        </w:rPr>
      </w:pPr>
    </w:p>
    <w:p w14:paraId="561FDF5A">
      <w:pPr>
        <w:rPr>
          <w:color w:val="auto"/>
        </w:rPr>
      </w:pPr>
    </w:p>
    <w:p w14:paraId="66DC3A89">
      <w:pPr>
        <w:rPr>
          <w:color w:val="auto"/>
        </w:rPr>
      </w:pPr>
    </w:p>
    <w:p w14:paraId="32EF53C3">
      <w:pPr>
        <w:rPr>
          <w:color w:val="auto"/>
        </w:rPr>
      </w:pPr>
    </w:p>
    <w:p w14:paraId="6E0E1EE6">
      <w:pPr>
        <w:rPr>
          <w:color w:val="auto"/>
        </w:rPr>
      </w:pPr>
    </w:p>
    <w:p w14:paraId="21C8FEBF">
      <w:pPr>
        <w:rPr>
          <w:color w:val="auto"/>
        </w:rPr>
      </w:pPr>
    </w:p>
    <w:p w14:paraId="64AB666C">
      <w:pPr>
        <w:rPr>
          <w:color w:val="auto"/>
        </w:rPr>
      </w:pPr>
    </w:p>
    <w:p w14:paraId="72475D3D">
      <w:pPr>
        <w:rPr>
          <w:color w:val="auto"/>
        </w:rPr>
      </w:pPr>
    </w:p>
    <w:p w14:paraId="76FA5AB8">
      <w:pPr>
        <w:rPr>
          <w:color w:val="auto"/>
        </w:rPr>
      </w:pPr>
    </w:p>
    <w:p w14:paraId="7614E1FE">
      <w:pPr>
        <w:rPr>
          <w:color w:val="auto"/>
        </w:rPr>
      </w:pPr>
    </w:p>
    <w:p w14:paraId="0F4012E1">
      <w:pPr>
        <w:rPr>
          <w:color w:val="auto"/>
        </w:rPr>
      </w:pPr>
    </w:p>
    <w:p w14:paraId="7B49C5DA">
      <w:pPr>
        <w:rPr>
          <w:color w:val="auto"/>
        </w:rPr>
      </w:pPr>
    </w:p>
    <w:p w14:paraId="6DE42D9E">
      <w:pPr>
        <w:rPr>
          <w:color w:val="auto"/>
        </w:rPr>
      </w:pPr>
    </w:p>
    <w:p w14:paraId="4C27EB31">
      <w:pPr>
        <w:rPr>
          <w:color w:val="auto"/>
        </w:rPr>
      </w:pPr>
    </w:p>
    <w:p w14:paraId="09A4DA4B">
      <w:pPr>
        <w:rPr>
          <w:color w:val="auto"/>
        </w:rPr>
      </w:pPr>
    </w:p>
    <w:p w14:paraId="1675F30A">
      <w:pPr>
        <w:rPr>
          <w:color w:val="auto"/>
        </w:rPr>
      </w:pPr>
    </w:p>
    <w:p w14:paraId="0A9C3FE7">
      <w:pPr>
        <w:rPr>
          <w:color w:val="auto"/>
        </w:rPr>
      </w:pPr>
    </w:p>
    <w:p w14:paraId="4BE8260C">
      <w:pPr>
        <w:rPr>
          <w:color w:val="auto"/>
        </w:rPr>
      </w:pPr>
    </w:p>
    <w:p w14:paraId="1D5BAB8E">
      <w:pPr>
        <w:rPr>
          <w:color w:val="auto"/>
        </w:rPr>
      </w:pPr>
    </w:p>
    <w:p w14:paraId="5EF7C0BD">
      <w:pPr>
        <w:rPr>
          <w:color w:val="auto"/>
        </w:rPr>
      </w:pPr>
    </w:p>
    <w:p w14:paraId="5E30E5FE">
      <w:pPr>
        <w:rPr>
          <w:color w:val="auto"/>
        </w:rPr>
      </w:pPr>
    </w:p>
    <w:p w14:paraId="1D400788">
      <w:pPr>
        <w:rPr>
          <w:color w:val="auto"/>
        </w:rPr>
      </w:pPr>
    </w:p>
    <w:p w14:paraId="496B3586">
      <w:pPr>
        <w:rPr>
          <w:color w:val="auto"/>
        </w:rPr>
      </w:pPr>
    </w:p>
    <w:p w14:paraId="553A47F6">
      <w:pPr>
        <w:rPr>
          <w:color w:val="auto"/>
        </w:rPr>
      </w:pPr>
    </w:p>
    <w:p w14:paraId="59D003B0">
      <w:pPr>
        <w:rPr>
          <w:color w:val="auto"/>
        </w:rPr>
      </w:pPr>
    </w:p>
    <w:p w14:paraId="70B039E1">
      <w:pPr>
        <w:rPr>
          <w:color w:val="auto"/>
        </w:rPr>
      </w:pPr>
    </w:p>
    <w:p w14:paraId="725DE0D5">
      <w:pPr>
        <w:ind w:firstLine="420"/>
        <w:rPr>
          <w:rFonts w:hint="eastAsia" w:ascii="宋体" w:hAnsi="宋体" w:cs="Times New Roman"/>
          <w:color w:val="auto"/>
          <w:szCs w:val="21"/>
          <w:highlight w:val="none"/>
        </w:rPr>
      </w:pPr>
    </w:p>
    <w:p w14:paraId="14C6342F">
      <w:pPr>
        <w:ind w:firstLine="420"/>
        <w:rPr>
          <w:rFonts w:hint="eastAsia" w:ascii="宋体" w:hAnsi="宋体" w:cs="Times New Roman"/>
          <w:color w:val="auto"/>
          <w:szCs w:val="21"/>
          <w:highlight w:val="none"/>
        </w:rPr>
      </w:pPr>
      <w:r>
        <w:rPr>
          <w:rFonts w:hint="eastAsia" w:ascii="宋体" w:hAnsi="宋体" w:cs="Times New Roman"/>
          <w:color w:val="auto"/>
          <w:szCs w:val="21"/>
          <w:highlight w:val="none"/>
        </w:rPr>
        <w:t>具体维修流程以采购人实际要求为准。</w:t>
      </w:r>
    </w:p>
    <w:p w14:paraId="24467FEB">
      <w:pPr>
        <w:rPr>
          <w:rFonts w:hint="eastAsia"/>
          <w:color w:val="auto"/>
        </w:rPr>
      </w:pPr>
      <w:r>
        <w:rPr>
          <w:rFonts w:hint="eastAsia"/>
          <w:color w:val="auto"/>
        </w:rPr>
        <w:br w:type="page"/>
      </w:r>
    </w:p>
    <w:p w14:paraId="1BD0CFAE">
      <w:pPr>
        <w:ind w:firstLine="420"/>
        <w:jc w:val="center"/>
        <w:rPr>
          <w:rFonts w:hint="eastAsia" w:ascii="宋体" w:hAnsi="宋体" w:cs="Times New Roman"/>
          <w:color w:val="auto"/>
          <w:sz w:val="24"/>
          <w:szCs w:val="24"/>
          <w:highlight w:val="none"/>
        </w:rPr>
      </w:pPr>
      <w:r>
        <w:rPr>
          <w:rFonts w:hint="eastAsia" w:ascii="宋体" w:hAnsi="宋体" w:cs="Times New Roman"/>
          <w:color w:val="auto"/>
          <w:sz w:val="24"/>
          <w:szCs w:val="24"/>
          <w:highlight w:val="none"/>
        </w:rPr>
        <w:t>月度服务评价表</w:t>
      </w:r>
    </w:p>
    <w:tbl>
      <w:tblPr>
        <w:tblStyle w:val="1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95"/>
        <w:gridCol w:w="5300"/>
        <w:gridCol w:w="700"/>
        <w:gridCol w:w="662"/>
        <w:gridCol w:w="965"/>
      </w:tblGrid>
      <w:tr w14:paraId="7BCD67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8522" w:type="dxa"/>
            <w:gridSpan w:val="5"/>
          </w:tcPr>
          <w:p w14:paraId="68A75186">
            <w:pPr>
              <w:keepNext w:val="0"/>
              <w:keepLines w:val="0"/>
              <w:pageBreakBefore w:val="0"/>
              <w:widowControl/>
              <w:kinsoku/>
              <w:wordWrap/>
              <w:overflowPunct/>
              <w:topLinePunct w:val="0"/>
              <w:autoSpaceDE/>
              <w:autoSpaceDN/>
              <w:bidi w:val="0"/>
              <w:adjustRightInd w:val="0"/>
              <w:snapToGrid w:val="0"/>
              <w:spacing w:line="240" w:lineRule="auto"/>
              <w:ind w:firstLine="0"/>
              <w:jc w:val="center"/>
              <w:textAlignment w:val="auto"/>
              <w:rPr>
                <w:rFonts w:hint="eastAsia" w:ascii="宋体" w:hAnsi="宋体" w:cs="Times New Roman"/>
                <w:color w:val="auto"/>
                <w:szCs w:val="21"/>
                <w:highlight w:val="none"/>
              </w:rPr>
            </w:pPr>
            <w:r>
              <w:rPr>
                <w:rFonts w:hint="eastAsia" w:ascii="宋体" w:hAnsi="宋体" w:cs="Times New Roman"/>
                <w:color w:val="auto"/>
                <w:szCs w:val="21"/>
                <w:highlight w:val="none"/>
                <w:lang w:val="en-US" w:eastAsia="zh-CN"/>
              </w:rPr>
              <w:t>2025</w:t>
            </w:r>
            <w:r>
              <w:rPr>
                <w:rFonts w:hint="eastAsia" w:ascii="宋体" w:hAnsi="宋体" w:cs="Times New Roman"/>
                <w:color w:val="auto"/>
                <w:szCs w:val="21"/>
                <w:highlight w:val="none"/>
                <w:lang w:eastAsia="zh-CN"/>
              </w:rPr>
              <w:t>年度定点维修服务项目</w:t>
            </w:r>
            <w:r>
              <w:rPr>
                <w:rFonts w:hint="eastAsia" w:ascii="宋体" w:hAnsi="宋体" w:cs="Times New Roman"/>
                <w:color w:val="auto"/>
                <w:szCs w:val="21"/>
                <w:highlight w:val="none"/>
              </w:rPr>
              <w:t>月度服务评价表</w:t>
            </w:r>
          </w:p>
        </w:tc>
      </w:tr>
      <w:tr w14:paraId="36A09D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22" w:type="dxa"/>
            <w:gridSpan w:val="5"/>
          </w:tcPr>
          <w:p w14:paraId="32F8D32C">
            <w:pPr>
              <w:keepNext w:val="0"/>
              <w:keepLines w:val="0"/>
              <w:pageBreakBefore w:val="0"/>
              <w:widowControl/>
              <w:kinsoku/>
              <w:wordWrap/>
              <w:overflowPunct/>
              <w:topLinePunct w:val="0"/>
              <w:autoSpaceDE/>
              <w:autoSpaceDN/>
              <w:bidi w:val="0"/>
              <w:adjustRightInd w:val="0"/>
              <w:snapToGrid w:val="0"/>
              <w:spacing w:line="240" w:lineRule="auto"/>
              <w:ind w:firstLine="0"/>
              <w:textAlignment w:val="auto"/>
              <w:rPr>
                <w:rFonts w:hint="eastAsia" w:ascii="宋体" w:hAnsi="宋体" w:cs="Times New Roman"/>
                <w:color w:val="auto"/>
                <w:szCs w:val="21"/>
                <w:highlight w:val="none"/>
              </w:rPr>
            </w:pPr>
            <w:r>
              <w:rPr>
                <w:rFonts w:hint="eastAsia" w:ascii="宋体" w:hAnsi="宋体" w:cs="Times New Roman"/>
                <w:color w:val="auto"/>
                <w:szCs w:val="21"/>
                <w:highlight w:val="none"/>
              </w:rPr>
              <w:t>受评价的服务单位：</w:t>
            </w:r>
          </w:p>
        </w:tc>
      </w:tr>
      <w:tr w14:paraId="457588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95" w:type="dxa"/>
            <w:vAlign w:val="center"/>
          </w:tcPr>
          <w:p w14:paraId="565B5747">
            <w:pPr>
              <w:keepNext w:val="0"/>
              <w:keepLines w:val="0"/>
              <w:pageBreakBefore w:val="0"/>
              <w:widowControl/>
              <w:kinsoku/>
              <w:wordWrap/>
              <w:overflowPunct/>
              <w:topLinePunct w:val="0"/>
              <w:autoSpaceDE/>
              <w:autoSpaceDN/>
              <w:bidi w:val="0"/>
              <w:adjustRightInd w:val="0"/>
              <w:snapToGrid w:val="0"/>
              <w:spacing w:line="240" w:lineRule="auto"/>
              <w:ind w:firstLine="0"/>
              <w:textAlignment w:val="auto"/>
              <w:rPr>
                <w:rFonts w:hint="eastAsia" w:ascii="宋体" w:hAnsi="宋体" w:cs="Times New Roman"/>
                <w:color w:val="auto"/>
                <w:szCs w:val="21"/>
                <w:highlight w:val="none"/>
              </w:rPr>
            </w:pPr>
            <w:r>
              <w:rPr>
                <w:rFonts w:hint="eastAsia" w:ascii="宋体" w:hAnsi="宋体" w:cs="Times New Roman"/>
                <w:color w:val="auto"/>
                <w:szCs w:val="21"/>
                <w:highlight w:val="none"/>
              </w:rPr>
              <w:t>序号</w:t>
            </w:r>
          </w:p>
        </w:tc>
        <w:tc>
          <w:tcPr>
            <w:tcW w:w="5300" w:type="dxa"/>
            <w:vAlign w:val="center"/>
          </w:tcPr>
          <w:p w14:paraId="07CEDAFE">
            <w:pPr>
              <w:keepNext w:val="0"/>
              <w:keepLines w:val="0"/>
              <w:pageBreakBefore w:val="0"/>
              <w:widowControl/>
              <w:kinsoku/>
              <w:wordWrap/>
              <w:overflowPunct/>
              <w:topLinePunct w:val="0"/>
              <w:autoSpaceDE/>
              <w:autoSpaceDN/>
              <w:bidi w:val="0"/>
              <w:adjustRightInd w:val="0"/>
              <w:snapToGrid w:val="0"/>
              <w:spacing w:line="240" w:lineRule="auto"/>
              <w:ind w:firstLine="0"/>
              <w:textAlignment w:val="auto"/>
              <w:rPr>
                <w:rFonts w:hint="eastAsia" w:ascii="宋体" w:hAnsi="宋体" w:cs="Times New Roman"/>
                <w:color w:val="auto"/>
                <w:szCs w:val="21"/>
                <w:highlight w:val="none"/>
              </w:rPr>
            </w:pPr>
            <w:r>
              <w:rPr>
                <w:rFonts w:hint="eastAsia" w:ascii="宋体" w:hAnsi="宋体" w:cs="Times New Roman"/>
                <w:color w:val="auto"/>
                <w:szCs w:val="21"/>
                <w:highlight w:val="none"/>
              </w:rPr>
              <w:t>评价内容</w:t>
            </w:r>
          </w:p>
        </w:tc>
        <w:tc>
          <w:tcPr>
            <w:tcW w:w="700" w:type="dxa"/>
            <w:vAlign w:val="center"/>
          </w:tcPr>
          <w:p w14:paraId="29C88267">
            <w:pPr>
              <w:keepNext w:val="0"/>
              <w:keepLines w:val="0"/>
              <w:pageBreakBefore w:val="0"/>
              <w:widowControl/>
              <w:kinsoku/>
              <w:wordWrap/>
              <w:overflowPunct/>
              <w:topLinePunct w:val="0"/>
              <w:autoSpaceDE/>
              <w:autoSpaceDN/>
              <w:bidi w:val="0"/>
              <w:adjustRightInd w:val="0"/>
              <w:snapToGrid w:val="0"/>
              <w:spacing w:line="240" w:lineRule="auto"/>
              <w:ind w:firstLine="0"/>
              <w:textAlignment w:val="auto"/>
              <w:rPr>
                <w:rFonts w:hint="eastAsia" w:ascii="宋体" w:hAnsi="宋体" w:cs="Times New Roman"/>
                <w:color w:val="auto"/>
                <w:szCs w:val="21"/>
                <w:highlight w:val="none"/>
              </w:rPr>
            </w:pPr>
            <w:r>
              <w:rPr>
                <w:rFonts w:hint="eastAsia" w:ascii="宋体" w:hAnsi="宋体" w:cs="Times New Roman"/>
                <w:color w:val="auto"/>
                <w:szCs w:val="21"/>
                <w:highlight w:val="none"/>
              </w:rPr>
              <w:t>分项分值</w:t>
            </w:r>
          </w:p>
        </w:tc>
        <w:tc>
          <w:tcPr>
            <w:tcW w:w="662" w:type="dxa"/>
            <w:vAlign w:val="center"/>
          </w:tcPr>
          <w:p w14:paraId="22EFBEAA">
            <w:pPr>
              <w:keepNext w:val="0"/>
              <w:keepLines w:val="0"/>
              <w:pageBreakBefore w:val="0"/>
              <w:widowControl/>
              <w:kinsoku/>
              <w:wordWrap/>
              <w:overflowPunct/>
              <w:topLinePunct w:val="0"/>
              <w:autoSpaceDE/>
              <w:autoSpaceDN/>
              <w:bidi w:val="0"/>
              <w:adjustRightInd w:val="0"/>
              <w:snapToGrid w:val="0"/>
              <w:spacing w:line="240" w:lineRule="auto"/>
              <w:ind w:firstLine="0"/>
              <w:textAlignment w:val="auto"/>
              <w:rPr>
                <w:rFonts w:hint="eastAsia" w:ascii="宋体" w:hAnsi="宋体" w:cs="Times New Roman"/>
                <w:color w:val="auto"/>
                <w:szCs w:val="21"/>
                <w:highlight w:val="none"/>
              </w:rPr>
            </w:pPr>
            <w:r>
              <w:rPr>
                <w:rFonts w:hint="eastAsia" w:ascii="宋体" w:hAnsi="宋体" w:cs="Times New Roman"/>
                <w:color w:val="auto"/>
                <w:szCs w:val="21"/>
                <w:highlight w:val="none"/>
              </w:rPr>
              <w:t>得分情况</w:t>
            </w:r>
          </w:p>
        </w:tc>
        <w:tc>
          <w:tcPr>
            <w:tcW w:w="965" w:type="dxa"/>
            <w:vAlign w:val="center"/>
          </w:tcPr>
          <w:p w14:paraId="06645B2D">
            <w:pPr>
              <w:keepNext w:val="0"/>
              <w:keepLines w:val="0"/>
              <w:pageBreakBefore w:val="0"/>
              <w:widowControl/>
              <w:kinsoku/>
              <w:wordWrap/>
              <w:overflowPunct/>
              <w:topLinePunct w:val="0"/>
              <w:autoSpaceDE/>
              <w:autoSpaceDN/>
              <w:bidi w:val="0"/>
              <w:adjustRightInd w:val="0"/>
              <w:snapToGrid w:val="0"/>
              <w:spacing w:line="240" w:lineRule="auto"/>
              <w:ind w:firstLine="0"/>
              <w:textAlignment w:val="auto"/>
              <w:rPr>
                <w:rFonts w:hint="eastAsia" w:ascii="宋体" w:hAnsi="宋体" w:cs="Times New Roman"/>
                <w:color w:val="auto"/>
                <w:szCs w:val="21"/>
                <w:highlight w:val="none"/>
              </w:rPr>
            </w:pPr>
            <w:r>
              <w:rPr>
                <w:rFonts w:hint="eastAsia" w:ascii="宋体" w:hAnsi="宋体" w:cs="Times New Roman"/>
                <w:color w:val="auto"/>
                <w:szCs w:val="21"/>
                <w:highlight w:val="none"/>
              </w:rPr>
              <w:t>备注</w:t>
            </w:r>
          </w:p>
        </w:tc>
      </w:tr>
      <w:tr w14:paraId="0CDA81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95" w:type="dxa"/>
            <w:vAlign w:val="center"/>
          </w:tcPr>
          <w:p w14:paraId="7B88F272">
            <w:pPr>
              <w:keepNext w:val="0"/>
              <w:keepLines w:val="0"/>
              <w:pageBreakBefore w:val="0"/>
              <w:widowControl/>
              <w:kinsoku/>
              <w:wordWrap/>
              <w:overflowPunct/>
              <w:topLinePunct w:val="0"/>
              <w:autoSpaceDE/>
              <w:autoSpaceDN/>
              <w:bidi w:val="0"/>
              <w:adjustRightInd w:val="0"/>
              <w:snapToGrid w:val="0"/>
              <w:spacing w:line="240" w:lineRule="auto"/>
              <w:ind w:firstLine="0"/>
              <w:textAlignment w:val="auto"/>
              <w:rPr>
                <w:rFonts w:hint="eastAsia" w:ascii="宋体" w:hAnsi="宋体" w:cs="Times New Roman"/>
                <w:color w:val="auto"/>
                <w:szCs w:val="21"/>
                <w:highlight w:val="none"/>
              </w:rPr>
            </w:pPr>
            <w:r>
              <w:rPr>
                <w:rFonts w:hint="eastAsia" w:ascii="宋体" w:hAnsi="宋体" w:cs="Times New Roman"/>
                <w:color w:val="auto"/>
                <w:szCs w:val="21"/>
                <w:highlight w:val="none"/>
              </w:rPr>
              <w:t>1</w:t>
            </w:r>
          </w:p>
        </w:tc>
        <w:tc>
          <w:tcPr>
            <w:tcW w:w="5300" w:type="dxa"/>
            <w:vAlign w:val="center"/>
          </w:tcPr>
          <w:p w14:paraId="1191E589">
            <w:pPr>
              <w:keepNext w:val="0"/>
              <w:keepLines w:val="0"/>
              <w:pageBreakBefore w:val="0"/>
              <w:widowControl/>
              <w:kinsoku/>
              <w:wordWrap/>
              <w:overflowPunct/>
              <w:topLinePunct w:val="0"/>
              <w:autoSpaceDE/>
              <w:autoSpaceDN/>
              <w:bidi w:val="0"/>
              <w:adjustRightInd w:val="0"/>
              <w:snapToGrid w:val="0"/>
              <w:spacing w:line="240" w:lineRule="auto"/>
              <w:ind w:firstLine="0"/>
              <w:textAlignment w:val="auto"/>
              <w:rPr>
                <w:rFonts w:hint="eastAsia" w:ascii="宋体" w:hAnsi="宋体" w:cs="Times New Roman"/>
                <w:color w:val="auto"/>
                <w:szCs w:val="21"/>
                <w:highlight w:val="none"/>
              </w:rPr>
            </w:pPr>
            <w:r>
              <w:rPr>
                <w:rFonts w:hint="eastAsia" w:ascii="宋体" w:hAnsi="宋体" w:cs="Times New Roman"/>
                <w:color w:val="auto"/>
                <w:szCs w:val="21"/>
                <w:highlight w:val="none"/>
              </w:rPr>
              <w:t>服务态度：服务单位的服务人员服务意识差，服务态度消极，不能耐心解释说明，视情况每次扣1-5分；</w:t>
            </w:r>
          </w:p>
        </w:tc>
        <w:tc>
          <w:tcPr>
            <w:tcW w:w="700" w:type="dxa"/>
            <w:vAlign w:val="center"/>
          </w:tcPr>
          <w:p w14:paraId="31357934">
            <w:pPr>
              <w:keepNext w:val="0"/>
              <w:keepLines w:val="0"/>
              <w:pageBreakBefore w:val="0"/>
              <w:widowControl/>
              <w:kinsoku/>
              <w:wordWrap/>
              <w:overflowPunct/>
              <w:topLinePunct w:val="0"/>
              <w:autoSpaceDE/>
              <w:autoSpaceDN/>
              <w:bidi w:val="0"/>
              <w:adjustRightInd w:val="0"/>
              <w:snapToGrid w:val="0"/>
              <w:spacing w:line="240" w:lineRule="auto"/>
              <w:ind w:firstLine="0"/>
              <w:textAlignment w:val="auto"/>
              <w:rPr>
                <w:rFonts w:hint="eastAsia" w:ascii="宋体" w:hAnsi="宋体" w:cs="Times New Roman"/>
                <w:color w:val="auto"/>
                <w:szCs w:val="21"/>
                <w:highlight w:val="none"/>
              </w:rPr>
            </w:pPr>
            <w:r>
              <w:rPr>
                <w:rFonts w:hint="eastAsia" w:ascii="宋体" w:hAnsi="宋体" w:cs="Times New Roman"/>
                <w:color w:val="auto"/>
                <w:szCs w:val="21"/>
                <w:highlight w:val="none"/>
              </w:rPr>
              <w:t>10</w:t>
            </w:r>
          </w:p>
        </w:tc>
        <w:tc>
          <w:tcPr>
            <w:tcW w:w="662" w:type="dxa"/>
            <w:vAlign w:val="center"/>
          </w:tcPr>
          <w:p w14:paraId="28937DED">
            <w:pPr>
              <w:keepNext w:val="0"/>
              <w:keepLines w:val="0"/>
              <w:pageBreakBefore w:val="0"/>
              <w:widowControl/>
              <w:kinsoku/>
              <w:wordWrap/>
              <w:overflowPunct/>
              <w:topLinePunct w:val="0"/>
              <w:autoSpaceDE/>
              <w:autoSpaceDN/>
              <w:bidi w:val="0"/>
              <w:adjustRightInd w:val="0"/>
              <w:snapToGrid w:val="0"/>
              <w:spacing w:line="240" w:lineRule="auto"/>
              <w:ind w:firstLine="0"/>
              <w:textAlignment w:val="auto"/>
              <w:rPr>
                <w:rFonts w:hint="eastAsia" w:ascii="宋体" w:hAnsi="宋体" w:cs="Times New Roman"/>
                <w:color w:val="auto"/>
                <w:szCs w:val="21"/>
                <w:highlight w:val="none"/>
              </w:rPr>
            </w:pPr>
          </w:p>
        </w:tc>
        <w:tc>
          <w:tcPr>
            <w:tcW w:w="965" w:type="dxa"/>
            <w:vAlign w:val="center"/>
          </w:tcPr>
          <w:p w14:paraId="52DAD4AB">
            <w:pPr>
              <w:keepNext w:val="0"/>
              <w:keepLines w:val="0"/>
              <w:pageBreakBefore w:val="0"/>
              <w:widowControl/>
              <w:kinsoku/>
              <w:wordWrap/>
              <w:overflowPunct/>
              <w:topLinePunct w:val="0"/>
              <w:autoSpaceDE/>
              <w:autoSpaceDN/>
              <w:bidi w:val="0"/>
              <w:adjustRightInd w:val="0"/>
              <w:snapToGrid w:val="0"/>
              <w:spacing w:line="240" w:lineRule="auto"/>
              <w:ind w:firstLine="0"/>
              <w:textAlignment w:val="auto"/>
              <w:rPr>
                <w:rFonts w:hint="eastAsia" w:ascii="宋体" w:hAnsi="宋体" w:cs="Times New Roman"/>
                <w:color w:val="auto"/>
                <w:szCs w:val="21"/>
                <w:highlight w:val="none"/>
              </w:rPr>
            </w:pPr>
          </w:p>
        </w:tc>
      </w:tr>
      <w:tr w14:paraId="17F323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95" w:type="dxa"/>
            <w:vAlign w:val="center"/>
          </w:tcPr>
          <w:p w14:paraId="14E48BFC">
            <w:pPr>
              <w:keepNext w:val="0"/>
              <w:keepLines w:val="0"/>
              <w:pageBreakBefore w:val="0"/>
              <w:widowControl/>
              <w:kinsoku/>
              <w:wordWrap/>
              <w:overflowPunct/>
              <w:topLinePunct w:val="0"/>
              <w:autoSpaceDE/>
              <w:autoSpaceDN/>
              <w:bidi w:val="0"/>
              <w:adjustRightInd w:val="0"/>
              <w:snapToGrid w:val="0"/>
              <w:spacing w:line="240" w:lineRule="auto"/>
              <w:ind w:firstLine="0"/>
              <w:textAlignment w:val="auto"/>
              <w:rPr>
                <w:rFonts w:hint="eastAsia" w:ascii="宋体" w:hAnsi="宋体" w:cs="Times New Roman"/>
                <w:color w:val="auto"/>
                <w:szCs w:val="21"/>
                <w:highlight w:val="none"/>
              </w:rPr>
            </w:pPr>
            <w:r>
              <w:rPr>
                <w:rFonts w:hint="eastAsia" w:ascii="宋体" w:hAnsi="宋体" w:cs="Times New Roman"/>
                <w:color w:val="auto"/>
                <w:szCs w:val="21"/>
                <w:highlight w:val="none"/>
              </w:rPr>
              <w:t>2</w:t>
            </w:r>
          </w:p>
        </w:tc>
        <w:tc>
          <w:tcPr>
            <w:tcW w:w="5300" w:type="dxa"/>
            <w:vAlign w:val="center"/>
          </w:tcPr>
          <w:p w14:paraId="251FC20C">
            <w:pPr>
              <w:keepNext w:val="0"/>
              <w:keepLines w:val="0"/>
              <w:pageBreakBefore w:val="0"/>
              <w:widowControl/>
              <w:kinsoku/>
              <w:wordWrap/>
              <w:overflowPunct/>
              <w:topLinePunct w:val="0"/>
              <w:autoSpaceDE/>
              <w:autoSpaceDN/>
              <w:bidi w:val="0"/>
              <w:adjustRightInd w:val="0"/>
              <w:snapToGrid w:val="0"/>
              <w:spacing w:line="240" w:lineRule="auto"/>
              <w:ind w:firstLine="0"/>
              <w:textAlignment w:val="auto"/>
              <w:rPr>
                <w:rFonts w:hint="eastAsia" w:ascii="宋体" w:hAnsi="宋体" w:cs="Times New Roman"/>
                <w:color w:val="auto"/>
                <w:szCs w:val="21"/>
                <w:highlight w:val="none"/>
              </w:rPr>
            </w:pPr>
            <w:r>
              <w:rPr>
                <w:rFonts w:hint="eastAsia" w:ascii="宋体" w:hAnsi="宋体" w:cs="Times New Roman"/>
                <w:color w:val="auto"/>
                <w:szCs w:val="21"/>
                <w:highlight w:val="none"/>
              </w:rPr>
              <w:t>维修零部件、配件等材料不满足国家或部颁标准和行业标准以及汽车维修相关标准，或使用假冒伪劣产品或以次充好，发现一次扣5分；</w:t>
            </w:r>
          </w:p>
        </w:tc>
        <w:tc>
          <w:tcPr>
            <w:tcW w:w="700" w:type="dxa"/>
            <w:vAlign w:val="center"/>
          </w:tcPr>
          <w:p w14:paraId="4E34981D">
            <w:pPr>
              <w:keepNext w:val="0"/>
              <w:keepLines w:val="0"/>
              <w:pageBreakBefore w:val="0"/>
              <w:widowControl/>
              <w:kinsoku/>
              <w:wordWrap/>
              <w:overflowPunct/>
              <w:topLinePunct w:val="0"/>
              <w:autoSpaceDE/>
              <w:autoSpaceDN/>
              <w:bidi w:val="0"/>
              <w:adjustRightInd w:val="0"/>
              <w:snapToGrid w:val="0"/>
              <w:spacing w:line="240" w:lineRule="auto"/>
              <w:ind w:firstLine="0"/>
              <w:textAlignment w:val="auto"/>
              <w:rPr>
                <w:rFonts w:hint="eastAsia" w:ascii="宋体" w:hAnsi="宋体" w:cs="Times New Roman"/>
                <w:color w:val="auto"/>
                <w:szCs w:val="21"/>
                <w:highlight w:val="none"/>
              </w:rPr>
            </w:pPr>
            <w:r>
              <w:rPr>
                <w:rFonts w:hint="eastAsia" w:ascii="宋体" w:hAnsi="宋体" w:cs="Times New Roman"/>
                <w:color w:val="auto"/>
                <w:szCs w:val="21"/>
                <w:highlight w:val="none"/>
              </w:rPr>
              <w:t>15</w:t>
            </w:r>
          </w:p>
        </w:tc>
        <w:tc>
          <w:tcPr>
            <w:tcW w:w="662" w:type="dxa"/>
            <w:vAlign w:val="center"/>
          </w:tcPr>
          <w:p w14:paraId="63FBF540">
            <w:pPr>
              <w:keepNext w:val="0"/>
              <w:keepLines w:val="0"/>
              <w:pageBreakBefore w:val="0"/>
              <w:widowControl/>
              <w:kinsoku/>
              <w:wordWrap/>
              <w:overflowPunct/>
              <w:topLinePunct w:val="0"/>
              <w:autoSpaceDE/>
              <w:autoSpaceDN/>
              <w:bidi w:val="0"/>
              <w:adjustRightInd w:val="0"/>
              <w:snapToGrid w:val="0"/>
              <w:spacing w:line="240" w:lineRule="auto"/>
              <w:ind w:firstLine="0"/>
              <w:textAlignment w:val="auto"/>
              <w:rPr>
                <w:rFonts w:hint="eastAsia" w:ascii="宋体" w:hAnsi="宋体" w:cs="Times New Roman"/>
                <w:color w:val="auto"/>
                <w:szCs w:val="21"/>
                <w:highlight w:val="none"/>
              </w:rPr>
            </w:pPr>
          </w:p>
        </w:tc>
        <w:tc>
          <w:tcPr>
            <w:tcW w:w="965" w:type="dxa"/>
            <w:vAlign w:val="center"/>
          </w:tcPr>
          <w:p w14:paraId="3EF6ACBA">
            <w:pPr>
              <w:keepNext w:val="0"/>
              <w:keepLines w:val="0"/>
              <w:pageBreakBefore w:val="0"/>
              <w:widowControl/>
              <w:kinsoku/>
              <w:wordWrap/>
              <w:overflowPunct/>
              <w:topLinePunct w:val="0"/>
              <w:autoSpaceDE/>
              <w:autoSpaceDN/>
              <w:bidi w:val="0"/>
              <w:adjustRightInd w:val="0"/>
              <w:snapToGrid w:val="0"/>
              <w:spacing w:line="240" w:lineRule="auto"/>
              <w:ind w:firstLine="0"/>
              <w:textAlignment w:val="auto"/>
              <w:rPr>
                <w:rFonts w:hint="eastAsia" w:ascii="宋体" w:hAnsi="宋体" w:cs="Times New Roman"/>
                <w:color w:val="auto"/>
                <w:szCs w:val="21"/>
                <w:highlight w:val="none"/>
              </w:rPr>
            </w:pPr>
          </w:p>
        </w:tc>
      </w:tr>
      <w:tr w14:paraId="58EF8A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95" w:type="dxa"/>
            <w:vAlign w:val="center"/>
          </w:tcPr>
          <w:p w14:paraId="452B850F">
            <w:pPr>
              <w:keepNext w:val="0"/>
              <w:keepLines w:val="0"/>
              <w:pageBreakBefore w:val="0"/>
              <w:widowControl/>
              <w:kinsoku/>
              <w:wordWrap/>
              <w:overflowPunct/>
              <w:topLinePunct w:val="0"/>
              <w:autoSpaceDE/>
              <w:autoSpaceDN/>
              <w:bidi w:val="0"/>
              <w:adjustRightInd w:val="0"/>
              <w:snapToGrid w:val="0"/>
              <w:spacing w:line="240" w:lineRule="auto"/>
              <w:ind w:firstLine="0"/>
              <w:textAlignment w:val="auto"/>
              <w:rPr>
                <w:rFonts w:hint="eastAsia" w:ascii="宋体" w:hAnsi="宋体" w:cs="Times New Roman"/>
                <w:color w:val="auto"/>
                <w:szCs w:val="21"/>
                <w:highlight w:val="none"/>
              </w:rPr>
            </w:pPr>
            <w:r>
              <w:rPr>
                <w:rFonts w:hint="eastAsia" w:ascii="宋体" w:hAnsi="宋体" w:cs="Times New Roman"/>
                <w:color w:val="auto"/>
                <w:szCs w:val="21"/>
                <w:highlight w:val="none"/>
              </w:rPr>
              <w:t>3</w:t>
            </w:r>
          </w:p>
        </w:tc>
        <w:tc>
          <w:tcPr>
            <w:tcW w:w="5300" w:type="dxa"/>
            <w:vAlign w:val="center"/>
          </w:tcPr>
          <w:p w14:paraId="58D1E892">
            <w:pPr>
              <w:keepNext w:val="0"/>
              <w:keepLines w:val="0"/>
              <w:pageBreakBefore w:val="0"/>
              <w:widowControl/>
              <w:kinsoku/>
              <w:wordWrap/>
              <w:overflowPunct/>
              <w:topLinePunct w:val="0"/>
              <w:autoSpaceDE/>
              <w:autoSpaceDN/>
              <w:bidi w:val="0"/>
              <w:adjustRightInd w:val="0"/>
              <w:snapToGrid w:val="0"/>
              <w:spacing w:line="240" w:lineRule="auto"/>
              <w:ind w:firstLine="0"/>
              <w:textAlignment w:val="auto"/>
              <w:rPr>
                <w:rFonts w:hint="eastAsia" w:ascii="宋体" w:hAnsi="宋体" w:cs="Times New Roman"/>
                <w:color w:val="auto"/>
                <w:szCs w:val="21"/>
                <w:highlight w:val="none"/>
              </w:rPr>
            </w:pPr>
            <w:r>
              <w:rPr>
                <w:rFonts w:hint="eastAsia" w:ascii="宋体" w:hAnsi="宋体" w:cs="Times New Roman"/>
                <w:color w:val="auto"/>
                <w:szCs w:val="21"/>
                <w:highlight w:val="none"/>
              </w:rPr>
              <w:t>服务单位月度返修率超过3%，扣5分；</w:t>
            </w:r>
          </w:p>
        </w:tc>
        <w:tc>
          <w:tcPr>
            <w:tcW w:w="700" w:type="dxa"/>
            <w:vAlign w:val="center"/>
          </w:tcPr>
          <w:p w14:paraId="4B690A35">
            <w:pPr>
              <w:keepNext w:val="0"/>
              <w:keepLines w:val="0"/>
              <w:pageBreakBefore w:val="0"/>
              <w:widowControl/>
              <w:kinsoku/>
              <w:wordWrap/>
              <w:overflowPunct/>
              <w:topLinePunct w:val="0"/>
              <w:autoSpaceDE/>
              <w:autoSpaceDN/>
              <w:bidi w:val="0"/>
              <w:adjustRightInd w:val="0"/>
              <w:snapToGrid w:val="0"/>
              <w:spacing w:line="240" w:lineRule="auto"/>
              <w:ind w:firstLine="0"/>
              <w:textAlignment w:val="auto"/>
              <w:rPr>
                <w:rFonts w:hint="eastAsia" w:ascii="宋体" w:hAnsi="宋体" w:cs="Times New Roman"/>
                <w:color w:val="auto"/>
                <w:szCs w:val="21"/>
                <w:highlight w:val="none"/>
              </w:rPr>
            </w:pPr>
            <w:r>
              <w:rPr>
                <w:rFonts w:hint="eastAsia" w:ascii="宋体" w:hAnsi="宋体" w:cs="Times New Roman"/>
                <w:color w:val="auto"/>
                <w:szCs w:val="21"/>
                <w:highlight w:val="none"/>
              </w:rPr>
              <w:t>5</w:t>
            </w:r>
          </w:p>
        </w:tc>
        <w:tc>
          <w:tcPr>
            <w:tcW w:w="662" w:type="dxa"/>
            <w:vAlign w:val="center"/>
          </w:tcPr>
          <w:p w14:paraId="633A63D1">
            <w:pPr>
              <w:keepNext w:val="0"/>
              <w:keepLines w:val="0"/>
              <w:pageBreakBefore w:val="0"/>
              <w:widowControl/>
              <w:kinsoku/>
              <w:wordWrap/>
              <w:overflowPunct/>
              <w:topLinePunct w:val="0"/>
              <w:autoSpaceDE/>
              <w:autoSpaceDN/>
              <w:bidi w:val="0"/>
              <w:adjustRightInd w:val="0"/>
              <w:snapToGrid w:val="0"/>
              <w:spacing w:line="240" w:lineRule="auto"/>
              <w:ind w:firstLine="0"/>
              <w:textAlignment w:val="auto"/>
              <w:rPr>
                <w:rFonts w:hint="eastAsia" w:ascii="宋体" w:hAnsi="宋体" w:cs="Times New Roman"/>
                <w:color w:val="auto"/>
                <w:szCs w:val="21"/>
                <w:highlight w:val="none"/>
              </w:rPr>
            </w:pPr>
          </w:p>
        </w:tc>
        <w:tc>
          <w:tcPr>
            <w:tcW w:w="965" w:type="dxa"/>
            <w:vAlign w:val="center"/>
          </w:tcPr>
          <w:p w14:paraId="63E1E8D5">
            <w:pPr>
              <w:keepNext w:val="0"/>
              <w:keepLines w:val="0"/>
              <w:pageBreakBefore w:val="0"/>
              <w:widowControl/>
              <w:kinsoku/>
              <w:wordWrap/>
              <w:overflowPunct/>
              <w:topLinePunct w:val="0"/>
              <w:autoSpaceDE/>
              <w:autoSpaceDN/>
              <w:bidi w:val="0"/>
              <w:adjustRightInd w:val="0"/>
              <w:snapToGrid w:val="0"/>
              <w:spacing w:line="240" w:lineRule="auto"/>
              <w:ind w:firstLine="0"/>
              <w:textAlignment w:val="auto"/>
              <w:rPr>
                <w:rFonts w:hint="eastAsia" w:ascii="宋体" w:hAnsi="宋体" w:cs="Times New Roman"/>
                <w:color w:val="auto"/>
                <w:szCs w:val="21"/>
                <w:highlight w:val="none"/>
              </w:rPr>
            </w:pPr>
          </w:p>
        </w:tc>
      </w:tr>
      <w:tr w14:paraId="52A07E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95" w:type="dxa"/>
            <w:vAlign w:val="center"/>
          </w:tcPr>
          <w:p w14:paraId="0A3ECA1D">
            <w:pPr>
              <w:keepNext w:val="0"/>
              <w:keepLines w:val="0"/>
              <w:pageBreakBefore w:val="0"/>
              <w:widowControl/>
              <w:kinsoku/>
              <w:wordWrap/>
              <w:overflowPunct/>
              <w:topLinePunct w:val="0"/>
              <w:autoSpaceDE/>
              <w:autoSpaceDN/>
              <w:bidi w:val="0"/>
              <w:adjustRightInd w:val="0"/>
              <w:snapToGrid w:val="0"/>
              <w:spacing w:line="240" w:lineRule="auto"/>
              <w:ind w:firstLine="0"/>
              <w:textAlignment w:val="auto"/>
              <w:rPr>
                <w:rFonts w:hint="eastAsia" w:ascii="宋体" w:hAnsi="宋体" w:cs="Times New Roman"/>
                <w:color w:val="auto"/>
                <w:szCs w:val="21"/>
                <w:highlight w:val="none"/>
              </w:rPr>
            </w:pPr>
            <w:r>
              <w:rPr>
                <w:rFonts w:hint="eastAsia" w:ascii="宋体" w:hAnsi="宋体" w:cs="Times New Roman"/>
                <w:color w:val="auto"/>
                <w:szCs w:val="21"/>
                <w:highlight w:val="none"/>
              </w:rPr>
              <w:t>4</w:t>
            </w:r>
          </w:p>
        </w:tc>
        <w:tc>
          <w:tcPr>
            <w:tcW w:w="5300" w:type="dxa"/>
            <w:vAlign w:val="center"/>
          </w:tcPr>
          <w:p w14:paraId="04F20327">
            <w:pPr>
              <w:keepNext w:val="0"/>
              <w:keepLines w:val="0"/>
              <w:pageBreakBefore w:val="0"/>
              <w:widowControl/>
              <w:kinsoku/>
              <w:wordWrap/>
              <w:overflowPunct/>
              <w:topLinePunct w:val="0"/>
              <w:autoSpaceDE/>
              <w:autoSpaceDN/>
              <w:bidi w:val="0"/>
              <w:adjustRightInd w:val="0"/>
              <w:snapToGrid w:val="0"/>
              <w:spacing w:line="240" w:lineRule="auto"/>
              <w:ind w:firstLine="0"/>
              <w:textAlignment w:val="auto"/>
              <w:rPr>
                <w:rFonts w:hint="eastAsia" w:ascii="宋体" w:hAnsi="宋体" w:cs="Times New Roman"/>
                <w:color w:val="auto"/>
                <w:szCs w:val="21"/>
                <w:highlight w:val="none"/>
              </w:rPr>
            </w:pPr>
            <w:r>
              <w:rPr>
                <w:rFonts w:hint="eastAsia" w:ascii="宋体" w:hAnsi="宋体" w:cs="Times New Roman"/>
                <w:color w:val="auto"/>
                <w:szCs w:val="21"/>
                <w:highlight w:val="none"/>
              </w:rPr>
              <w:t>服务单位未按要求建立汽车维修档案，记录车辆维修情况，每次扣2分；</w:t>
            </w:r>
          </w:p>
        </w:tc>
        <w:tc>
          <w:tcPr>
            <w:tcW w:w="700" w:type="dxa"/>
            <w:vAlign w:val="center"/>
          </w:tcPr>
          <w:p w14:paraId="0923AD9C">
            <w:pPr>
              <w:keepNext w:val="0"/>
              <w:keepLines w:val="0"/>
              <w:pageBreakBefore w:val="0"/>
              <w:widowControl/>
              <w:kinsoku/>
              <w:wordWrap/>
              <w:overflowPunct/>
              <w:topLinePunct w:val="0"/>
              <w:autoSpaceDE/>
              <w:autoSpaceDN/>
              <w:bidi w:val="0"/>
              <w:adjustRightInd w:val="0"/>
              <w:snapToGrid w:val="0"/>
              <w:spacing w:line="240" w:lineRule="auto"/>
              <w:ind w:firstLine="0"/>
              <w:textAlignment w:val="auto"/>
              <w:rPr>
                <w:rFonts w:hint="eastAsia" w:ascii="宋体" w:hAnsi="宋体" w:cs="Times New Roman"/>
                <w:color w:val="auto"/>
                <w:szCs w:val="21"/>
                <w:highlight w:val="none"/>
              </w:rPr>
            </w:pPr>
            <w:r>
              <w:rPr>
                <w:rFonts w:hint="eastAsia" w:ascii="宋体" w:hAnsi="宋体" w:cs="Times New Roman"/>
                <w:color w:val="auto"/>
                <w:szCs w:val="21"/>
                <w:highlight w:val="none"/>
              </w:rPr>
              <w:t>4</w:t>
            </w:r>
          </w:p>
        </w:tc>
        <w:tc>
          <w:tcPr>
            <w:tcW w:w="662" w:type="dxa"/>
            <w:vAlign w:val="center"/>
          </w:tcPr>
          <w:p w14:paraId="4BA8D164">
            <w:pPr>
              <w:keepNext w:val="0"/>
              <w:keepLines w:val="0"/>
              <w:pageBreakBefore w:val="0"/>
              <w:widowControl/>
              <w:kinsoku/>
              <w:wordWrap/>
              <w:overflowPunct/>
              <w:topLinePunct w:val="0"/>
              <w:autoSpaceDE/>
              <w:autoSpaceDN/>
              <w:bidi w:val="0"/>
              <w:adjustRightInd w:val="0"/>
              <w:snapToGrid w:val="0"/>
              <w:spacing w:line="240" w:lineRule="auto"/>
              <w:ind w:firstLine="0"/>
              <w:textAlignment w:val="auto"/>
              <w:rPr>
                <w:rFonts w:hint="eastAsia" w:ascii="宋体" w:hAnsi="宋体" w:cs="Times New Roman"/>
                <w:color w:val="auto"/>
                <w:szCs w:val="21"/>
                <w:highlight w:val="none"/>
              </w:rPr>
            </w:pPr>
          </w:p>
        </w:tc>
        <w:tc>
          <w:tcPr>
            <w:tcW w:w="965" w:type="dxa"/>
            <w:vAlign w:val="center"/>
          </w:tcPr>
          <w:p w14:paraId="64BCB02F">
            <w:pPr>
              <w:keepNext w:val="0"/>
              <w:keepLines w:val="0"/>
              <w:pageBreakBefore w:val="0"/>
              <w:widowControl/>
              <w:kinsoku/>
              <w:wordWrap/>
              <w:overflowPunct/>
              <w:topLinePunct w:val="0"/>
              <w:autoSpaceDE/>
              <w:autoSpaceDN/>
              <w:bidi w:val="0"/>
              <w:adjustRightInd w:val="0"/>
              <w:snapToGrid w:val="0"/>
              <w:spacing w:line="240" w:lineRule="auto"/>
              <w:ind w:firstLine="0"/>
              <w:textAlignment w:val="auto"/>
              <w:rPr>
                <w:rFonts w:hint="eastAsia" w:ascii="宋体" w:hAnsi="宋体" w:cs="Times New Roman"/>
                <w:color w:val="auto"/>
                <w:szCs w:val="21"/>
                <w:highlight w:val="none"/>
              </w:rPr>
            </w:pPr>
          </w:p>
        </w:tc>
      </w:tr>
      <w:tr w14:paraId="2606EF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95" w:type="dxa"/>
            <w:vAlign w:val="center"/>
          </w:tcPr>
          <w:p w14:paraId="3F7690EB">
            <w:pPr>
              <w:keepNext w:val="0"/>
              <w:keepLines w:val="0"/>
              <w:pageBreakBefore w:val="0"/>
              <w:widowControl/>
              <w:kinsoku/>
              <w:wordWrap/>
              <w:overflowPunct/>
              <w:topLinePunct w:val="0"/>
              <w:autoSpaceDE/>
              <w:autoSpaceDN/>
              <w:bidi w:val="0"/>
              <w:adjustRightInd w:val="0"/>
              <w:snapToGrid w:val="0"/>
              <w:spacing w:line="240" w:lineRule="auto"/>
              <w:ind w:firstLine="0"/>
              <w:textAlignment w:val="auto"/>
              <w:rPr>
                <w:rFonts w:hint="eastAsia" w:ascii="宋体" w:hAnsi="宋体" w:cs="Times New Roman"/>
                <w:color w:val="auto"/>
                <w:szCs w:val="21"/>
                <w:highlight w:val="none"/>
              </w:rPr>
            </w:pPr>
            <w:r>
              <w:rPr>
                <w:rFonts w:hint="eastAsia" w:ascii="宋体" w:hAnsi="宋体" w:cs="Times New Roman"/>
                <w:color w:val="auto"/>
                <w:szCs w:val="21"/>
                <w:highlight w:val="none"/>
              </w:rPr>
              <w:t>5</w:t>
            </w:r>
          </w:p>
        </w:tc>
        <w:tc>
          <w:tcPr>
            <w:tcW w:w="5300" w:type="dxa"/>
            <w:vAlign w:val="center"/>
          </w:tcPr>
          <w:p w14:paraId="5EB6AD89">
            <w:pPr>
              <w:keepNext w:val="0"/>
              <w:keepLines w:val="0"/>
              <w:pageBreakBefore w:val="0"/>
              <w:widowControl/>
              <w:kinsoku/>
              <w:wordWrap/>
              <w:overflowPunct/>
              <w:topLinePunct w:val="0"/>
              <w:autoSpaceDE/>
              <w:autoSpaceDN/>
              <w:bidi w:val="0"/>
              <w:adjustRightInd w:val="0"/>
              <w:snapToGrid w:val="0"/>
              <w:spacing w:line="240" w:lineRule="auto"/>
              <w:ind w:firstLine="0"/>
              <w:textAlignment w:val="auto"/>
              <w:rPr>
                <w:rFonts w:hint="eastAsia" w:ascii="宋体" w:hAnsi="宋体" w:cs="Times New Roman"/>
                <w:color w:val="auto"/>
                <w:szCs w:val="21"/>
                <w:highlight w:val="none"/>
              </w:rPr>
            </w:pPr>
            <w:r>
              <w:rPr>
                <w:rFonts w:hint="eastAsia" w:ascii="宋体" w:hAnsi="宋体" w:cs="Times New Roman"/>
                <w:color w:val="auto"/>
                <w:szCs w:val="21"/>
                <w:highlight w:val="none"/>
              </w:rPr>
              <w:t>服务单位未能按</w:t>
            </w:r>
            <w:r>
              <w:rPr>
                <w:rFonts w:hint="eastAsia" w:ascii="宋体" w:hAnsi="宋体" w:cs="Times New Roman"/>
                <w:color w:val="auto"/>
                <w:szCs w:val="21"/>
                <w:highlight w:val="none"/>
                <w:lang w:val="en-US" w:eastAsia="zh-CN"/>
              </w:rPr>
              <w:t>2</w:t>
            </w:r>
            <w:r>
              <w:rPr>
                <w:rFonts w:hint="eastAsia" w:ascii="宋体" w:hAnsi="宋体" w:cs="Times New Roman"/>
                <w:color w:val="auto"/>
                <w:szCs w:val="21"/>
                <w:highlight w:val="none"/>
              </w:rPr>
              <w:t>个小时要求及时赶到现场提供救援服务或无法按实提供24小时拖车服务，每次扣3分</w:t>
            </w:r>
          </w:p>
        </w:tc>
        <w:tc>
          <w:tcPr>
            <w:tcW w:w="700" w:type="dxa"/>
            <w:vAlign w:val="center"/>
          </w:tcPr>
          <w:p w14:paraId="1C652E09">
            <w:pPr>
              <w:keepNext w:val="0"/>
              <w:keepLines w:val="0"/>
              <w:pageBreakBefore w:val="0"/>
              <w:widowControl/>
              <w:kinsoku/>
              <w:wordWrap/>
              <w:overflowPunct/>
              <w:topLinePunct w:val="0"/>
              <w:autoSpaceDE/>
              <w:autoSpaceDN/>
              <w:bidi w:val="0"/>
              <w:adjustRightInd w:val="0"/>
              <w:snapToGrid w:val="0"/>
              <w:spacing w:line="240" w:lineRule="auto"/>
              <w:ind w:firstLine="0"/>
              <w:textAlignment w:val="auto"/>
              <w:rPr>
                <w:rFonts w:hint="eastAsia" w:ascii="宋体" w:hAnsi="宋体" w:cs="Times New Roman"/>
                <w:color w:val="auto"/>
                <w:szCs w:val="21"/>
                <w:highlight w:val="none"/>
              </w:rPr>
            </w:pPr>
            <w:r>
              <w:rPr>
                <w:rFonts w:hint="eastAsia" w:ascii="宋体" w:hAnsi="宋体" w:cs="Times New Roman"/>
                <w:color w:val="auto"/>
                <w:szCs w:val="21"/>
                <w:highlight w:val="none"/>
              </w:rPr>
              <w:t>6</w:t>
            </w:r>
          </w:p>
        </w:tc>
        <w:tc>
          <w:tcPr>
            <w:tcW w:w="662" w:type="dxa"/>
            <w:vAlign w:val="center"/>
          </w:tcPr>
          <w:p w14:paraId="62E14A40">
            <w:pPr>
              <w:keepNext w:val="0"/>
              <w:keepLines w:val="0"/>
              <w:pageBreakBefore w:val="0"/>
              <w:widowControl/>
              <w:kinsoku/>
              <w:wordWrap/>
              <w:overflowPunct/>
              <w:topLinePunct w:val="0"/>
              <w:autoSpaceDE/>
              <w:autoSpaceDN/>
              <w:bidi w:val="0"/>
              <w:adjustRightInd w:val="0"/>
              <w:snapToGrid w:val="0"/>
              <w:spacing w:line="240" w:lineRule="auto"/>
              <w:ind w:firstLine="0"/>
              <w:textAlignment w:val="auto"/>
              <w:rPr>
                <w:rFonts w:hint="eastAsia" w:ascii="宋体" w:hAnsi="宋体" w:cs="Times New Roman"/>
                <w:color w:val="auto"/>
                <w:szCs w:val="21"/>
                <w:highlight w:val="none"/>
              </w:rPr>
            </w:pPr>
          </w:p>
        </w:tc>
        <w:tc>
          <w:tcPr>
            <w:tcW w:w="965" w:type="dxa"/>
            <w:vAlign w:val="center"/>
          </w:tcPr>
          <w:p w14:paraId="49EA36BC">
            <w:pPr>
              <w:keepNext w:val="0"/>
              <w:keepLines w:val="0"/>
              <w:pageBreakBefore w:val="0"/>
              <w:widowControl/>
              <w:kinsoku/>
              <w:wordWrap/>
              <w:overflowPunct/>
              <w:topLinePunct w:val="0"/>
              <w:autoSpaceDE/>
              <w:autoSpaceDN/>
              <w:bidi w:val="0"/>
              <w:adjustRightInd w:val="0"/>
              <w:snapToGrid w:val="0"/>
              <w:spacing w:line="240" w:lineRule="auto"/>
              <w:ind w:firstLine="0"/>
              <w:textAlignment w:val="auto"/>
              <w:rPr>
                <w:rFonts w:hint="eastAsia" w:ascii="宋体" w:hAnsi="宋体" w:cs="Times New Roman"/>
                <w:color w:val="auto"/>
                <w:szCs w:val="21"/>
                <w:highlight w:val="none"/>
              </w:rPr>
            </w:pPr>
          </w:p>
        </w:tc>
      </w:tr>
      <w:tr w14:paraId="7D93EB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95" w:type="dxa"/>
            <w:vAlign w:val="center"/>
          </w:tcPr>
          <w:p w14:paraId="18B8ABAD">
            <w:pPr>
              <w:keepNext w:val="0"/>
              <w:keepLines w:val="0"/>
              <w:pageBreakBefore w:val="0"/>
              <w:widowControl/>
              <w:kinsoku/>
              <w:wordWrap/>
              <w:overflowPunct/>
              <w:topLinePunct w:val="0"/>
              <w:autoSpaceDE/>
              <w:autoSpaceDN/>
              <w:bidi w:val="0"/>
              <w:adjustRightInd w:val="0"/>
              <w:snapToGrid w:val="0"/>
              <w:spacing w:line="240" w:lineRule="auto"/>
              <w:ind w:firstLine="0"/>
              <w:textAlignment w:val="auto"/>
              <w:rPr>
                <w:rFonts w:hint="eastAsia" w:ascii="宋体" w:hAnsi="宋体" w:cs="Times New Roman"/>
                <w:color w:val="auto"/>
                <w:szCs w:val="21"/>
                <w:highlight w:val="none"/>
              </w:rPr>
            </w:pPr>
            <w:r>
              <w:rPr>
                <w:rFonts w:hint="eastAsia" w:ascii="宋体" w:hAnsi="宋体" w:cs="Times New Roman"/>
                <w:color w:val="auto"/>
                <w:szCs w:val="21"/>
                <w:highlight w:val="none"/>
              </w:rPr>
              <w:t>6</w:t>
            </w:r>
          </w:p>
        </w:tc>
        <w:tc>
          <w:tcPr>
            <w:tcW w:w="5300" w:type="dxa"/>
            <w:vAlign w:val="center"/>
          </w:tcPr>
          <w:p w14:paraId="0DE52B18">
            <w:pPr>
              <w:keepNext w:val="0"/>
              <w:keepLines w:val="0"/>
              <w:pageBreakBefore w:val="0"/>
              <w:widowControl/>
              <w:kinsoku/>
              <w:wordWrap/>
              <w:overflowPunct/>
              <w:topLinePunct w:val="0"/>
              <w:autoSpaceDE/>
              <w:autoSpaceDN/>
              <w:bidi w:val="0"/>
              <w:adjustRightInd w:val="0"/>
              <w:snapToGrid w:val="0"/>
              <w:spacing w:line="240" w:lineRule="auto"/>
              <w:ind w:firstLine="0"/>
              <w:textAlignment w:val="auto"/>
              <w:rPr>
                <w:rFonts w:hint="eastAsia" w:ascii="宋体" w:hAnsi="宋体" w:cs="Times New Roman"/>
                <w:color w:val="auto"/>
                <w:szCs w:val="21"/>
                <w:highlight w:val="none"/>
              </w:rPr>
            </w:pPr>
            <w:r>
              <w:rPr>
                <w:rFonts w:hint="eastAsia" w:ascii="宋体" w:hAnsi="宋体" w:cs="Times New Roman"/>
                <w:color w:val="auto"/>
                <w:szCs w:val="21"/>
                <w:highlight w:val="none"/>
              </w:rPr>
              <w:t>未经采购人同意延长维修时长情况下，小修类维修保养未能在规定时间内（紧急情况24小时、一般情况3天）完成或经双方确认为大修类维修保养未能在5天内完成，每次扣5分；</w:t>
            </w:r>
          </w:p>
        </w:tc>
        <w:tc>
          <w:tcPr>
            <w:tcW w:w="700" w:type="dxa"/>
            <w:vAlign w:val="center"/>
          </w:tcPr>
          <w:p w14:paraId="67FF3356">
            <w:pPr>
              <w:keepNext w:val="0"/>
              <w:keepLines w:val="0"/>
              <w:pageBreakBefore w:val="0"/>
              <w:widowControl/>
              <w:kinsoku/>
              <w:wordWrap/>
              <w:overflowPunct/>
              <w:topLinePunct w:val="0"/>
              <w:autoSpaceDE/>
              <w:autoSpaceDN/>
              <w:bidi w:val="0"/>
              <w:adjustRightInd w:val="0"/>
              <w:snapToGrid w:val="0"/>
              <w:spacing w:line="240" w:lineRule="auto"/>
              <w:ind w:firstLine="0"/>
              <w:textAlignment w:val="auto"/>
              <w:rPr>
                <w:rFonts w:hint="eastAsia" w:ascii="宋体" w:hAnsi="宋体" w:cs="Times New Roman"/>
                <w:color w:val="auto"/>
                <w:szCs w:val="21"/>
                <w:highlight w:val="none"/>
              </w:rPr>
            </w:pPr>
            <w:r>
              <w:rPr>
                <w:rFonts w:hint="eastAsia" w:ascii="宋体" w:hAnsi="宋体" w:cs="Times New Roman"/>
                <w:color w:val="auto"/>
                <w:szCs w:val="21"/>
                <w:highlight w:val="none"/>
              </w:rPr>
              <w:t>20</w:t>
            </w:r>
          </w:p>
        </w:tc>
        <w:tc>
          <w:tcPr>
            <w:tcW w:w="662" w:type="dxa"/>
            <w:vAlign w:val="center"/>
          </w:tcPr>
          <w:p w14:paraId="59C05F28">
            <w:pPr>
              <w:keepNext w:val="0"/>
              <w:keepLines w:val="0"/>
              <w:pageBreakBefore w:val="0"/>
              <w:widowControl/>
              <w:kinsoku/>
              <w:wordWrap/>
              <w:overflowPunct/>
              <w:topLinePunct w:val="0"/>
              <w:autoSpaceDE/>
              <w:autoSpaceDN/>
              <w:bidi w:val="0"/>
              <w:adjustRightInd w:val="0"/>
              <w:snapToGrid w:val="0"/>
              <w:spacing w:line="240" w:lineRule="auto"/>
              <w:ind w:firstLine="0"/>
              <w:textAlignment w:val="auto"/>
              <w:rPr>
                <w:rFonts w:hint="eastAsia" w:ascii="宋体" w:hAnsi="宋体" w:cs="Times New Roman"/>
                <w:color w:val="auto"/>
                <w:szCs w:val="21"/>
                <w:highlight w:val="none"/>
              </w:rPr>
            </w:pPr>
          </w:p>
        </w:tc>
        <w:tc>
          <w:tcPr>
            <w:tcW w:w="965" w:type="dxa"/>
            <w:vAlign w:val="center"/>
          </w:tcPr>
          <w:p w14:paraId="0E177B66">
            <w:pPr>
              <w:keepNext w:val="0"/>
              <w:keepLines w:val="0"/>
              <w:pageBreakBefore w:val="0"/>
              <w:widowControl/>
              <w:kinsoku/>
              <w:wordWrap/>
              <w:overflowPunct/>
              <w:topLinePunct w:val="0"/>
              <w:autoSpaceDE/>
              <w:autoSpaceDN/>
              <w:bidi w:val="0"/>
              <w:adjustRightInd w:val="0"/>
              <w:snapToGrid w:val="0"/>
              <w:spacing w:line="240" w:lineRule="auto"/>
              <w:ind w:firstLine="0"/>
              <w:textAlignment w:val="auto"/>
              <w:rPr>
                <w:rFonts w:hint="eastAsia" w:ascii="宋体" w:hAnsi="宋体" w:cs="Times New Roman"/>
                <w:color w:val="auto"/>
                <w:szCs w:val="21"/>
                <w:highlight w:val="none"/>
              </w:rPr>
            </w:pPr>
          </w:p>
        </w:tc>
      </w:tr>
      <w:tr w14:paraId="761546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95" w:type="dxa"/>
            <w:vAlign w:val="center"/>
          </w:tcPr>
          <w:p w14:paraId="5A4742F4">
            <w:pPr>
              <w:keepNext w:val="0"/>
              <w:keepLines w:val="0"/>
              <w:pageBreakBefore w:val="0"/>
              <w:widowControl/>
              <w:kinsoku/>
              <w:wordWrap/>
              <w:overflowPunct/>
              <w:topLinePunct w:val="0"/>
              <w:autoSpaceDE/>
              <w:autoSpaceDN/>
              <w:bidi w:val="0"/>
              <w:adjustRightInd w:val="0"/>
              <w:snapToGrid w:val="0"/>
              <w:spacing w:line="240" w:lineRule="auto"/>
              <w:ind w:firstLine="0"/>
              <w:textAlignment w:val="auto"/>
              <w:rPr>
                <w:rFonts w:hint="eastAsia" w:ascii="宋体" w:hAnsi="宋体" w:cs="Times New Roman"/>
                <w:color w:val="auto"/>
                <w:szCs w:val="21"/>
                <w:highlight w:val="none"/>
              </w:rPr>
            </w:pPr>
            <w:r>
              <w:rPr>
                <w:rFonts w:hint="eastAsia" w:ascii="宋体" w:hAnsi="宋体" w:cs="Times New Roman"/>
                <w:color w:val="auto"/>
                <w:szCs w:val="21"/>
                <w:highlight w:val="none"/>
              </w:rPr>
              <w:t>7</w:t>
            </w:r>
          </w:p>
        </w:tc>
        <w:tc>
          <w:tcPr>
            <w:tcW w:w="5300" w:type="dxa"/>
            <w:vAlign w:val="center"/>
          </w:tcPr>
          <w:p w14:paraId="4CC8ADD3">
            <w:pPr>
              <w:keepNext w:val="0"/>
              <w:keepLines w:val="0"/>
              <w:pageBreakBefore w:val="0"/>
              <w:widowControl/>
              <w:kinsoku/>
              <w:wordWrap/>
              <w:overflowPunct/>
              <w:topLinePunct w:val="0"/>
              <w:autoSpaceDE/>
              <w:autoSpaceDN/>
              <w:bidi w:val="0"/>
              <w:adjustRightInd w:val="0"/>
              <w:snapToGrid w:val="0"/>
              <w:spacing w:line="240" w:lineRule="auto"/>
              <w:ind w:firstLine="0"/>
              <w:textAlignment w:val="auto"/>
              <w:rPr>
                <w:rFonts w:hint="eastAsia" w:ascii="宋体" w:hAnsi="宋体" w:cs="Times New Roman"/>
                <w:color w:val="auto"/>
                <w:szCs w:val="21"/>
                <w:highlight w:val="none"/>
              </w:rPr>
            </w:pPr>
            <w:r>
              <w:rPr>
                <w:rFonts w:hint="eastAsia" w:ascii="宋体" w:hAnsi="宋体" w:cs="Times New Roman"/>
                <w:color w:val="auto"/>
                <w:szCs w:val="21"/>
                <w:highlight w:val="none"/>
              </w:rPr>
              <w:t>服务单位响应时间超过2小时或拒绝派单的，每次扣5分；</w:t>
            </w:r>
          </w:p>
        </w:tc>
        <w:tc>
          <w:tcPr>
            <w:tcW w:w="700" w:type="dxa"/>
            <w:vAlign w:val="center"/>
          </w:tcPr>
          <w:p w14:paraId="0A6DA20B">
            <w:pPr>
              <w:keepNext w:val="0"/>
              <w:keepLines w:val="0"/>
              <w:pageBreakBefore w:val="0"/>
              <w:widowControl/>
              <w:kinsoku/>
              <w:wordWrap/>
              <w:overflowPunct/>
              <w:topLinePunct w:val="0"/>
              <w:autoSpaceDE/>
              <w:autoSpaceDN/>
              <w:bidi w:val="0"/>
              <w:adjustRightInd w:val="0"/>
              <w:snapToGrid w:val="0"/>
              <w:spacing w:line="240" w:lineRule="auto"/>
              <w:ind w:firstLine="0"/>
              <w:textAlignment w:val="auto"/>
              <w:rPr>
                <w:rFonts w:hint="eastAsia" w:ascii="宋体" w:hAnsi="宋体" w:cs="Times New Roman"/>
                <w:color w:val="auto"/>
                <w:szCs w:val="21"/>
                <w:highlight w:val="none"/>
              </w:rPr>
            </w:pPr>
            <w:r>
              <w:rPr>
                <w:rFonts w:hint="eastAsia" w:ascii="宋体" w:hAnsi="宋体" w:cs="Times New Roman"/>
                <w:color w:val="auto"/>
                <w:szCs w:val="21"/>
                <w:highlight w:val="none"/>
              </w:rPr>
              <w:t>10</w:t>
            </w:r>
          </w:p>
        </w:tc>
        <w:tc>
          <w:tcPr>
            <w:tcW w:w="662" w:type="dxa"/>
            <w:vAlign w:val="center"/>
          </w:tcPr>
          <w:p w14:paraId="11BB85C9">
            <w:pPr>
              <w:keepNext w:val="0"/>
              <w:keepLines w:val="0"/>
              <w:pageBreakBefore w:val="0"/>
              <w:widowControl/>
              <w:kinsoku/>
              <w:wordWrap/>
              <w:overflowPunct/>
              <w:topLinePunct w:val="0"/>
              <w:autoSpaceDE/>
              <w:autoSpaceDN/>
              <w:bidi w:val="0"/>
              <w:adjustRightInd w:val="0"/>
              <w:snapToGrid w:val="0"/>
              <w:spacing w:line="240" w:lineRule="auto"/>
              <w:ind w:firstLine="0"/>
              <w:textAlignment w:val="auto"/>
              <w:rPr>
                <w:rFonts w:hint="eastAsia" w:ascii="宋体" w:hAnsi="宋体" w:cs="Times New Roman"/>
                <w:color w:val="auto"/>
                <w:szCs w:val="21"/>
                <w:highlight w:val="none"/>
              </w:rPr>
            </w:pPr>
          </w:p>
        </w:tc>
        <w:tc>
          <w:tcPr>
            <w:tcW w:w="965" w:type="dxa"/>
            <w:vAlign w:val="center"/>
          </w:tcPr>
          <w:p w14:paraId="6A542C34">
            <w:pPr>
              <w:keepNext w:val="0"/>
              <w:keepLines w:val="0"/>
              <w:pageBreakBefore w:val="0"/>
              <w:widowControl/>
              <w:kinsoku/>
              <w:wordWrap/>
              <w:overflowPunct/>
              <w:topLinePunct w:val="0"/>
              <w:autoSpaceDE/>
              <w:autoSpaceDN/>
              <w:bidi w:val="0"/>
              <w:adjustRightInd w:val="0"/>
              <w:snapToGrid w:val="0"/>
              <w:spacing w:line="240" w:lineRule="auto"/>
              <w:ind w:firstLine="0"/>
              <w:textAlignment w:val="auto"/>
              <w:rPr>
                <w:rFonts w:hint="eastAsia" w:ascii="宋体" w:hAnsi="宋体" w:cs="Times New Roman"/>
                <w:color w:val="auto"/>
                <w:szCs w:val="21"/>
                <w:highlight w:val="none"/>
              </w:rPr>
            </w:pPr>
          </w:p>
        </w:tc>
      </w:tr>
      <w:tr w14:paraId="35EA00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95" w:type="dxa"/>
            <w:vAlign w:val="center"/>
          </w:tcPr>
          <w:p w14:paraId="62A3BE8E">
            <w:pPr>
              <w:keepNext w:val="0"/>
              <w:keepLines w:val="0"/>
              <w:pageBreakBefore w:val="0"/>
              <w:widowControl/>
              <w:kinsoku/>
              <w:wordWrap/>
              <w:overflowPunct/>
              <w:topLinePunct w:val="0"/>
              <w:autoSpaceDE/>
              <w:autoSpaceDN/>
              <w:bidi w:val="0"/>
              <w:adjustRightInd w:val="0"/>
              <w:snapToGrid w:val="0"/>
              <w:spacing w:line="240" w:lineRule="auto"/>
              <w:ind w:firstLine="0"/>
              <w:textAlignment w:val="auto"/>
              <w:rPr>
                <w:rFonts w:hint="eastAsia" w:ascii="宋体" w:hAnsi="宋体" w:cs="Times New Roman"/>
                <w:color w:val="auto"/>
                <w:szCs w:val="21"/>
                <w:highlight w:val="none"/>
              </w:rPr>
            </w:pPr>
            <w:r>
              <w:rPr>
                <w:rFonts w:hint="eastAsia" w:ascii="宋体" w:hAnsi="宋体" w:cs="Times New Roman"/>
                <w:color w:val="auto"/>
                <w:szCs w:val="21"/>
                <w:highlight w:val="none"/>
              </w:rPr>
              <w:t>8</w:t>
            </w:r>
          </w:p>
        </w:tc>
        <w:tc>
          <w:tcPr>
            <w:tcW w:w="5300" w:type="dxa"/>
            <w:vAlign w:val="center"/>
          </w:tcPr>
          <w:p w14:paraId="7BE52377">
            <w:pPr>
              <w:keepNext w:val="0"/>
              <w:keepLines w:val="0"/>
              <w:pageBreakBefore w:val="0"/>
              <w:widowControl/>
              <w:kinsoku/>
              <w:wordWrap/>
              <w:overflowPunct/>
              <w:topLinePunct w:val="0"/>
              <w:autoSpaceDE/>
              <w:autoSpaceDN/>
              <w:bidi w:val="0"/>
              <w:adjustRightInd w:val="0"/>
              <w:snapToGrid w:val="0"/>
              <w:spacing w:line="240" w:lineRule="auto"/>
              <w:ind w:firstLine="0"/>
              <w:textAlignment w:val="auto"/>
              <w:rPr>
                <w:rFonts w:hint="eastAsia" w:ascii="宋体" w:hAnsi="宋体" w:cs="Times New Roman"/>
                <w:color w:val="auto"/>
                <w:szCs w:val="21"/>
                <w:highlight w:val="none"/>
              </w:rPr>
            </w:pPr>
            <w:r>
              <w:rPr>
                <w:rFonts w:hint="eastAsia" w:ascii="宋体" w:hAnsi="宋体" w:cs="Times New Roman"/>
                <w:color w:val="auto"/>
                <w:szCs w:val="21"/>
                <w:highlight w:val="none"/>
              </w:rPr>
              <w:t>发现服务单位与采购</w:t>
            </w:r>
            <w:r>
              <w:rPr>
                <w:rFonts w:hint="eastAsia" w:ascii="宋体" w:hAnsi="宋体" w:cs="Times New Roman"/>
                <w:color w:val="auto"/>
                <w:szCs w:val="21"/>
                <w:highlight w:val="none"/>
                <w:lang w:val="en-US" w:eastAsia="zh-CN"/>
              </w:rPr>
              <w:t>人</w:t>
            </w:r>
            <w:r>
              <w:rPr>
                <w:rFonts w:hint="eastAsia" w:ascii="宋体" w:hAnsi="宋体" w:cs="Times New Roman"/>
                <w:color w:val="auto"/>
                <w:szCs w:val="21"/>
                <w:highlight w:val="none"/>
              </w:rPr>
              <w:t>人员存在勾结、回扣、虚报车辆损坏情况等情形，经认定每次扣5分；</w:t>
            </w:r>
          </w:p>
        </w:tc>
        <w:tc>
          <w:tcPr>
            <w:tcW w:w="700" w:type="dxa"/>
            <w:vAlign w:val="center"/>
          </w:tcPr>
          <w:p w14:paraId="69D4ABC5">
            <w:pPr>
              <w:keepNext w:val="0"/>
              <w:keepLines w:val="0"/>
              <w:pageBreakBefore w:val="0"/>
              <w:widowControl/>
              <w:kinsoku/>
              <w:wordWrap/>
              <w:overflowPunct/>
              <w:topLinePunct w:val="0"/>
              <w:autoSpaceDE/>
              <w:autoSpaceDN/>
              <w:bidi w:val="0"/>
              <w:adjustRightInd w:val="0"/>
              <w:snapToGrid w:val="0"/>
              <w:spacing w:line="240" w:lineRule="auto"/>
              <w:ind w:firstLine="0"/>
              <w:textAlignment w:val="auto"/>
              <w:rPr>
                <w:rFonts w:hint="eastAsia" w:ascii="宋体" w:hAnsi="宋体" w:cs="Times New Roman"/>
                <w:color w:val="auto"/>
                <w:szCs w:val="21"/>
                <w:highlight w:val="none"/>
              </w:rPr>
            </w:pPr>
            <w:r>
              <w:rPr>
                <w:rFonts w:hint="eastAsia" w:ascii="宋体" w:hAnsi="宋体" w:cs="Times New Roman"/>
                <w:color w:val="auto"/>
                <w:szCs w:val="21"/>
                <w:highlight w:val="none"/>
              </w:rPr>
              <w:t>20</w:t>
            </w:r>
          </w:p>
        </w:tc>
        <w:tc>
          <w:tcPr>
            <w:tcW w:w="662" w:type="dxa"/>
            <w:vAlign w:val="center"/>
          </w:tcPr>
          <w:p w14:paraId="1CFCDB7C">
            <w:pPr>
              <w:keepNext w:val="0"/>
              <w:keepLines w:val="0"/>
              <w:pageBreakBefore w:val="0"/>
              <w:widowControl/>
              <w:kinsoku/>
              <w:wordWrap/>
              <w:overflowPunct/>
              <w:topLinePunct w:val="0"/>
              <w:autoSpaceDE/>
              <w:autoSpaceDN/>
              <w:bidi w:val="0"/>
              <w:adjustRightInd w:val="0"/>
              <w:snapToGrid w:val="0"/>
              <w:spacing w:line="240" w:lineRule="auto"/>
              <w:ind w:firstLine="0"/>
              <w:textAlignment w:val="auto"/>
              <w:rPr>
                <w:rFonts w:hint="eastAsia" w:ascii="宋体" w:hAnsi="宋体" w:cs="Times New Roman"/>
                <w:color w:val="auto"/>
                <w:szCs w:val="21"/>
                <w:highlight w:val="none"/>
              </w:rPr>
            </w:pPr>
          </w:p>
        </w:tc>
        <w:tc>
          <w:tcPr>
            <w:tcW w:w="965" w:type="dxa"/>
            <w:vAlign w:val="center"/>
          </w:tcPr>
          <w:p w14:paraId="2C884FFB">
            <w:pPr>
              <w:keepNext w:val="0"/>
              <w:keepLines w:val="0"/>
              <w:pageBreakBefore w:val="0"/>
              <w:widowControl/>
              <w:kinsoku/>
              <w:wordWrap/>
              <w:overflowPunct/>
              <w:topLinePunct w:val="0"/>
              <w:autoSpaceDE/>
              <w:autoSpaceDN/>
              <w:bidi w:val="0"/>
              <w:adjustRightInd w:val="0"/>
              <w:snapToGrid w:val="0"/>
              <w:spacing w:line="240" w:lineRule="auto"/>
              <w:ind w:firstLine="0"/>
              <w:textAlignment w:val="auto"/>
              <w:rPr>
                <w:rFonts w:hint="eastAsia" w:ascii="宋体" w:hAnsi="宋体" w:cs="Times New Roman"/>
                <w:color w:val="auto"/>
                <w:szCs w:val="21"/>
                <w:highlight w:val="none"/>
              </w:rPr>
            </w:pPr>
          </w:p>
        </w:tc>
      </w:tr>
      <w:tr w14:paraId="56A3A9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95" w:type="dxa"/>
            <w:vAlign w:val="center"/>
          </w:tcPr>
          <w:p w14:paraId="3858D50F">
            <w:pPr>
              <w:keepNext w:val="0"/>
              <w:keepLines w:val="0"/>
              <w:pageBreakBefore w:val="0"/>
              <w:widowControl/>
              <w:kinsoku/>
              <w:wordWrap/>
              <w:overflowPunct/>
              <w:topLinePunct w:val="0"/>
              <w:autoSpaceDE/>
              <w:autoSpaceDN/>
              <w:bidi w:val="0"/>
              <w:adjustRightInd w:val="0"/>
              <w:snapToGrid w:val="0"/>
              <w:spacing w:line="240" w:lineRule="auto"/>
              <w:ind w:firstLine="0"/>
              <w:textAlignment w:val="auto"/>
              <w:rPr>
                <w:rFonts w:hint="eastAsia" w:ascii="宋体" w:hAnsi="宋体" w:cs="Times New Roman"/>
                <w:color w:val="auto"/>
                <w:szCs w:val="21"/>
                <w:highlight w:val="none"/>
              </w:rPr>
            </w:pPr>
            <w:r>
              <w:rPr>
                <w:rFonts w:hint="eastAsia" w:ascii="宋体" w:hAnsi="宋体" w:cs="Times New Roman"/>
                <w:color w:val="auto"/>
                <w:szCs w:val="21"/>
                <w:highlight w:val="none"/>
              </w:rPr>
              <w:t>9</w:t>
            </w:r>
          </w:p>
        </w:tc>
        <w:tc>
          <w:tcPr>
            <w:tcW w:w="5300" w:type="dxa"/>
            <w:vAlign w:val="center"/>
          </w:tcPr>
          <w:p w14:paraId="2EC6CDAC">
            <w:pPr>
              <w:keepNext w:val="0"/>
              <w:keepLines w:val="0"/>
              <w:pageBreakBefore w:val="0"/>
              <w:widowControl/>
              <w:kinsoku/>
              <w:wordWrap/>
              <w:overflowPunct/>
              <w:topLinePunct w:val="0"/>
              <w:autoSpaceDE/>
              <w:autoSpaceDN/>
              <w:bidi w:val="0"/>
              <w:adjustRightInd w:val="0"/>
              <w:snapToGrid w:val="0"/>
              <w:spacing w:line="240" w:lineRule="auto"/>
              <w:ind w:firstLine="0"/>
              <w:textAlignment w:val="auto"/>
              <w:rPr>
                <w:rFonts w:hint="eastAsia" w:ascii="宋体" w:hAnsi="宋体" w:cs="Times New Roman"/>
                <w:color w:val="auto"/>
                <w:szCs w:val="21"/>
                <w:highlight w:val="none"/>
              </w:rPr>
            </w:pPr>
            <w:r>
              <w:rPr>
                <w:rFonts w:hint="eastAsia" w:ascii="宋体" w:hAnsi="宋体" w:cs="Times New Roman"/>
                <w:color w:val="auto"/>
                <w:szCs w:val="21"/>
                <w:highlight w:val="none"/>
              </w:rPr>
              <w:t>发现服务单位未履行保密义务，存在车辆维修信息披露的情形，每次扣5分</w:t>
            </w:r>
          </w:p>
        </w:tc>
        <w:tc>
          <w:tcPr>
            <w:tcW w:w="700" w:type="dxa"/>
            <w:vAlign w:val="center"/>
          </w:tcPr>
          <w:p w14:paraId="7A86E2EE">
            <w:pPr>
              <w:keepNext w:val="0"/>
              <w:keepLines w:val="0"/>
              <w:pageBreakBefore w:val="0"/>
              <w:widowControl/>
              <w:kinsoku/>
              <w:wordWrap/>
              <w:overflowPunct/>
              <w:topLinePunct w:val="0"/>
              <w:autoSpaceDE/>
              <w:autoSpaceDN/>
              <w:bidi w:val="0"/>
              <w:adjustRightInd w:val="0"/>
              <w:snapToGrid w:val="0"/>
              <w:spacing w:line="240" w:lineRule="auto"/>
              <w:ind w:firstLine="0"/>
              <w:textAlignment w:val="auto"/>
              <w:rPr>
                <w:rFonts w:hint="eastAsia" w:ascii="宋体" w:hAnsi="宋体" w:cs="Times New Roman"/>
                <w:color w:val="auto"/>
                <w:szCs w:val="21"/>
                <w:highlight w:val="none"/>
              </w:rPr>
            </w:pPr>
            <w:r>
              <w:rPr>
                <w:rFonts w:hint="eastAsia" w:ascii="宋体" w:hAnsi="宋体" w:cs="Times New Roman"/>
                <w:color w:val="auto"/>
                <w:szCs w:val="21"/>
                <w:highlight w:val="none"/>
              </w:rPr>
              <w:t>10</w:t>
            </w:r>
          </w:p>
        </w:tc>
        <w:tc>
          <w:tcPr>
            <w:tcW w:w="662" w:type="dxa"/>
            <w:vAlign w:val="center"/>
          </w:tcPr>
          <w:p w14:paraId="761DA328">
            <w:pPr>
              <w:keepNext w:val="0"/>
              <w:keepLines w:val="0"/>
              <w:pageBreakBefore w:val="0"/>
              <w:widowControl/>
              <w:kinsoku/>
              <w:wordWrap/>
              <w:overflowPunct/>
              <w:topLinePunct w:val="0"/>
              <w:autoSpaceDE/>
              <w:autoSpaceDN/>
              <w:bidi w:val="0"/>
              <w:adjustRightInd w:val="0"/>
              <w:snapToGrid w:val="0"/>
              <w:spacing w:line="240" w:lineRule="auto"/>
              <w:ind w:firstLine="0"/>
              <w:textAlignment w:val="auto"/>
              <w:rPr>
                <w:rFonts w:hint="eastAsia" w:ascii="宋体" w:hAnsi="宋体" w:cs="Times New Roman"/>
                <w:color w:val="auto"/>
                <w:szCs w:val="21"/>
                <w:highlight w:val="none"/>
              </w:rPr>
            </w:pPr>
          </w:p>
        </w:tc>
        <w:tc>
          <w:tcPr>
            <w:tcW w:w="965" w:type="dxa"/>
            <w:vAlign w:val="center"/>
          </w:tcPr>
          <w:p w14:paraId="35F2994A">
            <w:pPr>
              <w:keepNext w:val="0"/>
              <w:keepLines w:val="0"/>
              <w:pageBreakBefore w:val="0"/>
              <w:widowControl/>
              <w:kinsoku/>
              <w:wordWrap/>
              <w:overflowPunct/>
              <w:topLinePunct w:val="0"/>
              <w:autoSpaceDE/>
              <w:autoSpaceDN/>
              <w:bidi w:val="0"/>
              <w:adjustRightInd w:val="0"/>
              <w:snapToGrid w:val="0"/>
              <w:spacing w:line="240" w:lineRule="auto"/>
              <w:ind w:firstLine="0"/>
              <w:textAlignment w:val="auto"/>
              <w:rPr>
                <w:rFonts w:hint="eastAsia" w:ascii="宋体" w:hAnsi="宋体" w:cs="Times New Roman"/>
                <w:color w:val="auto"/>
                <w:szCs w:val="21"/>
                <w:highlight w:val="none"/>
              </w:rPr>
            </w:pPr>
          </w:p>
        </w:tc>
      </w:tr>
      <w:tr w14:paraId="480C8A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6" w:hRule="atLeast"/>
        </w:trPr>
        <w:tc>
          <w:tcPr>
            <w:tcW w:w="895" w:type="dxa"/>
            <w:vAlign w:val="center"/>
          </w:tcPr>
          <w:p w14:paraId="71B4DD9E">
            <w:pPr>
              <w:keepNext w:val="0"/>
              <w:keepLines w:val="0"/>
              <w:pageBreakBefore w:val="0"/>
              <w:widowControl/>
              <w:kinsoku/>
              <w:wordWrap/>
              <w:overflowPunct/>
              <w:topLinePunct w:val="0"/>
              <w:autoSpaceDE/>
              <w:autoSpaceDN/>
              <w:bidi w:val="0"/>
              <w:adjustRightInd w:val="0"/>
              <w:snapToGrid w:val="0"/>
              <w:spacing w:line="240" w:lineRule="auto"/>
              <w:ind w:firstLine="0"/>
              <w:textAlignment w:val="auto"/>
              <w:rPr>
                <w:rFonts w:hint="eastAsia" w:ascii="宋体" w:hAnsi="宋体" w:eastAsia="宋体" w:cs="Times New Roman"/>
                <w:color w:val="auto"/>
                <w:szCs w:val="21"/>
                <w:highlight w:val="none"/>
                <w:lang w:val="en-US" w:eastAsia="zh-CN"/>
              </w:rPr>
            </w:pPr>
            <w:r>
              <w:rPr>
                <w:rFonts w:hint="eastAsia" w:ascii="宋体" w:hAnsi="宋体" w:cs="Times New Roman"/>
                <w:color w:val="auto"/>
                <w:szCs w:val="21"/>
                <w:highlight w:val="none"/>
                <w:lang w:val="en-US" w:eastAsia="zh-CN"/>
              </w:rPr>
              <w:t>合计</w:t>
            </w:r>
          </w:p>
        </w:tc>
        <w:tc>
          <w:tcPr>
            <w:tcW w:w="5300" w:type="dxa"/>
            <w:vAlign w:val="center"/>
          </w:tcPr>
          <w:p w14:paraId="7639D605">
            <w:pPr>
              <w:keepNext w:val="0"/>
              <w:keepLines w:val="0"/>
              <w:pageBreakBefore w:val="0"/>
              <w:widowControl/>
              <w:kinsoku/>
              <w:wordWrap/>
              <w:overflowPunct/>
              <w:topLinePunct w:val="0"/>
              <w:autoSpaceDE/>
              <w:autoSpaceDN/>
              <w:bidi w:val="0"/>
              <w:adjustRightInd w:val="0"/>
              <w:snapToGrid w:val="0"/>
              <w:spacing w:line="240" w:lineRule="auto"/>
              <w:ind w:firstLine="0"/>
              <w:textAlignment w:val="auto"/>
              <w:rPr>
                <w:rFonts w:hint="eastAsia" w:ascii="宋体" w:hAnsi="宋体" w:cs="Times New Roman"/>
                <w:color w:val="auto"/>
                <w:szCs w:val="21"/>
                <w:highlight w:val="none"/>
              </w:rPr>
            </w:pPr>
          </w:p>
        </w:tc>
        <w:tc>
          <w:tcPr>
            <w:tcW w:w="700" w:type="dxa"/>
            <w:vAlign w:val="center"/>
          </w:tcPr>
          <w:p w14:paraId="2F4B28ED">
            <w:pPr>
              <w:keepNext w:val="0"/>
              <w:keepLines w:val="0"/>
              <w:pageBreakBefore w:val="0"/>
              <w:widowControl/>
              <w:kinsoku/>
              <w:wordWrap/>
              <w:overflowPunct/>
              <w:topLinePunct w:val="0"/>
              <w:autoSpaceDE/>
              <w:autoSpaceDN/>
              <w:bidi w:val="0"/>
              <w:adjustRightInd w:val="0"/>
              <w:snapToGrid w:val="0"/>
              <w:spacing w:line="240" w:lineRule="auto"/>
              <w:ind w:firstLine="0"/>
              <w:textAlignment w:val="auto"/>
              <w:rPr>
                <w:rFonts w:hint="eastAsia" w:ascii="宋体" w:hAnsi="宋体" w:cs="Times New Roman"/>
                <w:color w:val="auto"/>
                <w:szCs w:val="21"/>
                <w:highlight w:val="none"/>
              </w:rPr>
            </w:pPr>
          </w:p>
        </w:tc>
        <w:tc>
          <w:tcPr>
            <w:tcW w:w="662" w:type="dxa"/>
            <w:vAlign w:val="center"/>
          </w:tcPr>
          <w:p w14:paraId="7BD4E020">
            <w:pPr>
              <w:keepNext w:val="0"/>
              <w:keepLines w:val="0"/>
              <w:pageBreakBefore w:val="0"/>
              <w:widowControl/>
              <w:kinsoku/>
              <w:wordWrap/>
              <w:overflowPunct/>
              <w:topLinePunct w:val="0"/>
              <w:autoSpaceDE/>
              <w:autoSpaceDN/>
              <w:bidi w:val="0"/>
              <w:adjustRightInd w:val="0"/>
              <w:snapToGrid w:val="0"/>
              <w:spacing w:line="240" w:lineRule="auto"/>
              <w:ind w:firstLine="0"/>
              <w:textAlignment w:val="auto"/>
              <w:rPr>
                <w:rFonts w:hint="eastAsia" w:ascii="宋体" w:hAnsi="宋体" w:cs="Times New Roman"/>
                <w:color w:val="auto"/>
                <w:szCs w:val="21"/>
                <w:highlight w:val="none"/>
              </w:rPr>
            </w:pPr>
          </w:p>
        </w:tc>
        <w:tc>
          <w:tcPr>
            <w:tcW w:w="965" w:type="dxa"/>
            <w:vAlign w:val="center"/>
          </w:tcPr>
          <w:p w14:paraId="351029D3">
            <w:pPr>
              <w:keepNext w:val="0"/>
              <w:keepLines w:val="0"/>
              <w:pageBreakBefore w:val="0"/>
              <w:widowControl/>
              <w:kinsoku/>
              <w:wordWrap/>
              <w:overflowPunct/>
              <w:topLinePunct w:val="0"/>
              <w:autoSpaceDE/>
              <w:autoSpaceDN/>
              <w:bidi w:val="0"/>
              <w:adjustRightInd w:val="0"/>
              <w:snapToGrid w:val="0"/>
              <w:spacing w:line="240" w:lineRule="auto"/>
              <w:ind w:firstLine="0"/>
              <w:textAlignment w:val="auto"/>
              <w:rPr>
                <w:rFonts w:hint="eastAsia" w:ascii="宋体" w:hAnsi="宋体" w:cs="Times New Roman"/>
                <w:color w:val="auto"/>
                <w:szCs w:val="21"/>
                <w:highlight w:val="none"/>
              </w:rPr>
            </w:pPr>
          </w:p>
        </w:tc>
      </w:tr>
    </w:tbl>
    <w:p w14:paraId="4C3C1DEC">
      <w:pPr>
        <w:rPr>
          <w:rFonts w:hint="eastAsia"/>
          <w:color w:val="auto"/>
        </w:rPr>
      </w:pPr>
    </w:p>
    <w:p w14:paraId="23C5992C">
      <w:pPr>
        <w:rPr>
          <w:rFonts w:hint="eastAsia"/>
          <w:color w:val="auto"/>
          <w:sz w:val="28"/>
          <w:szCs w:val="28"/>
          <w:highlight w:val="none"/>
        </w:rPr>
      </w:pPr>
      <w:r>
        <w:rPr>
          <w:rFonts w:hint="eastAsia"/>
          <w:color w:val="auto"/>
          <w:sz w:val="28"/>
          <w:szCs w:val="28"/>
          <w:highlight w:val="none"/>
        </w:rPr>
        <w:br w:type="page"/>
      </w:r>
    </w:p>
    <w:p w14:paraId="47F44D57">
      <w:pPr>
        <w:pStyle w:val="2"/>
        <w:spacing w:before="0" w:after="0" w:line="240" w:lineRule="auto"/>
        <w:rPr>
          <w:color w:val="auto"/>
          <w:sz w:val="24"/>
          <w:szCs w:val="24"/>
          <w:highlight w:val="none"/>
        </w:rPr>
      </w:pPr>
      <w:bookmarkStart w:id="31" w:name="_Toc8235"/>
      <w:r>
        <w:rPr>
          <w:rFonts w:hint="eastAsia"/>
          <w:color w:val="auto"/>
          <w:sz w:val="28"/>
          <w:szCs w:val="28"/>
          <w:highlight w:val="none"/>
        </w:rPr>
        <w:t>第四部分投标人须知</w:t>
      </w:r>
      <w:bookmarkEnd w:id="30"/>
      <w:bookmarkEnd w:id="31"/>
    </w:p>
    <w:p w14:paraId="1C81EA5F">
      <w:pPr>
        <w:pStyle w:val="3"/>
        <w:numPr>
          <w:ilvl w:val="0"/>
          <w:numId w:val="2"/>
        </w:numPr>
        <w:spacing w:before="0" w:after="0" w:line="480" w:lineRule="auto"/>
        <w:jc w:val="center"/>
        <w:rPr>
          <w:rFonts w:ascii="宋体" w:hAnsi="宋体"/>
          <w:color w:val="auto"/>
          <w:highlight w:val="none"/>
        </w:rPr>
      </w:pPr>
      <w:bookmarkStart w:id="32" w:name="_Toc25201"/>
      <w:bookmarkStart w:id="33" w:name="_Toc9362"/>
      <w:r>
        <w:rPr>
          <w:rFonts w:hint="eastAsia" w:ascii="宋体" w:hAnsi="宋体"/>
          <w:color w:val="auto"/>
          <w:highlight w:val="none"/>
        </w:rPr>
        <w:t>说明</w:t>
      </w:r>
      <w:bookmarkEnd w:id="32"/>
      <w:bookmarkEnd w:id="33"/>
    </w:p>
    <w:p w14:paraId="3EB93C5D">
      <w:pPr>
        <w:pStyle w:val="4"/>
        <w:widowControl w:val="0"/>
        <w:numPr>
          <w:ilvl w:val="0"/>
          <w:numId w:val="3"/>
        </w:numPr>
        <w:overflowPunct w:val="0"/>
        <w:rPr>
          <w:rFonts w:ascii="宋体" w:hAnsi="宋体" w:cs="宋体"/>
          <w:color w:val="auto"/>
          <w:sz w:val="21"/>
          <w:szCs w:val="21"/>
          <w:highlight w:val="none"/>
        </w:rPr>
      </w:pPr>
      <w:bookmarkStart w:id="34" w:name="_Toc28439"/>
      <w:bookmarkStart w:id="35" w:name="_Toc18690"/>
      <w:bookmarkStart w:id="36" w:name="_Toc3534"/>
      <w:r>
        <w:rPr>
          <w:rFonts w:hint="eastAsia" w:ascii="宋体" w:hAnsi="宋体" w:cs="宋体"/>
          <w:color w:val="auto"/>
          <w:sz w:val="21"/>
          <w:szCs w:val="21"/>
          <w:highlight w:val="none"/>
        </w:rPr>
        <w:t>适用范围</w:t>
      </w:r>
      <w:bookmarkEnd w:id="34"/>
      <w:bookmarkEnd w:id="35"/>
      <w:bookmarkEnd w:id="36"/>
    </w:p>
    <w:p w14:paraId="4D811675">
      <w:pPr>
        <w:widowControl w:val="0"/>
        <w:numPr>
          <w:ilvl w:val="1"/>
          <w:numId w:val="3"/>
        </w:numPr>
        <w:overflowPunct w:val="0"/>
        <w:rPr>
          <w:rFonts w:ascii="宋体" w:hAnsi="宋体" w:cs="宋体"/>
          <w:color w:val="auto"/>
          <w:szCs w:val="21"/>
          <w:highlight w:val="none"/>
        </w:rPr>
      </w:pPr>
      <w:r>
        <w:rPr>
          <w:rFonts w:hint="eastAsia" w:ascii="宋体" w:hAnsi="宋体" w:cs="宋体"/>
          <w:color w:val="auto"/>
          <w:szCs w:val="21"/>
          <w:highlight w:val="none"/>
        </w:rPr>
        <w:t>采购范围：见本文件《用户需求书》</w:t>
      </w:r>
    </w:p>
    <w:p w14:paraId="1124B3C0">
      <w:pPr>
        <w:rPr>
          <w:rFonts w:ascii="宋体" w:hAnsi="宋体" w:cs="宋体"/>
          <w:color w:val="auto"/>
          <w:highlight w:val="none"/>
        </w:rPr>
      </w:pPr>
    </w:p>
    <w:p w14:paraId="6D8A7314">
      <w:pPr>
        <w:pStyle w:val="4"/>
        <w:widowControl w:val="0"/>
        <w:numPr>
          <w:ilvl w:val="0"/>
          <w:numId w:val="3"/>
        </w:numPr>
        <w:overflowPunct w:val="0"/>
        <w:rPr>
          <w:rFonts w:ascii="宋体" w:hAnsi="宋体" w:cs="宋体"/>
          <w:color w:val="auto"/>
          <w:sz w:val="21"/>
          <w:szCs w:val="21"/>
          <w:highlight w:val="none"/>
        </w:rPr>
      </w:pPr>
      <w:bookmarkStart w:id="37" w:name="_Toc16015"/>
      <w:bookmarkStart w:id="38" w:name="_Toc28435"/>
      <w:bookmarkStart w:id="39" w:name="_Toc382049092"/>
      <w:bookmarkStart w:id="40" w:name="_Toc1530"/>
      <w:bookmarkStart w:id="41" w:name="_Toc303084246"/>
      <w:bookmarkStart w:id="42" w:name="_Toc298847174"/>
      <w:bookmarkStart w:id="43" w:name="_Toc20286"/>
      <w:r>
        <w:rPr>
          <w:rFonts w:hint="eastAsia" w:ascii="宋体" w:hAnsi="宋体" w:cs="宋体"/>
          <w:color w:val="auto"/>
          <w:sz w:val="21"/>
          <w:szCs w:val="21"/>
          <w:highlight w:val="none"/>
        </w:rPr>
        <w:t>定义</w:t>
      </w:r>
      <w:bookmarkEnd w:id="37"/>
      <w:bookmarkEnd w:id="38"/>
      <w:bookmarkEnd w:id="39"/>
      <w:bookmarkEnd w:id="40"/>
      <w:bookmarkEnd w:id="41"/>
      <w:bookmarkEnd w:id="42"/>
      <w:bookmarkEnd w:id="43"/>
    </w:p>
    <w:p w14:paraId="77CA92AE">
      <w:pPr>
        <w:pStyle w:val="20"/>
        <w:widowControl w:val="0"/>
        <w:adjustRightInd/>
        <w:snapToGrid/>
        <w:ind w:left="425" w:hanging="425" w:firstLineChars="0"/>
        <w:jc w:val="both"/>
        <w:rPr>
          <w:rFonts w:ascii="宋体" w:hAnsi="宋体" w:cs="宋体"/>
          <w:vanish/>
          <w:color w:val="auto"/>
          <w:szCs w:val="21"/>
          <w:highlight w:val="none"/>
        </w:rPr>
      </w:pPr>
    </w:p>
    <w:p w14:paraId="68456762">
      <w:pPr>
        <w:widowControl w:val="0"/>
        <w:numPr>
          <w:ilvl w:val="1"/>
          <w:numId w:val="3"/>
        </w:numPr>
        <w:overflowPunct w:val="0"/>
        <w:rPr>
          <w:rFonts w:ascii="宋体" w:hAnsi="宋体" w:cs="宋体"/>
          <w:color w:val="auto"/>
          <w:szCs w:val="21"/>
          <w:highlight w:val="none"/>
        </w:rPr>
      </w:pPr>
      <w:r>
        <w:rPr>
          <w:rFonts w:hint="eastAsia" w:ascii="宋体" w:hAnsi="宋体" w:cs="宋体"/>
          <w:color w:val="auto"/>
          <w:szCs w:val="21"/>
          <w:highlight w:val="none"/>
        </w:rPr>
        <w:t>采购人：见投标邀请书。</w:t>
      </w:r>
    </w:p>
    <w:p w14:paraId="31789EAC">
      <w:pPr>
        <w:widowControl w:val="0"/>
        <w:numPr>
          <w:ilvl w:val="1"/>
          <w:numId w:val="3"/>
        </w:numPr>
        <w:overflowPunct w:val="0"/>
        <w:rPr>
          <w:rFonts w:ascii="宋体" w:hAnsi="宋体" w:cs="宋体"/>
          <w:color w:val="auto"/>
          <w:szCs w:val="21"/>
          <w:highlight w:val="none"/>
        </w:rPr>
      </w:pPr>
      <w:r>
        <w:rPr>
          <w:rFonts w:hint="eastAsia" w:ascii="宋体" w:hAnsi="宋体" w:cs="宋体"/>
          <w:color w:val="auto"/>
          <w:szCs w:val="21"/>
          <w:highlight w:val="none"/>
        </w:rPr>
        <w:t>投标人：响应采购并且符合采购文件规定资格条件和参加投标竞争的法人、其他组织或者自然人。</w:t>
      </w:r>
    </w:p>
    <w:p w14:paraId="3D0AD246">
      <w:pPr>
        <w:widowControl w:val="0"/>
        <w:numPr>
          <w:ilvl w:val="1"/>
          <w:numId w:val="3"/>
        </w:numPr>
        <w:overflowPunct w:val="0"/>
        <w:rPr>
          <w:rFonts w:ascii="宋体" w:hAnsi="宋体" w:cs="宋体"/>
          <w:color w:val="auto"/>
          <w:szCs w:val="21"/>
          <w:highlight w:val="none"/>
        </w:rPr>
      </w:pPr>
      <w:r>
        <w:rPr>
          <w:rFonts w:hint="eastAsia" w:ascii="宋体" w:hAnsi="宋体" w:cs="宋体"/>
          <w:color w:val="auto"/>
          <w:szCs w:val="21"/>
          <w:highlight w:val="none"/>
        </w:rPr>
        <w:t>法人：法人是依法在国内进行注册并具有民事权利能力和民事行为能力，依法独立享有民事权利和承担民事义务的组织。</w:t>
      </w:r>
    </w:p>
    <w:p w14:paraId="3C940936">
      <w:pPr>
        <w:widowControl w:val="0"/>
        <w:numPr>
          <w:ilvl w:val="1"/>
          <w:numId w:val="3"/>
        </w:numPr>
        <w:overflowPunct w:val="0"/>
        <w:rPr>
          <w:rFonts w:ascii="宋体" w:hAnsi="宋体" w:cs="宋体"/>
          <w:color w:val="auto"/>
          <w:szCs w:val="21"/>
          <w:highlight w:val="none"/>
        </w:rPr>
      </w:pPr>
      <w:r>
        <w:rPr>
          <w:rFonts w:hint="eastAsia" w:ascii="宋体" w:hAnsi="宋体" w:cs="宋体"/>
          <w:color w:val="auto"/>
          <w:szCs w:val="21"/>
          <w:highlight w:val="none"/>
        </w:rPr>
        <w:t>中标人：指经评标委员会评审推荐、采购人确认的获得本项目中标资格的投标人。</w:t>
      </w:r>
    </w:p>
    <w:p w14:paraId="0CA6AFA2">
      <w:pPr>
        <w:widowControl w:val="0"/>
        <w:numPr>
          <w:ilvl w:val="1"/>
          <w:numId w:val="3"/>
        </w:numPr>
        <w:overflowPunct w:val="0"/>
        <w:rPr>
          <w:rFonts w:ascii="宋体" w:hAnsi="宋体" w:cs="宋体"/>
          <w:color w:val="auto"/>
          <w:szCs w:val="21"/>
          <w:highlight w:val="none"/>
        </w:rPr>
      </w:pPr>
      <w:r>
        <w:rPr>
          <w:rFonts w:hint="eastAsia" w:ascii="宋体" w:hAnsi="宋体" w:cs="宋体"/>
          <w:color w:val="auto"/>
          <w:szCs w:val="21"/>
          <w:highlight w:val="none"/>
        </w:rPr>
        <w:t>采购代理机构：见投标邀请书。</w:t>
      </w:r>
    </w:p>
    <w:p w14:paraId="0D066444">
      <w:pPr>
        <w:widowControl w:val="0"/>
        <w:numPr>
          <w:ilvl w:val="1"/>
          <w:numId w:val="3"/>
        </w:numPr>
        <w:overflowPunct w:val="0"/>
        <w:rPr>
          <w:rFonts w:ascii="宋体" w:hAnsi="宋体" w:cs="宋体"/>
          <w:color w:val="auto"/>
          <w:szCs w:val="21"/>
          <w:highlight w:val="none"/>
        </w:rPr>
      </w:pPr>
      <w:r>
        <w:rPr>
          <w:rFonts w:hint="eastAsia" w:ascii="宋体" w:hAnsi="宋体" w:cs="宋体"/>
          <w:color w:val="auto"/>
          <w:szCs w:val="21"/>
          <w:highlight w:val="none"/>
        </w:rPr>
        <w:t>评标委员会：评标委员会是依据相关规定组建的专门负责本次采购其评标工作的临时性机构。</w:t>
      </w:r>
    </w:p>
    <w:p w14:paraId="366BB94D">
      <w:pPr>
        <w:widowControl w:val="0"/>
        <w:numPr>
          <w:ilvl w:val="1"/>
          <w:numId w:val="3"/>
        </w:numPr>
        <w:overflowPunct w:val="0"/>
        <w:rPr>
          <w:rFonts w:ascii="宋体" w:hAnsi="宋体" w:cs="宋体"/>
          <w:color w:val="auto"/>
          <w:szCs w:val="21"/>
          <w:highlight w:val="none"/>
        </w:rPr>
      </w:pPr>
      <w:r>
        <w:rPr>
          <w:rFonts w:hint="eastAsia" w:ascii="宋体" w:hAnsi="宋体" w:cs="宋体"/>
          <w:color w:val="auto"/>
          <w:szCs w:val="21"/>
          <w:highlight w:val="none"/>
        </w:rPr>
        <w:t>合同：指由本次采购所产生的合同或合约文件。</w:t>
      </w:r>
    </w:p>
    <w:p w14:paraId="75D35601">
      <w:pPr>
        <w:widowControl w:val="0"/>
        <w:numPr>
          <w:ilvl w:val="1"/>
          <w:numId w:val="3"/>
        </w:numPr>
        <w:overflowPunct w:val="0"/>
        <w:rPr>
          <w:rFonts w:ascii="宋体" w:hAnsi="宋体" w:cs="宋体"/>
          <w:color w:val="auto"/>
          <w:szCs w:val="21"/>
          <w:highlight w:val="none"/>
        </w:rPr>
      </w:pPr>
      <w:r>
        <w:rPr>
          <w:rFonts w:hint="eastAsia" w:ascii="宋体" w:hAnsi="宋体" w:cs="宋体"/>
          <w:color w:val="auto"/>
          <w:szCs w:val="21"/>
          <w:highlight w:val="none"/>
        </w:rPr>
        <w:t>公章：公章是指经过正规的法定程序并备案的法人公章与投标专用章。（投标人如在投标文件中使用“投标专用章”，应提供法定代表人签字或加盖公章说明该“投标专用章”与法人公章具备同等效力的证明文件，且投标当天应携带相关原件到现场，以供核查。因投标文件未提供相关手续复印件和无法核查投标专用章的真实性而导致的后果由投标人自行承担。）</w:t>
      </w:r>
    </w:p>
    <w:p w14:paraId="13F08E92">
      <w:pPr>
        <w:widowControl w:val="0"/>
        <w:numPr>
          <w:ilvl w:val="1"/>
          <w:numId w:val="3"/>
        </w:numPr>
        <w:overflowPunct w:val="0"/>
        <w:rPr>
          <w:rFonts w:ascii="宋体" w:hAnsi="宋体" w:cs="宋体"/>
          <w:color w:val="auto"/>
          <w:szCs w:val="21"/>
          <w:highlight w:val="none"/>
        </w:rPr>
      </w:pPr>
      <w:r>
        <w:rPr>
          <w:rFonts w:hint="eastAsia" w:ascii="宋体" w:hAnsi="宋体" w:cs="宋体"/>
          <w:color w:val="auto"/>
          <w:szCs w:val="21"/>
          <w:highlight w:val="none"/>
        </w:rPr>
        <w:t>时间：本文件规定按日计算期间的，开始当天不计入，从次日开始计算。期限的最后一日是国家法定节假日的，顺延到节假日后的次日为期限的最后一日。</w:t>
      </w:r>
    </w:p>
    <w:p w14:paraId="086434DC">
      <w:pPr>
        <w:rPr>
          <w:rFonts w:ascii="宋体" w:hAnsi="宋体" w:cs="宋体"/>
          <w:color w:val="auto"/>
          <w:highlight w:val="none"/>
        </w:rPr>
      </w:pPr>
    </w:p>
    <w:p w14:paraId="504B76EC">
      <w:pPr>
        <w:pStyle w:val="4"/>
        <w:widowControl w:val="0"/>
        <w:numPr>
          <w:ilvl w:val="0"/>
          <w:numId w:val="3"/>
        </w:numPr>
        <w:overflowPunct w:val="0"/>
        <w:rPr>
          <w:rFonts w:ascii="宋体" w:hAnsi="宋体" w:cs="宋体"/>
          <w:color w:val="auto"/>
          <w:sz w:val="21"/>
          <w:szCs w:val="21"/>
          <w:highlight w:val="none"/>
        </w:rPr>
      </w:pPr>
      <w:bookmarkStart w:id="44" w:name="_Toc11624"/>
      <w:bookmarkStart w:id="45" w:name="_Toc24701"/>
      <w:bookmarkStart w:id="46" w:name="_Toc10625"/>
      <w:r>
        <w:rPr>
          <w:rFonts w:hint="eastAsia" w:ascii="宋体" w:hAnsi="宋体" w:cs="宋体"/>
          <w:color w:val="auto"/>
          <w:sz w:val="21"/>
          <w:szCs w:val="21"/>
          <w:highlight w:val="none"/>
        </w:rPr>
        <w:t>货物和服务</w:t>
      </w:r>
      <w:bookmarkEnd w:id="44"/>
      <w:bookmarkEnd w:id="45"/>
      <w:bookmarkEnd w:id="46"/>
    </w:p>
    <w:p w14:paraId="653CB5DF">
      <w:pPr>
        <w:pStyle w:val="20"/>
        <w:widowControl w:val="0"/>
        <w:adjustRightInd/>
        <w:snapToGrid/>
        <w:ind w:left="425" w:hanging="425" w:firstLineChars="0"/>
        <w:jc w:val="both"/>
        <w:rPr>
          <w:rFonts w:ascii="宋体" w:hAnsi="宋体" w:cs="宋体"/>
          <w:vanish/>
          <w:color w:val="auto"/>
          <w:szCs w:val="21"/>
          <w:highlight w:val="none"/>
        </w:rPr>
      </w:pPr>
    </w:p>
    <w:p w14:paraId="305D63CD">
      <w:pPr>
        <w:widowControl w:val="0"/>
        <w:numPr>
          <w:ilvl w:val="1"/>
          <w:numId w:val="3"/>
        </w:numPr>
        <w:overflowPunct w:val="0"/>
        <w:rPr>
          <w:rFonts w:ascii="宋体" w:hAnsi="宋体" w:cs="宋体"/>
          <w:color w:val="auto"/>
          <w:szCs w:val="21"/>
          <w:highlight w:val="none"/>
        </w:rPr>
      </w:pPr>
      <w:r>
        <w:rPr>
          <w:rFonts w:hint="eastAsia" w:ascii="宋体" w:hAnsi="宋体" w:cs="宋体"/>
          <w:color w:val="auto"/>
          <w:szCs w:val="21"/>
          <w:highlight w:val="none"/>
        </w:rPr>
        <w:t>货物是指各种形态和种类的物品，包括原材料、燃料、设备、产品等。</w:t>
      </w:r>
    </w:p>
    <w:p w14:paraId="3C52D78E">
      <w:pPr>
        <w:widowControl w:val="0"/>
        <w:numPr>
          <w:ilvl w:val="1"/>
          <w:numId w:val="3"/>
        </w:numPr>
        <w:overflowPunct w:val="0"/>
        <w:rPr>
          <w:rFonts w:ascii="宋体" w:hAnsi="宋体" w:cs="宋体"/>
          <w:color w:val="auto"/>
          <w:szCs w:val="21"/>
          <w:highlight w:val="none"/>
        </w:rPr>
      </w:pPr>
      <w:r>
        <w:rPr>
          <w:rFonts w:hint="eastAsia" w:ascii="宋体" w:hAnsi="宋体" w:cs="宋体"/>
          <w:color w:val="auto"/>
          <w:szCs w:val="21"/>
          <w:highlight w:val="none"/>
        </w:rPr>
        <w:t>服务是指除货物和工程以外的其他采购对象。</w:t>
      </w:r>
    </w:p>
    <w:p w14:paraId="65040DA9">
      <w:pPr>
        <w:rPr>
          <w:rFonts w:ascii="宋体" w:hAnsi="宋体" w:cs="宋体"/>
          <w:color w:val="auto"/>
          <w:highlight w:val="none"/>
        </w:rPr>
      </w:pPr>
    </w:p>
    <w:p w14:paraId="60BF0CB4">
      <w:pPr>
        <w:pStyle w:val="4"/>
        <w:widowControl w:val="0"/>
        <w:numPr>
          <w:ilvl w:val="0"/>
          <w:numId w:val="3"/>
        </w:numPr>
        <w:overflowPunct w:val="0"/>
        <w:rPr>
          <w:rFonts w:ascii="宋体" w:hAnsi="宋体" w:cs="宋体"/>
          <w:color w:val="auto"/>
          <w:sz w:val="21"/>
          <w:szCs w:val="21"/>
          <w:highlight w:val="none"/>
        </w:rPr>
      </w:pPr>
      <w:bookmarkStart w:id="47" w:name="_Toc1673"/>
      <w:bookmarkStart w:id="48" w:name="_Toc15719"/>
      <w:bookmarkStart w:id="49" w:name="_Toc12640"/>
      <w:r>
        <w:rPr>
          <w:rFonts w:hint="eastAsia" w:ascii="宋体" w:hAnsi="宋体" w:cs="宋体"/>
          <w:color w:val="auto"/>
          <w:sz w:val="21"/>
          <w:szCs w:val="21"/>
          <w:highlight w:val="none"/>
        </w:rPr>
        <w:t>投标费用</w:t>
      </w:r>
      <w:bookmarkEnd w:id="47"/>
      <w:bookmarkEnd w:id="48"/>
      <w:bookmarkEnd w:id="49"/>
    </w:p>
    <w:p w14:paraId="017351A8">
      <w:pPr>
        <w:pStyle w:val="20"/>
        <w:widowControl w:val="0"/>
        <w:adjustRightInd/>
        <w:snapToGrid/>
        <w:ind w:left="425" w:hanging="425" w:firstLineChars="0"/>
        <w:jc w:val="both"/>
        <w:rPr>
          <w:rFonts w:ascii="宋体" w:hAnsi="宋体" w:cs="宋体"/>
          <w:vanish/>
          <w:color w:val="auto"/>
          <w:szCs w:val="21"/>
          <w:highlight w:val="none"/>
        </w:rPr>
      </w:pPr>
    </w:p>
    <w:p w14:paraId="2925BC66">
      <w:pPr>
        <w:widowControl w:val="0"/>
        <w:numPr>
          <w:ilvl w:val="1"/>
          <w:numId w:val="3"/>
        </w:numPr>
        <w:overflowPunct w:val="0"/>
        <w:rPr>
          <w:rFonts w:ascii="宋体" w:hAnsi="宋体" w:cs="宋体"/>
          <w:color w:val="auto"/>
          <w:szCs w:val="21"/>
          <w:highlight w:val="none"/>
        </w:rPr>
      </w:pPr>
      <w:r>
        <w:rPr>
          <w:rFonts w:hint="eastAsia" w:ascii="宋体" w:hAnsi="宋体" w:cs="宋体"/>
          <w:color w:val="auto"/>
          <w:szCs w:val="21"/>
          <w:highlight w:val="none"/>
        </w:rPr>
        <w:t>投标人应承担所有与编写投标文件和参加投标有关的自身的所有费用，不论投标的结果如何，采购代理机构和采购人在任何情况下均无义务和责任承担这些费用。</w:t>
      </w:r>
    </w:p>
    <w:p w14:paraId="403563A9">
      <w:pPr>
        <w:widowControl w:val="0"/>
        <w:adjustRightInd/>
        <w:snapToGrid/>
        <w:jc w:val="both"/>
        <w:rPr>
          <w:rFonts w:ascii="宋体" w:hAnsi="宋体" w:cs="宋体"/>
          <w:color w:val="auto"/>
          <w:szCs w:val="21"/>
          <w:highlight w:val="none"/>
        </w:rPr>
      </w:pPr>
    </w:p>
    <w:p w14:paraId="4F8CA6F0">
      <w:pPr>
        <w:pStyle w:val="4"/>
        <w:widowControl w:val="0"/>
        <w:numPr>
          <w:ilvl w:val="0"/>
          <w:numId w:val="3"/>
        </w:numPr>
        <w:overflowPunct w:val="0"/>
        <w:rPr>
          <w:rFonts w:ascii="宋体" w:hAnsi="宋体" w:cs="宋体"/>
          <w:color w:val="auto"/>
          <w:sz w:val="21"/>
          <w:szCs w:val="21"/>
          <w:highlight w:val="none"/>
        </w:rPr>
      </w:pPr>
      <w:bookmarkStart w:id="50" w:name="_Toc9121"/>
      <w:bookmarkStart w:id="51" w:name="_Toc21477"/>
      <w:bookmarkStart w:id="52" w:name="_Toc6180"/>
      <w:r>
        <w:rPr>
          <w:rFonts w:hint="eastAsia" w:ascii="宋体" w:hAnsi="宋体" w:cs="宋体"/>
          <w:color w:val="auto"/>
          <w:sz w:val="21"/>
          <w:szCs w:val="21"/>
          <w:highlight w:val="none"/>
        </w:rPr>
        <w:t>知识产权</w:t>
      </w:r>
      <w:bookmarkEnd w:id="50"/>
      <w:bookmarkEnd w:id="51"/>
      <w:bookmarkEnd w:id="52"/>
    </w:p>
    <w:p w14:paraId="1F956E51">
      <w:pPr>
        <w:pStyle w:val="20"/>
        <w:widowControl w:val="0"/>
        <w:adjustRightInd/>
        <w:snapToGrid/>
        <w:ind w:left="425" w:hanging="425" w:firstLineChars="0"/>
        <w:jc w:val="both"/>
        <w:rPr>
          <w:rFonts w:ascii="宋体" w:hAnsi="宋体" w:cs="宋体"/>
          <w:vanish/>
          <w:color w:val="auto"/>
          <w:szCs w:val="21"/>
          <w:highlight w:val="none"/>
        </w:rPr>
      </w:pPr>
    </w:p>
    <w:p w14:paraId="7692A908">
      <w:pPr>
        <w:widowControl w:val="0"/>
        <w:numPr>
          <w:ilvl w:val="1"/>
          <w:numId w:val="3"/>
        </w:numPr>
        <w:overflowPunct w:val="0"/>
        <w:rPr>
          <w:rFonts w:ascii="宋体" w:hAnsi="宋体" w:cs="宋体"/>
          <w:color w:val="auto"/>
          <w:szCs w:val="21"/>
          <w:highlight w:val="none"/>
        </w:rPr>
      </w:pPr>
      <w:r>
        <w:rPr>
          <w:rFonts w:hint="eastAsia" w:ascii="宋体" w:hAnsi="宋体" w:cs="宋体"/>
          <w:color w:val="auto"/>
          <w:szCs w:val="21"/>
          <w:highlight w:val="none"/>
        </w:rPr>
        <w:t>投标人应保证在本项目使用的任何产品和服务（包括部分使用）时，不会产生因第三方提出侵犯其专利权、商标权或其它知识产权而引起的法律和经济纠纷，如因专利权、商标权或其它知识产权而引起法律和经济纠纷，由投标人承担所有相关责任。</w:t>
      </w:r>
    </w:p>
    <w:p w14:paraId="1AC67A58">
      <w:pPr>
        <w:widowControl w:val="0"/>
        <w:numPr>
          <w:ilvl w:val="1"/>
          <w:numId w:val="3"/>
        </w:numPr>
        <w:overflowPunct w:val="0"/>
        <w:rPr>
          <w:rFonts w:ascii="宋体" w:hAnsi="宋体" w:cs="宋体"/>
          <w:color w:val="auto"/>
          <w:szCs w:val="21"/>
          <w:highlight w:val="none"/>
        </w:rPr>
      </w:pPr>
      <w:r>
        <w:rPr>
          <w:rFonts w:hint="eastAsia" w:ascii="宋体" w:hAnsi="宋体" w:cs="宋体"/>
          <w:color w:val="auto"/>
          <w:szCs w:val="21"/>
          <w:highlight w:val="none"/>
        </w:rPr>
        <w:t>采购人享有本项目实施过程中产生的知识成果及知识产权。</w:t>
      </w:r>
    </w:p>
    <w:p w14:paraId="3FCF8569">
      <w:pPr>
        <w:widowControl w:val="0"/>
        <w:numPr>
          <w:ilvl w:val="1"/>
          <w:numId w:val="3"/>
        </w:numPr>
        <w:overflowPunct w:val="0"/>
        <w:rPr>
          <w:rFonts w:ascii="宋体" w:hAnsi="宋体" w:cs="宋体"/>
          <w:color w:val="auto"/>
          <w:szCs w:val="21"/>
          <w:highlight w:val="none"/>
        </w:rPr>
      </w:pPr>
      <w:r>
        <w:rPr>
          <w:rFonts w:hint="eastAsia" w:ascii="宋体" w:hAnsi="宋体" w:cs="宋体"/>
          <w:color w:val="auto"/>
          <w:szCs w:val="21"/>
          <w:highlight w:val="none"/>
        </w:rPr>
        <w:t>投标人如欲在项目实施过程中采用自有知识成果，需在投标文件中声明，并提供相关知识产权证明文件。使用该知识成果后，投标人需提供开发接口和开发手册等技术文档。</w:t>
      </w:r>
    </w:p>
    <w:p w14:paraId="112D14C4">
      <w:pPr>
        <w:widowControl w:val="0"/>
        <w:numPr>
          <w:ilvl w:val="1"/>
          <w:numId w:val="3"/>
        </w:numPr>
        <w:overflowPunct w:val="0"/>
        <w:rPr>
          <w:rFonts w:ascii="宋体" w:hAnsi="宋体" w:cs="宋体"/>
          <w:color w:val="auto"/>
          <w:szCs w:val="21"/>
          <w:highlight w:val="none"/>
        </w:rPr>
      </w:pPr>
      <w:r>
        <w:rPr>
          <w:rFonts w:hint="eastAsia" w:ascii="宋体" w:hAnsi="宋体" w:cs="宋体"/>
          <w:color w:val="auto"/>
          <w:szCs w:val="21"/>
          <w:highlight w:val="none"/>
        </w:rPr>
        <w:t>采购货物为计算机办公设备时，投标人提供的产品必须是预装正版操作系统软件的计算机产品。</w:t>
      </w:r>
    </w:p>
    <w:p w14:paraId="366FA3A8">
      <w:pPr>
        <w:widowControl w:val="0"/>
        <w:adjustRightInd/>
        <w:snapToGrid/>
        <w:ind w:left="567"/>
        <w:jc w:val="both"/>
        <w:rPr>
          <w:rFonts w:ascii="宋体" w:hAnsi="宋体" w:cs="宋体"/>
          <w:color w:val="auto"/>
          <w:szCs w:val="21"/>
          <w:highlight w:val="none"/>
        </w:rPr>
      </w:pPr>
    </w:p>
    <w:p w14:paraId="31D35C97">
      <w:pPr>
        <w:pStyle w:val="4"/>
        <w:widowControl w:val="0"/>
        <w:numPr>
          <w:ilvl w:val="0"/>
          <w:numId w:val="3"/>
        </w:numPr>
        <w:overflowPunct w:val="0"/>
        <w:rPr>
          <w:rFonts w:ascii="宋体" w:hAnsi="宋体" w:cs="宋体"/>
          <w:color w:val="auto"/>
          <w:sz w:val="21"/>
          <w:szCs w:val="21"/>
          <w:highlight w:val="none"/>
        </w:rPr>
      </w:pPr>
      <w:bookmarkStart w:id="53" w:name="_Toc2352"/>
      <w:bookmarkStart w:id="54" w:name="_Toc25122"/>
      <w:bookmarkStart w:id="55" w:name="_Toc17238"/>
      <w:r>
        <w:rPr>
          <w:rFonts w:hint="eastAsia" w:ascii="宋体" w:hAnsi="宋体" w:cs="宋体"/>
          <w:color w:val="auto"/>
          <w:sz w:val="21"/>
          <w:szCs w:val="21"/>
          <w:highlight w:val="none"/>
        </w:rPr>
        <w:t>关于联合体投标</w:t>
      </w:r>
      <w:bookmarkEnd w:id="53"/>
      <w:bookmarkEnd w:id="54"/>
      <w:bookmarkEnd w:id="55"/>
    </w:p>
    <w:p w14:paraId="39FA122B">
      <w:pPr>
        <w:pStyle w:val="20"/>
        <w:widowControl w:val="0"/>
        <w:adjustRightInd/>
        <w:snapToGrid/>
        <w:ind w:left="425" w:hanging="425" w:firstLineChars="0"/>
        <w:jc w:val="both"/>
        <w:rPr>
          <w:rFonts w:ascii="宋体" w:hAnsi="宋体" w:cs="宋体"/>
          <w:vanish/>
          <w:color w:val="auto"/>
          <w:szCs w:val="21"/>
          <w:highlight w:val="none"/>
        </w:rPr>
      </w:pPr>
    </w:p>
    <w:p w14:paraId="11CF4A7B">
      <w:pPr>
        <w:widowControl w:val="0"/>
        <w:numPr>
          <w:ilvl w:val="1"/>
          <w:numId w:val="3"/>
        </w:numPr>
        <w:overflowPunct w:val="0"/>
        <w:rPr>
          <w:rFonts w:ascii="宋体" w:hAnsi="宋体" w:cs="宋体"/>
          <w:color w:val="auto"/>
          <w:szCs w:val="21"/>
          <w:highlight w:val="none"/>
        </w:rPr>
      </w:pPr>
      <w:r>
        <w:rPr>
          <w:rFonts w:hint="eastAsia" w:ascii="宋体" w:hAnsi="宋体" w:cs="宋体"/>
          <w:color w:val="auto"/>
          <w:szCs w:val="21"/>
          <w:highlight w:val="none"/>
        </w:rPr>
        <w:t>对接受联合体投标的项目：两个以上的自然人、法人或者其他组织可以组成一个联合体，以一个投标人的身份共同参加采购活动。</w:t>
      </w:r>
    </w:p>
    <w:p w14:paraId="00685A41">
      <w:pPr>
        <w:widowControl w:val="0"/>
        <w:numPr>
          <w:ilvl w:val="1"/>
          <w:numId w:val="3"/>
        </w:numPr>
        <w:overflowPunct w:val="0"/>
        <w:rPr>
          <w:rFonts w:ascii="宋体" w:hAnsi="宋体" w:cs="宋体"/>
          <w:color w:val="auto"/>
          <w:szCs w:val="21"/>
          <w:highlight w:val="none"/>
        </w:rPr>
      </w:pPr>
      <w:r>
        <w:rPr>
          <w:rFonts w:hint="eastAsia" w:ascii="宋体" w:hAnsi="宋体" w:cs="宋体"/>
          <w:color w:val="auto"/>
          <w:szCs w:val="21"/>
          <w:highlight w:val="none"/>
        </w:rPr>
        <w:t>以联合体形式参与项目的供应商在领购采购文件时，应提供所有联合体组成成员的营业执照复印件，并加盖各联合体组成成员的公章。</w:t>
      </w:r>
    </w:p>
    <w:p w14:paraId="4CE93796">
      <w:pPr>
        <w:widowControl w:val="0"/>
        <w:numPr>
          <w:ilvl w:val="1"/>
          <w:numId w:val="3"/>
        </w:numPr>
        <w:overflowPunct w:val="0"/>
        <w:rPr>
          <w:rFonts w:ascii="宋体" w:hAnsi="宋体" w:cs="宋体"/>
          <w:color w:val="auto"/>
          <w:szCs w:val="21"/>
          <w:highlight w:val="none"/>
        </w:rPr>
      </w:pPr>
      <w:r>
        <w:rPr>
          <w:rFonts w:hint="eastAsia" w:ascii="宋体" w:hAnsi="宋体" w:cs="宋体"/>
          <w:color w:val="auto"/>
          <w:szCs w:val="21"/>
          <w:highlight w:val="none"/>
        </w:rPr>
        <w:t>联合体各方均应具有独立承担民事责任能力的法人或其他组织。</w:t>
      </w:r>
    </w:p>
    <w:p w14:paraId="139883DD">
      <w:pPr>
        <w:widowControl w:val="0"/>
        <w:numPr>
          <w:ilvl w:val="1"/>
          <w:numId w:val="3"/>
        </w:numPr>
        <w:overflowPunct w:val="0"/>
        <w:rPr>
          <w:rFonts w:ascii="宋体" w:hAnsi="宋体" w:cs="宋体"/>
          <w:color w:val="auto"/>
          <w:szCs w:val="21"/>
          <w:highlight w:val="none"/>
        </w:rPr>
      </w:pPr>
      <w:r>
        <w:rPr>
          <w:rFonts w:hint="eastAsia" w:ascii="宋体" w:hAnsi="宋体" w:cs="宋体"/>
          <w:color w:val="auto"/>
          <w:szCs w:val="21"/>
          <w:highlight w:val="none"/>
        </w:rPr>
        <w:t>两个以上的自然人、法人或者其他组织组成一个联合体，以一个供应商的身份共同参加采购活动的，应当对所有联合体成员进行信用记录查询，联合体成员存在不良信用记录的，视同联合体存在不良信用记录。</w:t>
      </w:r>
    </w:p>
    <w:p w14:paraId="015ED78D">
      <w:pPr>
        <w:widowControl w:val="0"/>
        <w:numPr>
          <w:ilvl w:val="1"/>
          <w:numId w:val="3"/>
        </w:numPr>
        <w:overflowPunct w:val="0"/>
        <w:rPr>
          <w:rFonts w:ascii="宋体" w:hAnsi="宋体" w:cs="宋体"/>
          <w:color w:val="auto"/>
          <w:szCs w:val="21"/>
          <w:highlight w:val="none"/>
        </w:rPr>
      </w:pPr>
      <w:r>
        <w:rPr>
          <w:rFonts w:hint="eastAsia" w:ascii="宋体" w:hAnsi="宋体" w:cs="宋体"/>
          <w:color w:val="auto"/>
          <w:szCs w:val="21"/>
          <w:highlight w:val="none"/>
        </w:rPr>
        <w:t>采购文件对投标人资格条件有规定的，联合体各方均应当具备规定的相应资格条件。由同一专业的单位组成的联合体，按照资质等级较低的单位确定资质等级。</w:t>
      </w:r>
    </w:p>
    <w:p w14:paraId="2763D304">
      <w:pPr>
        <w:widowControl w:val="0"/>
        <w:numPr>
          <w:ilvl w:val="1"/>
          <w:numId w:val="3"/>
        </w:numPr>
        <w:overflowPunct w:val="0"/>
        <w:rPr>
          <w:rFonts w:ascii="宋体" w:hAnsi="宋体" w:cs="宋体"/>
          <w:color w:val="auto"/>
          <w:szCs w:val="21"/>
          <w:highlight w:val="none"/>
        </w:rPr>
      </w:pPr>
      <w:r>
        <w:rPr>
          <w:rFonts w:hint="eastAsia" w:ascii="宋体" w:hAnsi="宋体" w:cs="宋体"/>
          <w:color w:val="auto"/>
          <w:szCs w:val="21"/>
          <w:highlight w:val="none"/>
        </w:rPr>
        <w:t>联合体各方之间应当签订共同投标协议并在投标文件内提交，明确约定联合体各方承担的工作和相应的责任。联合体各方签订共同投标协议后，不得再以自己名义单独在同一项目中投标，也不得组成新的联合体参加同一项目投标。</w:t>
      </w:r>
    </w:p>
    <w:p w14:paraId="62343FCB">
      <w:pPr>
        <w:widowControl w:val="0"/>
        <w:numPr>
          <w:ilvl w:val="1"/>
          <w:numId w:val="3"/>
        </w:numPr>
        <w:overflowPunct w:val="0"/>
        <w:rPr>
          <w:rFonts w:ascii="宋体" w:hAnsi="宋体" w:cs="宋体"/>
          <w:color w:val="auto"/>
          <w:szCs w:val="21"/>
          <w:highlight w:val="none"/>
        </w:rPr>
      </w:pPr>
      <w:r>
        <w:rPr>
          <w:rFonts w:hint="eastAsia" w:ascii="宋体" w:hAnsi="宋体" w:cs="宋体"/>
          <w:color w:val="auto"/>
          <w:szCs w:val="21"/>
          <w:highlight w:val="none"/>
        </w:rPr>
        <w:t>供应商为联合体的，可以由联合体中的任意一方交纳保证金，其交纳的保证金对联合体各方均具有约束力。</w:t>
      </w:r>
    </w:p>
    <w:p w14:paraId="4BAF5F68">
      <w:pPr>
        <w:widowControl w:val="0"/>
        <w:numPr>
          <w:ilvl w:val="1"/>
          <w:numId w:val="3"/>
        </w:numPr>
        <w:overflowPunct w:val="0"/>
        <w:rPr>
          <w:rFonts w:ascii="宋体" w:hAnsi="宋体" w:cs="宋体"/>
          <w:color w:val="auto"/>
          <w:szCs w:val="21"/>
          <w:highlight w:val="none"/>
        </w:rPr>
      </w:pPr>
      <w:r>
        <w:rPr>
          <w:rFonts w:hint="eastAsia" w:ascii="宋体" w:hAnsi="宋体" w:cs="宋体"/>
          <w:color w:val="auto"/>
          <w:szCs w:val="21"/>
          <w:highlight w:val="none"/>
        </w:rPr>
        <w:t>除联合体协议明确授权盖章单位外，联合体投标时投标文件中所有要求盖章的地方均须加盖联合体所有组成成员的公章，否则该处盖章无效。</w:t>
      </w:r>
    </w:p>
    <w:p w14:paraId="47F6E205">
      <w:pPr>
        <w:widowControl w:val="0"/>
        <w:numPr>
          <w:ilvl w:val="1"/>
          <w:numId w:val="3"/>
        </w:numPr>
        <w:overflowPunct w:val="0"/>
        <w:rPr>
          <w:rFonts w:ascii="宋体" w:hAnsi="宋体" w:cs="宋体"/>
          <w:color w:val="auto"/>
          <w:szCs w:val="21"/>
          <w:highlight w:val="none"/>
        </w:rPr>
      </w:pPr>
      <w:r>
        <w:rPr>
          <w:rFonts w:hint="eastAsia" w:ascii="宋体" w:hAnsi="宋体" w:cs="宋体"/>
          <w:color w:val="auto"/>
          <w:szCs w:val="21"/>
          <w:highlight w:val="none"/>
        </w:rPr>
        <w:t>联合体进行评分时，业绩、奖项等的认定和评分根据共同投标协议约定的各方承担的工作和相应责任，确定一方打分，不累加打分；评审标准不明确或难以明确以哪一方计算评分情况时，则按主体方情况评分。</w:t>
      </w:r>
    </w:p>
    <w:p w14:paraId="451664F7">
      <w:pPr>
        <w:widowControl w:val="0"/>
        <w:adjustRightInd/>
        <w:snapToGrid/>
        <w:ind w:left="567"/>
        <w:jc w:val="both"/>
        <w:rPr>
          <w:rFonts w:ascii="宋体" w:hAnsi="宋体" w:cs="宋体"/>
          <w:color w:val="auto"/>
          <w:szCs w:val="21"/>
          <w:highlight w:val="none"/>
        </w:rPr>
      </w:pPr>
    </w:p>
    <w:p w14:paraId="4FFE0708">
      <w:pPr>
        <w:pStyle w:val="4"/>
        <w:widowControl w:val="0"/>
        <w:numPr>
          <w:ilvl w:val="0"/>
          <w:numId w:val="3"/>
        </w:numPr>
        <w:overflowPunct w:val="0"/>
        <w:rPr>
          <w:rFonts w:ascii="宋体" w:hAnsi="宋体" w:cs="宋体"/>
          <w:color w:val="auto"/>
          <w:sz w:val="21"/>
          <w:szCs w:val="21"/>
          <w:highlight w:val="none"/>
        </w:rPr>
      </w:pPr>
      <w:bookmarkStart w:id="56" w:name="_Toc3572"/>
      <w:bookmarkStart w:id="57" w:name="_Toc10603"/>
      <w:bookmarkStart w:id="58" w:name="_Toc20793"/>
      <w:r>
        <w:rPr>
          <w:rFonts w:hint="eastAsia" w:ascii="宋体" w:hAnsi="宋体" w:cs="宋体"/>
          <w:color w:val="auto"/>
          <w:sz w:val="21"/>
          <w:szCs w:val="21"/>
          <w:highlight w:val="none"/>
        </w:rPr>
        <w:t>关于分支机构投标</w:t>
      </w:r>
      <w:bookmarkEnd w:id="56"/>
      <w:bookmarkEnd w:id="57"/>
      <w:bookmarkEnd w:id="58"/>
    </w:p>
    <w:p w14:paraId="6380AD61">
      <w:pPr>
        <w:pStyle w:val="20"/>
        <w:widowControl w:val="0"/>
        <w:adjustRightInd/>
        <w:snapToGrid/>
        <w:ind w:left="425" w:hanging="425" w:firstLineChars="0"/>
        <w:jc w:val="both"/>
        <w:rPr>
          <w:rFonts w:ascii="宋体" w:hAnsi="宋体" w:cs="宋体"/>
          <w:vanish/>
          <w:color w:val="auto"/>
          <w:szCs w:val="21"/>
          <w:highlight w:val="none"/>
        </w:rPr>
      </w:pPr>
      <w:bookmarkStart w:id="59" w:name="EB389f116341dd4693875bc7987e7327f3"/>
    </w:p>
    <w:p w14:paraId="1F5F7107">
      <w:pPr>
        <w:widowControl w:val="0"/>
        <w:numPr>
          <w:ilvl w:val="1"/>
          <w:numId w:val="3"/>
        </w:numPr>
        <w:overflowPunct w:val="0"/>
        <w:rPr>
          <w:rFonts w:ascii="宋体" w:hAnsi="宋体" w:cs="宋体"/>
          <w:color w:val="auto"/>
          <w:szCs w:val="21"/>
          <w:highlight w:val="none"/>
        </w:rPr>
      </w:pPr>
      <w:r>
        <w:rPr>
          <w:rFonts w:hint="eastAsia" w:ascii="宋体" w:hAnsi="宋体" w:cs="宋体"/>
          <w:color w:val="auto"/>
          <w:szCs w:val="21"/>
          <w:highlight w:val="none"/>
        </w:rPr>
        <w:t>对可接受分支机构投标的项目，分支机构投标的，需提供具有法人资格的总公司的营业执照原件扫描件及授权书，授权书须加盖总公司公章。总公司可就本项目或此类项目在一定范围或时间内出具授权书。已由总公司授权的，总公司取得的相关资质证书对分公司有效，法律法规或者行业另有规定的除外。</w:t>
      </w:r>
      <w:bookmarkEnd w:id="59"/>
    </w:p>
    <w:p w14:paraId="6CDF754A">
      <w:pPr>
        <w:widowControl w:val="0"/>
        <w:adjustRightInd/>
        <w:snapToGrid/>
        <w:ind w:left="567"/>
        <w:jc w:val="both"/>
        <w:rPr>
          <w:rFonts w:ascii="宋体" w:hAnsi="宋体" w:cs="宋体"/>
          <w:color w:val="auto"/>
          <w:szCs w:val="21"/>
          <w:highlight w:val="none"/>
        </w:rPr>
      </w:pPr>
    </w:p>
    <w:p w14:paraId="64ABA3CE">
      <w:pPr>
        <w:pStyle w:val="4"/>
        <w:widowControl w:val="0"/>
        <w:numPr>
          <w:ilvl w:val="0"/>
          <w:numId w:val="3"/>
        </w:numPr>
        <w:overflowPunct w:val="0"/>
        <w:rPr>
          <w:rFonts w:ascii="宋体" w:hAnsi="宋体" w:cs="宋体"/>
          <w:color w:val="auto"/>
          <w:sz w:val="21"/>
          <w:szCs w:val="21"/>
          <w:highlight w:val="none"/>
        </w:rPr>
      </w:pPr>
      <w:bookmarkStart w:id="60" w:name="_Toc16068"/>
      <w:bookmarkStart w:id="61" w:name="_Toc12085"/>
      <w:r>
        <w:rPr>
          <w:rFonts w:hint="eastAsia" w:ascii="宋体" w:hAnsi="宋体" w:cs="宋体"/>
          <w:color w:val="auto"/>
          <w:sz w:val="21"/>
          <w:szCs w:val="21"/>
          <w:highlight w:val="none"/>
        </w:rPr>
        <w:t>踏勘现场</w:t>
      </w:r>
      <w:bookmarkEnd w:id="60"/>
      <w:bookmarkEnd w:id="61"/>
    </w:p>
    <w:p w14:paraId="16C4AF47">
      <w:pPr>
        <w:widowControl w:val="0"/>
        <w:numPr>
          <w:ilvl w:val="1"/>
          <w:numId w:val="3"/>
        </w:numPr>
        <w:overflowPunct w:val="0"/>
        <w:rPr>
          <w:rFonts w:ascii="宋体" w:hAnsi="宋体" w:cs="宋体"/>
          <w:color w:val="auto"/>
          <w:szCs w:val="21"/>
          <w:highlight w:val="none"/>
        </w:rPr>
      </w:pPr>
      <w:r>
        <w:rPr>
          <w:rFonts w:hint="eastAsia" w:ascii="宋体" w:hAnsi="宋体" w:cs="宋体"/>
          <w:color w:val="auto"/>
          <w:szCs w:val="21"/>
          <w:highlight w:val="none"/>
        </w:rPr>
        <w:t>《投标资料表》规定组织踏勘现场的，采购人按《投标资料表》规定的时间、地点组织响应人踏勘项目现场；</w:t>
      </w:r>
    </w:p>
    <w:p w14:paraId="779A5D39">
      <w:pPr>
        <w:widowControl w:val="0"/>
        <w:numPr>
          <w:ilvl w:val="1"/>
          <w:numId w:val="3"/>
        </w:numPr>
        <w:overflowPunct w:val="0"/>
        <w:rPr>
          <w:rFonts w:ascii="宋体" w:hAnsi="宋体" w:cs="宋体"/>
          <w:color w:val="auto"/>
          <w:szCs w:val="21"/>
          <w:highlight w:val="none"/>
        </w:rPr>
      </w:pPr>
      <w:r>
        <w:rPr>
          <w:rFonts w:hint="eastAsia" w:ascii="宋体" w:hAnsi="宋体" w:cs="宋体"/>
          <w:color w:val="auto"/>
          <w:szCs w:val="21"/>
          <w:highlight w:val="none"/>
        </w:rPr>
        <w:t>响应人踏勘现场发生的费用自理；</w:t>
      </w:r>
    </w:p>
    <w:p w14:paraId="37BDD4CB">
      <w:pPr>
        <w:widowControl w:val="0"/>
        <w:numPr>
          <w:ilvl w:val="1"/>
          <w:numId w:val="3"/>
        </w:numPr>
        <w:overflowPunct w:val="0"/>
        <w:rPr>
          <w:rFonts w:ascii="宋体" w:hAnsi="宋体" w:cs="宋体"/>
          <w:color w:val="auto"/>
          <w:szCs w:val="21"/>
          <w:highlight w:val="none"/>
        </w:rPr>
      </w:pPr>
      <w:r>
        <w:rPr>
          <w:rFonts w:hint="eastAsia" w:ascii="宋体" w:hAnsi="宋体" w:cs="宋体"/>
          <w:color w:val="auto"/>
          <w:szCs w:val="21"/>
          <w:highlight w:val="none"/>
        </w:rPr>
        <w:t>除采购人的原因外，响应人自行负责在踏勘现场中所发生的人员伤亡和财产损失；</w:t>
      </w:r>
    </w:p>
    <w:p w14:paraId="38EE7076">
      <w:pPr>
        <w:widowControl w:val="0"/>
        <w:numPr>
          <w:ilvl w:val="1"/>
          <w:numId w:val="3"/>
        </w:numPr>
        <w:overflowPunct w:val="0"/>
        <w:rPr>
          <w:rFonts w:ascii="宋体" w:hAnsi="宋体" w:cs="宋体"/>
          <w:color w:val="auto"/>
          <w:szCs w:val="21"/>
          <w:highlight w:val="none"/>
        </w:rPr>
      </w:pPr>
      <w:r>
        <w:rPr>
          <w:rFonts w:hint="eastAsia" w:ascii="宋体" w:hAnsi="宋体" w:cs="宋体"/>
          <w:color w:val="auto"/>
          <w:szCs w:val="21"/>
          <w:highlight w:val="none"/>
        </w:rPr>
        <w:t>采购人在踏勘现场中介绍的实施地点和相关的周边环境情况，供响应人在编制响应文件时参考，采购人不对响应人据此作出的判断和决策负责；</w:t>
      </w:r>
    </w:p>
    <w:p w14:paraId="6054CD36">
      <w:pPr>
        <w:rPr>
          <w:rFonts w:ascii="宋体" w:hAnsi="宋体" w:cs="宋体"/>
          <w:color w:val="auto"/>
          <w:highlight w:val="none"/>
        </w:rPr>
      </w:pPr>
    </w:p>
    <w:p w14:paraId="4692344F">
      <w:pPr>
        <w:pStyle w:val="3"/>
        <w:numPr>
          <w:ilvl w:val="0"/>
          <w:numId w:val="2"/>
        </w:numPr>
        <w:spacing w:before="0" w:after="0" w:line="360" w:lineRule="auto"/>
        <w:jc w:val="center"/>
        <w:rPr>
          <w:rFonts w:ascii="宋体" w:hAnsi="宋体" w:cs="宋体"/>
          <w:color w:val="auto"/>
          <w:highlight w:val="none"/>
        </w:rPr>
      </w:pPr>
      <w:bookmarkStart w:id="62" w:name="_Toc21061"/>
      <w:bookmarkStart w:id="63" w:name="_Toc14732"/>
      <w:bookmarkStart w:id="64" w:name="_Toc9444"/>
      <w:r>
        <w:rPr>
          <w:rFonts w:hint="eastAsia" w:ascii="宋体" w:hAnsi="宋体" w:cs="宋体"/>
          <w:color w:val="auto"/>
          <w:highlight w:val="none"/>
        </w:rPr>
        <w:t>采购文件</w:t>
      </w:r>
      <w:bookmarkEnd w:id="62"/>
      <w:bookmarkEnd w:id="63"/>
      <w:bookmarkEnd w:id="64"/>
    </w:p>
    <w:p w14:paraId="4A94CEA0">
      <w:pPr>
        <w:pStyle w:val="4"/>
        <w:widowControl w:val="0"/>
        <w:numPr>
          <w:ilvl w:val="0"/>
          <w:numId w:val="3"/>
        </w:numPr>
        <w:overflowPunct w:val="0"/>
        <w:rPr>
          <w:rFonts w:ascii="宋体" w:hAnsi="宋体" w:cs="宋体"/>
          <w:color w:val="auto"/>
          <w:sz w:val="21"/>
          <w:szCs w:val="21"/>
          <w:highlight w:val="none"/>
        </w:rPr>
      </w:pPr>
      <w:bookmarkStart w:id="65" w:name="_Toc30268"/>
      <w:bookmarkStart w:id="66" w:name="_Toc10638"/>
      <w:bookmarkStart w:id="67" w:name="_Toc25451"/>
      <w:r>
        <w:rPr>
          <w:rFonts w:hint="eastAsia" w:ascii="宋体" w:hAnsi="宋体" w:cs="宋体"/>
          <w:color w:val="auto"/>
          <w:sz w:val="21"/>
          <w:szCs w:val="21"/>
          <w:highlight w:val="none"/>
        </w:rPr>
        <w:t>采购文件的组成</w:t>
      </w:r>
      <w:bookmarkEnd w:id="65"/>
      <w:bookmarkEnd w:id="66"/>
      <w:bookmarkEnd w:id="67"/>
    </w:p>
    <w:p w14:paraId="78FDDEAD">
      <w:pPr>
        <w:pStyle w:val="20"/>
        <w:widowControl w:val="0"/>
        <w:numPr>
          <w:ilvl w:val="0"/>
          <w:numId w:val="4"/>
        </w:numPr>
        <w:adjustRightInd/>
        <w:snapToGrid/>
        <w:ind w:firstLineChars="0"/>
        <w:jc w:val="both"/>
        <w:rPr>
          <w:rFonts w:ascii="宋体" w:hAnsi="宋体" w:cs="宋体"/>
          <w:vanish/>
          <w:color w:val="auto"/>
          <w:szCs w:val="21"/>
          <w:highlight w:val="none"/>
        </w:rPr>
      </w:pPr>
    </w:p>
    <w:p w14:paraId="5F9E8DC9">
      <w:pPr>
        <w:widowControl w:val="0"/>
        <w:numPr>
          <w:ilvl w:val="1"/>
          <w:numId w:val="3"/>
        </w:numPr>
        <w:overflowPunct w:val="0"/>
        <w:rPr>
          <w:rFonts w:ascii="宋体" w:hAnsi="宋体" w:cs="宋体"/>
          <w:color w:val="auto"/>
          <w:szCs w:val="21"/>
          <w:highlight w:val="none"/>
        </w:rPr>
      </w:pPr>
      <w:r>
        <w:rPr>
          <w:rFonts w:hint="eastAsia" w:ascii="宋体" w:hAnsi="宋体" w:cs="宋体"/>
          <w:color w:val="auto"/>
          <w:szCs w:val="21"/>
          <w:highlight w:val="none"/>
        </w:rPr>
        <w:t>采购文件包括：</w:t>
      </w:r>
    </w:p>
    <w:p w14:paraId="2546AC2A">
      <w:pPr>
        <w:widowControl w:val="0"/>
        <w:adjustRightInd/>
        <w:snapToGrid/>
        <w:jc w:val="both"/>
        <w:rPr>
          <w:rFonts w:ascii="宋体" w:hAnsi="宋体" w:cs="宋体"/>
          <w:color w:val="auto"/>
          <w:szCs w:val="21"/>
          <w:highlight w:val="none"/>
        </w:rPr>
      </w:pPr>
      <w:r>
        <w:rPr>
          <w:rFonts w:hint="eastAsia" w:ascii="宋体" w:hAnsi="宋体" w:cs="宋体"/>
          <w:color w:val="auto"/>
          <w:szCs w:val="21"/>
          <w:highlight w:val="none"/>
        </w:rPr>
        <w:t>（1）投标邀请书；</w:t>
      </w:r>
    </w:p>
    <w:p w14:paraId="256ECB71">
      <w:pPr>
        <w:widowControl w:val="0"/>
        <w:adjustRightInd/>
        <w:snapToGrid/>
        <w:jc w:val="both"/>
        <w:rPr>
          <w:rFonts w:ascii="宋体" w:hAnsi="宋体" w:cs="宋体"/>
          <w:color w:val="auto"/>
          <w:szCs w:val="21"/>
          <w:highlight w:val="none"/>
        </w:rPr>
      </w:pPr>
      <w:r>
        <w:rPr>
          <w:rFonts w:hint="eastAsia" w:ascii="宋体" w:hAnsi="宋体" w:cs="宋体"/>
          <w:color w:val="auto"/>
          <w:szCs w:val="21"/>
          <w:highlight w:val="none"/>
        </w:rPr>
        <w:t>（2）投标资料表；</w:t>
      </w:r>
    </w:p>
    <w:p w14:paraId="0A509E7E">
      <w:pPr>
        <w:widowControl w:val="0"/>
        <w:adjustRightInd/>
        <w:snapToGrid/>
        <w:jc w:val="both"/>
        <w:rPr>
          <w:rFonts w:ascii="宋体" w:hAnsi="宋体" w:cs="宋体"/>
          <w:color w:val="auto"/>
          <w:szCs w:val="21"/>
          <w:highlight w:val="none"/>
        </w:rPr>
      </w:pPr>
      <w:r>
        <w:rPr>
          <w:rFonts w:hint="eastAsia" w:ascii="宋体" w:hAnsi="宋体" w:cs="宋体"/>
          <w:color w:val="auto"/>
          <w:szCs w:val="21"/>
          <w:highlight w:val="none"/>
        </w:rPr>
        <w:t>（3）用户需求书；</w:t>
      </w:r>
    </w:p>
    <w:p w14:paraId="79258CBF">
      <w:pPr>
        <w:widowControl w:val="0"/>
        <w:adjustRightInd/>
        <w:snapToGrid/>
        <w:jc w:val="both"/>
        <w:rPr>
          <w:rFonts w:ascii="宋体" w:hAnsi="宋体" w:cs="宋体"/>
          <w:color w:val="auto"/>
          <w:szCs w:val="21"/>
          <w:highlight w:val="none"/>
        </w:rPr>
      </w:pPr>
      <w:r>
        <w:rPr>
          <w:rFonts w:hint="eastAsia" w:ascii="宋体" w:hAnsi="宋体" w:cs="宋体"/>
          <w:color w:val="auto"/>
          <w:szCs w:val="21"/>
          <w:highlight w:val="none"/>
        </w:rPr>
        <w:t>（4）投标人须知；</w:t>
      </w:r>
    </w:p>
    <w:p w14:paraId="20282BBD">
      <w:pPr>
        <w:widowControl w:val="0"/>
        <w:adjustRightInd/>
        <w:snapToGrid/>
        <w:jc w:val="both"/>
        <w:rPr>
          <w:rFonts w:ascii="宋体" w:hAnsi="宋体" w:cs="宋体"/>
          <w:color w:val="auto"/>
          <w:szCs w:val="21"/>
          <w:highlight w:val="none"/>
        </w:rPr>
      </w:pPr>
      <w:r>
        <w:rPr>
          <w:rFonts w:hint="eastAsia" w:ascii="宋体" w:hAnsi="宋体" w:cs="宋体"/>
          <w:color w:val="auto"/>
          <w:szCs w:val="21"/>
          <w:highlight w:val="none"/>
        </w:rPr>
        <w:t>（5）拟签订的合同文本；</w:t>
      </w:r>
    </w:p>
    <w:p w14:paraId="22E3CCF1">
      <w:pPr>
        <w:widowControl w:val="0"/>
        <w:adjustRightInd/>
        <w:snapToGrid/>
        <w:jc w:val="both"/>
        <w:rPr>
          <w:rFonts w:ascii="宋体" w:hAnsi="宋体" w:cs="宋体"/>
          <w:color w:val="auto"/>
          <w:szCs w:val="21"/>
          <w:highlight w:val="none"/>
        </w:rPr>
      </w:pPr>
      <w:r>
        <w:rPr>
          <w:rFonts w:hint="eastAsia" w:ascii="宋体" w:hAnsi="宋体" w:cs="宋体"/>
          <w:color w:val="auto"/>
          <w:szCs w:val="21"/>
          <w:highlight w:val="none"/>
        </w:rPr>
        <w:t>（6）投标文件格式；</w:t>
      </w:r>
    </w:p>
    <w:p w14:paraId="381EF2B8">
      <w:pPr>
        <w:widowControl w:val="0"/>
        <w:adjustRightInd/>
        <w:snapToGrid/>
        <w:jc w:val="both"/>
        <w:rPr>
          <w:rFonts w:ascii="宋体" w:hAnsi="宋体" w:cs="宋体"/>
          <w:color w:val="auto"/>
          <w:szCs w:val="21"/>
          <w:highlight w:val="none"/>
        </w:rPr>
      </w:pPr>
      <w:r>
        <w:rPr>
          <w:rFonts w:hint="eastAsia" w:ascii="宋体" w:hAnsi="宋体" w:cs="宋体"/>
          <w:color w:val="auto"/>
          <w:szCs w:val="21"/>
          <w:highlight w:val="none"/>
        </w:rPr>
        <w:t>（7）在采购过程中由采购代理机构发出的澄清更正文件等。</w:t>
      </w:r>
    </w:p>
    <w:p w14:paraId="0D2F50FA">
      <w:pPr>
        <w:rPr>
          <w:rFonts w:ascii="宋体" w:hAnsi="宋体" w:cs="宋体"/>
          <w:color w:val="auto"/>
          <w:highlight w:val="none"/>
        </w:rPr>
      </w:pPr>
    </w:p>
    <w:p w14:paraId="6CA0DC7D">
      <w:pPr>
        <w:pStyle w:val="4"/>
        <w:widowControl w:val="0"/>
        <w:numPr>
          <w:ilvl w:val="0"/>
          <w:numId w:val="3"/>
        </w:numPr>
        <w:overflowPunct w:val="0"/>
        <w:rPr>
          <w:rFonts w:ascii="宋体" w:hAnsi="宋体" w:cs="宋体"/>
          <w:color w:val="auto"/>
          <w:sz w:val="21"/>
          <w:szCs w:val="21"/>
          <w:highlight w:val="none"/>
        </w:rPr>
      </w:pPr>
      <w:bookmarkStart w:id="68" w:name="_Toc30490"/>
      <w:bookmarkStart w:id="69" w:name="_Toc22099"/>
      <w:bookmarkStart w:id="70" w:name="_Toc21392"/>
      <w:r>
        <w:rPr>
          <w:rFonts w:hint="eastAsia" w:ascii="宋体" w:hAnsi="宋体" w:cs="宋体"/>
          <w:color w:val="auto"/>
          <w:sz w:val="21"/>
          <w:szCs w:val="21"/>
          <w:highlight w:val="none"/>
        </w:rPr>
        <w:t>采购文件的澄清或修改</w:t>
      </w:r>
      <w:bookmarkEnd w:id="68"/>
      <w:bookmarkEnd w:id="69"/>
      <w:bookmarkEnd w:id="70"/>
    </w:p>
    <w:p w14:paraId="00ECD03A">
      <w:pPr>
        <w:pStyle w:val="20"/>
        <w:widowControl w:val="0"/>
        <w:numPr>
          <w:ilvl w:val="0"/>
          <w:numId w:val="4"/>
        </w:numPr>
        <w:adjustRightInd/>
        <w:snapToGrid/>
        <w:ind w:firstLineChars="0"/>
        <w:jc w:val="both"/>
        <w:rPr>
          <w:rFonts w:ascii="宋体" w:hAnsi="宋体" w:cs="宋体"/>
          <w:vanish/>
          <w:color w:val="auto"/>
          <w:szCs w:val="21"/>
          <w:highlight w:val="none"/>
        </w:rPr>
      </w:pPr>
    </w:p>
    <w:p w14:paraId="042163A4">
      <w:pPr>
        <w:widowControl w:val="0"/>
        <w:numPr>
          <w:ilvl w:val="1"/>
          <w:numId w:val="3"/>
        </w:numPr>
        <w:overflowPunct w:val="0"/>
        <w:rPr>
          <w:rFonts w:ascii="宋体" w:hAnsi="宋体" w:cs="宋体"/>
          <w:color w:val="auto"/>
          <w:szCs w:val="21"/>
          <w:highlight w:val="none"/>
        </w:rPr>
      </w:pPr>
      <w:r>
        <w:rPr>
          <w:rFonts w:hint="eastAsia" w:ascii="宋体" w:hAnsi="宋体" w:cs="宋体"/>
          <w:color w:val="auto"/>
          <w:szCs w:val="21"/>
          <w:highlight w:val="none"/>
        </w:rPr>
        <w:t>采购人或者采购代理机构可以对已发出的采购文件、资格预审文件、投标邀请书进行必要的澄清或者修改。澄清或者修改的内容为采购文件、资格预审文件、投标邀请书的组成部分，具有约束作用。当采购文件、采购文件的澄清或修改等在同一内容的表述上不一致时，以最后发出的书面文件及公告为准。</w:t>
      </w:r>
    </w:p>
    <w:p w14:paraId="140E3D90">
      <w:pPr>
        <w:widowControl w:val="0"/>
        <w:numPr>
          <w:ilvl w:val="1"/>
          <w:numId w:val="3"/>
        </w:numPr>
        <w:overflowPunct w:val="0"/>
        <w:rPr>
          <w:rFonts w:ascii="宋体" w:hAnsi="宋体" w:cs="宋体"/>
          <w:b/>
          <w:bCs/>
          <w:color w:val="auto"/>
          <w:szCs w:val="21"/>
          <w:highlight w:val="none"/>
        </w:rPr>
      </w:pPr>
      <w:r>
        <w:rPr>
          <w:rFonts w:hint="eastAsia" w:ascii="宋体" w:hAnsi="宋体" w:cs="宋体"/>
          <w:b/>
          <w:bCs/>
          <w:color w:val="auto"/>
          <w:szCs w:val="21"/>
          <w:highlight w:val="none"/>
        </w:rPr>
        <w:t>采购期间，投标人有义务上网查看，公告一经上网发布，即视为送达。因投标人未及时上网查看而造成的所有后果，由投标人自行承担。</w:t>
      </w:r>
    </w:p>
    <w:p w14:paraId="465F3342">
      <w:pPr>
        <w:widowControl w:val="0"/>
        <w:adjustRightInd/>
        <w:snapToGrid/>
        <w:ind w:left="567"/>
        <w:jc w:val="both"/>
        <w:rPr>
          <w:rFonts w:ascii="宋体" w:hAnsi="宋体" w:cs="宋体"/>
          <w:color w:val="auto"/>
          <w:szCs w:val="21"/>
          <w:highlight w:val="none"/>
        </w:rPr>
      </w:pPr>
    </w:p>
    <w:p w14:paraId="5ED1ED2D">
      <w:pPr>
        <w:pStyle w:val="3"/>
        <w:numPr>
          <w:ilvl w:val="0"/>
          <w:numId w:val="2"/>
        </w:numPr>
        <w:spacing w:before="0" w:after="0" w:line="360" w:lineRule="auto"/>
        <w:jc w:val="center"/>
        <w:rPr>
          <w:rFonts w:ascii="宋体" w:hAnsi="宋体" w:cs="宋体"/>
          <w:color w:val="auto"/>
          <w:highlight w:val="none"/>
        </w:rPr>
      </w:pPr>
      <w:bookmarkStart w:id="71" w:name="_Toc14278"/>
      <w:bookmarkStart w:id="72" w:name="_Toc10333"/>
      <w:bookmarkStart w:id="73" w:name="_Toc12343"/>
      <w:r>
        <w:rPr>
          <w:rFonts w:hint="eastAsia" w:ascii="宋体" w:hAnsi="宋体" w:cs="宋体"/>
          <w:color w:val="auto"/>
          <w:highlight w:val="none"/>
        </w:rPr>
        <w:t>投标文件的编制</w:t>
      </w:r>
      <w:bookmarkEnd w:id="71"/>
      <w:bookmarkEnd w:id="72"/>
      <w:bookmarkEnd w:id="73"/>
    </w:p>
    <w:p w14:paraId="5F8A7CA2">
      <w:pPr>
        <w:pStyle w:val="4"/>
        <w:widowControl w:val="0"/>
        <w:numPr>
          <w:ilvl w:val="0"/>
          <w:numId w:val="3"/>
        </w:numPr>
        <w:overflowPunct w:val="0"/>
        <w:rPr>
          <w:rFonts w:ascii="宋体" w:hAnsi="宋体" w:cs="宋体"/>
          <w:color w:val="auto"/>
          <w:sz w:val="21"/>
          <w:szCs w:val="21"/>
          <w:highlight w:val="none"/>
        </w:rPr>
      </w:pPr>
      <w:bookmarkStart w:id="74" w:name="_Toc7480"/>
      <w:bookmarkStart w:id="75" w:name="_Toc12048"/>
      <w:bookmarkStart w:id="76" w:name="_Toc16938"/>
      <w:r>
        <w:rPr>
          <w:rFonts w:hint="eastAsia" w:ascii="宋体" w:hAnsi="宋体" w:cs="宋体"/>
          <w:color w:val="auto"/>
          <w:sz w:val="21"/>
          <w:szCs w:val="21"/>
          <w:highlight w:val="none"/>
        </w:rPr>
        <w:t>投标文件的语言及度量衡单位</w:t>
      </w:r>
      <w:bookmarkEnd w:id="74"/>
      <w:bookmarkEnd w:id="75"/>
      <w:bookmarkEnd w:id="76"/>
    </w:p>
    <w:p w14:paraId="730B7CAF">
      <w:pPr>
        <w:pStyle w:val="20"/>
        <w:widowControl w:val="0"/>
        <w:numPr>
          <w:ilvl w:val="0"/>
          <w:numId w:val="4"/>
        </w:numPr>
        <w:adjustRightInd/>
        <w:snapToGrid/>
        <w:ind w:firstLineChars="0"/>
        <w:jc w:val="both"/>
        <w:rPr>
          <w:rFonts w:ascii="宋体" w:hAnsi="宋体" w:cs="宋体"/>
          <w:vanish/>
          <w:color w:val="auto"/>
          <w:szCs w:val="21"/>
          <w:highlight w:val="none"/>
        </w:rPr>
      </w:pPr>
    </w:p>
    <w:p w14:paraId="26F26105">
      <w:pPr>
        <w:widowControl w:val="0"/>
        <w:numPr>
          <w:ilvl w:val="1"/>
          <w:numId w:val="3"/>
        </w:numPr>
        <w:overflowPunct w:val="0"/>
        <w:rPr>
          <w:rFonts w:ascii="宋体" w:hAnsi="宋体" w:cs="宋体"/>
          <w:color w:val="auto"/>
          <w:szCs w:val="21"/>
          <w:highlight w:val="none"/>
        </w:rPr>
      </w:pPr>
      <w:r>
        <w:rPr>
          <w:rFonts w:hint="eastAsia" w:ascii="宋体" w:hAnsi="宋体" w:cs="宋体"/>
          <w:color w:val="auto"/>
          <w:szCs w:val="21"/>
          <w:highlight w:val="none"/>
        </w:rPr>
        <w:t>投标人提交的投标文件以及投标人与采购代理机构就有关投标的所有来往函件均应使用简体中文书写。投标人提交的支持资料和已印刷的文献可以用另一种语言，但相应内容应附有中文翻译本（中文译本应由翻译机构盖章或者翻译人员签名确认，否则按无效处理），在解释投标文件的修改内容时以中文翻译本为准。</w:t>
      </w:r>
    </w:p>
    <w:p w14:paraId="2D1C97F0">
      <w:pPr>
        <w:widowControl w:val="0"/>
        <w:numPr>
          <w:ilvl w:val="1"/>
          <w:numId w:val="3"/>
        </w:numPr>
        <w:overflowPunct w:val="0"/>
        <w:rPr>
          <w:rFonts w:ascii="宋体" w:hAnsi="宋体" w:cs="宋体"/>
          <w:color w:val="auto"/>
          <w:szCs w:val="21"/>
          <w:highlight w:val="none"/>
        </w:rPr>
      </w:pPr>
      <w:r>
        <w:rPr>
          <w:rFonts w:hint="eastAsia" w:ascii="宋体" w:hAnsi="宋体" w:cs="宋体"/>
          <w:color w:val="auto"/>
          <w:szCs w:val="21"/>
          <w:highlight w:val="none"/>
        </w:rPr>
        <w:t>除非采购文件在技术规格中另有规定，投标人在投标文件中及其与采购代理机构和采购人所有往来文件中的所有计量单位均应采用中华人民共和国法定计量单位。</w:t>
      </w:r>
    </w:p>
    <w:p w14:paraId="2721A9E2">
      <w:pPr>
        <w:widowControl w:val="0"/>
        <w:adjustRightInd/>
        <w:snapToGrid/>
        <w:ind w:left="567"/>
        <w:jc w:val="both"/>
        <w:rPr>
          <w:rFonts w:ascii="宋体" w:hAnsi="宋体" w:cs="宋体"/>
          <w:color w:val="auto"/>
          <w:szCs w:val="21"/>
          <w:highlight w:val="none"/>
        </w:rPr>
      </w:pPr>
    </w:p>
    <w:p w14:paraId="4FC7DB78">
      <w:pPr>
        <w:pStyle w:val="4"/>
        <w:widowControl w:val="0"/>
        <w:numPr>
          <w:ilvl w:val="0"/>
          <w:numId w:val="3"/>
        </w:numPr>
        <w:overflowPunct w:val="0"/>
        <w:rPr>
          <w:rFonts w:ascii="宋体" w:hAnsi="宋体" w:cs="宋体"/>
          <w:color w:val="auto"/>
          <w:sz w:val="21"/>
          <w:szCs w:val="21"/>
          <w:highlight w:val="none"/>
        </w:rPr>
      </w:pPr>
      <w:bookmarkStart w:id="77" w:name="_Toc27953"/>
      <w:bookmarkStart w:id="78" w:name="_Toc11466"/>
      <w:bookmarkStart w:id="79" w:name="_Toc307934854"/>
      <w:bookmarkStart w:id="80" w:name="_Toc382049103"/>
      <w:bookmarkStart w:id="81" w:name="_Toc25265"/>
      <w:bookmarkStart w:id="82" w:name="_Toc28866"/>
      <w:bookmarkStart w:id="83" w:name="_Toc303084256"/>
      <w:r>
        <w:rPr>
          <w:rFonts w:hint="eastAsia" w:ascii="宋体" w:hAnsi="宋体" w:cs="宋体"/>
          <w:color w:val="auto"/>
          <w:sz w:val="21"/>
          <w:szCs w:val="21"/>
          <w:highlight w:val="none"/>
        </w:rPr>
        <w:t>投标文件的组成</w:t>
      </w:r>
      <w:bookmarkEnd w:id="77"/>
      <w:bookmarkEnd w:id="78"/>
      <w:bookmarkEnd w:id="79"/>
      <w:bookmarkEnd w:id="80"/>
      <w:bookmarkEnd w:id="81"/>
      <w:bookmarkEnd w:id="82"/>
      <w:bookmarkEnd w:id="83"/>
    </w:p>
    <w:p w14:paraId="05E93FB0">
      <w:pPr>
        <w:pStyle w:val="20"/>
        <w:widowControl w:val="0"/>
        <w:numPr>
          <w:ilvl w:val="0"/>
          <w:numId w:val="4"/>
        </w:numPr>
        <w:adjustRightInd/>
        <w:snapToGrid/>
        <w:ind w:firstLineChars="0"/>
        <w:jc w:val="both"/>
        <w:rPr>
          <w:rFonts w:ascii="宋体" w:hAnsi="宋体" w:cs="宋体"/>
          <w:vanish/>
          <w:color w:val="auto"/>
          <w:szCs w:val="21"/>
          <w:highlight w:val="none"/>
        </w:rPr>
      </w:pPr>
    </w:p>
    <w:p w14:paraId="4B5003BD">
      <w:pPr>
        <w:widowControl w:val="0"/>
        <w:numPr>
          <w:ilvl w:val="1"/>
          <w:numId w:val="3"/>
        </w:numPr>
        <w:overflowPunct w:val="0"/>
        <w:rPr>
          <w:rFonts w:ascii="宋体" w:hAnsi="宋体" w:cs="宋体"/>
          <w:color w:val="auto"/>
          <w:szCs w:val="21"/>
          <w:highlight w:val="none"/>
        </w:rPr>
      </w:pPr>
      <w:r>
        <w:rPr>
          <w:rFonts w:hint="eastAsia" w:ascii="宋体" w:hAnsi="宋体" w:cs="宋体"/>
          <w:color w:val="auto"/>
          <w:szCs w:val="21"/>
          <w:highlight w:val="none"/>
        </w:rPr>
        <w:t>包括但不限于采购文件附件格式中要求提供的表格。</w:t>
      </w:r>
    </w:p>
    <w:p w14:paraId="32CE2FB7">
      <w:pPr>
        <w:widowControl w:val="0"/>
        <w:numPr>
          <w:ilvl w:val="1"/>
          <w:numId w:val="3"/>
        </w:numPr>
        <w:overflowPunct w:val="0"/>
        <w:rPr>
          <w:rFonts w:ascii="宋体" w:hAnsi="宋体" w:cs="宋体"/>
          <w:color w:val="auto"/>
          <w:szCs w:val="21"/>
          <w:highlight w:val="none"/>
        </w:rPr>
      </w:pPr>
      <w:r>
        <w:rPr>
          <w:rFonts w:hint="eastAsia" w:ascii="宋体" w:hAnsi="宋体" w:cs="宋体"/>
          <w:color w:val="auto"/>
          <w:szCs w:val="21"/>
          <w:highlight w:val="none"/>
        </w:rPr>
        <w:t>上述文件须按顺序装订成册，并编制投标文件目录。除上述文件资料外投标人还须按投标人须知的要求制作“开标文件”。“开标文件”作为投标文件的一部分，但须单独密封。</w:t>
      </w:r>
    </w:p>
    <w:p w14:paraId="00F7C886">
      <w:pPr>
        <w:rPr>
          <w:rFonts w:ascii="宋体" w:hAnsi="宋体" w:cs="宋体"/>
          <w:color w:val="auto"/>
          <w:highlight w:val="none"/>
        </w:rPr>
      </w:pPr>
    </w:p>
    <w:p w14:paraId="051EAFB0">
      <w:pPr>
        <w:pStyle w:val="4"/>
        <w:widowControl w:val="0"/>
        <w:numPr>
          <w:ilvl w:val="0"/>
          <w:numId w:val="3"/>
        </w:numPr>
        <w:overflowPunct w:val="0"/>
        <w:rPr>
          <w:rFonts w:ascii="宋体" w:hAnsi="宋体" w:cs="宋体"/>
          <w:color w:val="auto"/>
          <w:sz w:val="21"/>
          <w:szCs w:val="21"/>
          <w:highlight w:val="none"/>
        </w:rPr>
      </w:pPr>
      <w:bookmarkStart w:id="84" w:name="_Toc14154"/>
      <w:bookmarkStart w:id="85" w:name="_Toc5904"/>
      <w:bookmarkStart w:id="86" w:name="_Toc755"/>
      <w:r>
        <w:rPr>
          <w:rFonts w:hint="eastAsia" w:ascii="宋体" w:hAnsi="宋体" w:cs="宋体"/>
          <w:color w:val="auto"/>
          <w:sz w:val="21"/>
          <w:szCs w:val="21"/>
          <w:highlight w:val="none"/>
        </w:rPr>
        <w:t>投标文件编制</w:t>
      </w:r>
      <w:bookmarkEnd w:id="84"/>
      <w:bookmarkEnd w:id="85"/>
      <w:bookmarkEnd w:id="86"/>
    </w:p>
    <w:p w14:paraId="362B20C7">
      <w:pPr>
        <w:pStyle w:val="20"/>
        <w:widowControl w:val="0"/>
        <w:numPr>
          <w:ilvl w:val="0"/>
          <w:numId w:val="4"/>
        </w:numPr>
        <w:adjustRightInd/>
        <w:snapToGrid/>
        <w:ind w:firstLineChars="0"/>
        <w:jc w:val="both"/>
        <w:rPr>
          <w:rFonts w:ascii="宋体" w:hAnsi="宋体" w:cs="宋体"/>
          <w:vanish/>
          <w:color w:val="auto"/>
          <w:szCs w:val="21"/>
          <w:highlight w:val="none"/>
        </w:rPr>
      </w:pPr>
      <w:bookmarkStart w:id="87" w:name="_Toc303084258"/>
    </w:p>
    <w:p w14:paraId="2D2F27B5">
      <w:pPr>
        <w:widowControl w:val="0"/>
        <w:numPr>
          <w:ilvl w:val="1"/>
          <w:numId w:val="3"/>
        </w:numPr>
        <w:overflowPunct w:val="0"/>
        <w:rPr>
          <w:rFonts w:ascii="宋体" w:hAnsi="宋体" w:cs="宋体"/>
          <w:color w:val="auto"/>
          <w:szCs w:val="21"/>
          <w:highlight w:val="none"/>
        </w:rPr>
      </w:pPr>
      <w:r>
        <w:rPr>
          <w:rFonts w:hint="eastAsia" w:ascii="宋体" w:hAnsi="宋体" w:cs="宋体"/>
          <w:color w:val="auto"/>
          <w:szCs w:val="21"/>
          <w:highlight w:val="none"/>
        </w:rPr>
        <w:t>投标人应按采购文件的规定以及附件要求的内容和格式完整地填写（表格可以按同样格式扩展）和提供资料，投标人必须对投标文件所提供的全部材料的真实性承担法律责任，并无条件接受采购人或采购代理机构对其中任何资料进行核实的要求。</w:t>
      </w:r>
    </w:p>
    <w:p w14:paraId="24912618">
      <w:pPr>
        <w:widowControl w:val="0"/>
        <w:numPr>
          <w:ilvl w:val="1"/>
          <w:numId w:val="3"/>
        </w:numPr>
        <w:overflowPunct w:val="0"/>
        <w:rPr>
          <w:rFonts w:ascii="宋体" w:hAnsi="宋体" w:cs="宋体"/>
          <w:color w:val="auto"/>
          <w:szCs w:val="21"/>
          <w:highlight w:val="none"/>
        </w:rPr>
      </w:pPr>
      <w:r>
        <w:rPr>
          <w:rFonts w:hint="eastAsia" w:ascii="宋体" w:hAnsi="宋体" w:cs="宋体"/>
          <w:color w:val="auto"/>
          <w:szCs w:val="21"/>
          <w:highlight w:val="none"/>
        </w:rPr>
        <w:t>因投标文件编制存在歧义对投标人产生负面影响的，投标人自行承担后果。</w:t>
      </w:r>
    </w:p>
    <w:p w14:paraId="2CE042FA">
      <w:pPr>
        <w:widowControl w:val="0"/>
        <w:numPr>
          <w:ilvl w:val="1"/>
          <w:numId w:val="3"/>
        </w:numPr>
        <w:overflowPunct w:val="0"/>
        <w:rPr>
          <w:rFonts w:ascii="宋体" w:hAnsi="宋体" w:cs="宋体"/>
          <w:color w:val="auto"/>
          <w:szCs w:val="21"/>
          <w:highlight w:val="none"/>
        </w:rPr>
      </w:pPr>
      <w:r>
        <w:rPr>
          <w:rFonts w:hint="eastAsia" w:ascii="宋体" w:hAnsi="宋体" w:cs="宋体"/>
          <w:color w:val="auto"/>
          <w:szCs w:val="21"/>
          <w:highlight w:val="none"/>
        </w:rPr>
        <w:t>投标单位名称与投标人公章不一致，若投标单位名称已进行变更，应在投标文件中提供相应的证明材料并加盖公章，否则投标文件无效。</w:t>
      </w:r>
    </w:p>
    <w:p w14:paraId="28B915B6">
      <w:pPr>
        <w:widowControl w:val="0"/>
        <w:numPr>
          <w:ilvl w:val="1"/>
          <w:numId w:val="3"/>
        </w:numPr>
        <w:overflowPunct w:val="0"/>
        <w:rPr>
          <w:rFonts w:ascii="宋体" w:hAnsi="宋体" w:cs="宋体"/>
          <w:color w:val="auto"/>
          <w:szCs w:val="21"/>
          <w:highlight w:val="none"/>
        </w:rPr>
      </w:pPr>
      <w:r>
        <w:rPr>
          <w:rFonts w:hint="eastAsia" w:ascii="宋体" w:hAnsi="宋体" w:cs="宋体"/>
          <w:color w:val="auto"/>
          <w:szCs w:val="21"/>
          <w:highlight w:val="none"/>
        </w:rPr>
        <w:t>投标文件密封、标记及内容与本项目采购信息不符，导致无法分辨所投项目为本项目的，投标文件无效。</w:t>
      </w:r>
    </w:p>
    <w:p w14:paraId="1F97F4ED">
      <w:pPr>
        <w:widowControl w:val="0"/>
        <w:numPr>
          <w:ilvl w:val="1"/>
          <w:numId w:val="3"/>
        </w:numPr>
        <w:overflowPunct w:val="0"/>
        <w:rPr>
          <w:rFonts w:ascii="宋体" w:hAnsi="宋体" w:cs="宋体"/>
          <w:color w:val="auto"/>
          <w:szCs w:val="21"/>
          <w:highlight w:val="none"/>
        </w:rPr>
      </w:pPr>
      <w:r>
        <w:rPr>
          <w:rFonts w:hint="eastAsia" w:ascii="宋体" w:hAnsi="宋体" w:cs="宋体"/>
          <w:color w:val="auto"/>
          <w:szCs w:val="21"/>
          <w:highlight w:val="none"/>
        </w:rPr>
        <w:t>投标人须客观撰写投标人简介（格式自理，并提供相关证明）以及所投的产品或服务说明。</w:t>
      </w:r>
    </w:p>
    <w:p w14:paraId="08E8F3C7">
      <w:pPr>
        <w:widowControl w:val="0"/>
        <w:numPr>
          <w:ilvl w:val="1"/>
          <w:numId w:val="3"/>
        </w:numPr>
        <w:overflowPunct w:val="0"/>
        <w:rPr>
          <w:rFonts w:ascii="宋体" w:hAnsi="宋体" w:cs="宋体"/>
          <w:color w:val="auto"/>
          <w:szCs w:val="21"/>
          <w:highlight w:val="none"/>
        </w:rPr>
      </w:pPr>
      <w:r>
        <w:rPr>
          <w:rFonts w:hint="eastAsia" w:ascii="宋体" w:hAnsi="宋体" w:cs="宋体"/>
          <w:color w:val="auto"/>
          <w:szCs w:val="21"/>
          <w:highlight w:val="none"/>
        </w:rPr>
        <w:t>投标文件若出现以下内容，经评标委员会认定有可能间接影响评审秩序，作废标处理。</w:t>
      </w:r>
    </w:p>
    <w:p w14:paraId="1D840793">
      <w:pPr>
        <w:pStyle w:val="20"/>
        <w:widowControl w:val="0"/>
        <w:numPr>
          <w:ilvl w:val="0"/>
          <w:numId w:val="5"/>
        </w:numPr>
        <w:adjustRightInd/>
        <w:snapToGrid/>
        <w:ind w:firstLineChars="0"/>
        <w:jc w:val="both"/>
        <w:rPr>
          <w:rFonts w:ascii="宋体" w:hAnsi="宋体" w:cs="宋体"/>
          <w:color w:val="auto"/>
          <w:szCs w:val="21"/>
          <w:highlight w:val="none"/>
        </w:rPr>
      </w:pPr>
      <w:r>
        <w:rPr>
          <w:rFonts w:hint="eastAsia" w:ascii="宋体" w:hAnsi="宋体" w:cs="宋体"/>
          <w:color w:val="auto"/>
          <w:szCs w:val="21"/>
          <w:highlight w:val="none"/>
        </w:rPr>
        <w:t>投标文件内出现无官方证明文件的行业地域排名或使用“国家级”、“最高级”、“最佳”等用语字眼的。</w:t>
      </w:r>
    </w:p>
    <w:p w14:paraId="12D85FB1">
      <w:pPr>
        <w:pStyle w:val="20"/>
        <w:widowControl w:val="0"/>
        <w:numPr>
          <w:ilvl w:val="0"/>
          <w:numId w:val="5"/>
        </w:numPr>
        <w:adjustRightInd/>
        <w:snapToGrid/>
        <w:ind w:firstLineChars="0"/>
        <w:jc w:val="both"/>
        <w:rPr>
          <w:rFonts w:ascii="宋体" w:hAnsi="宋体" w:cs="宋体"/>
          <w:color w:val="auto"/>
          <w:szCs w:val="21"/>
          <w:highlight w:val="none"/>
        </w:rPr>
      </w:pPr>
      <w:r>
        <w:rPr>
          <w:rFonts w:hint="eastAsia" w:ascii="宋体" w:hAnsi="宋体" w:cs="宋体"/>
          <w:color w:val="auto"/>
          <w:szCs w:val="21"/>
          <w:highlight w:val="none"/>
        </w:rPr>
        <w:t>投标文件内出现恶意诋毁、贬低其他生产经营者的商品或者服务的内容。</w:t>
      </w:r>
    </w:p>
    <w:p w14:paraId="55125C66">
      <w:pPr>
        <w:widowControl w:val="0"/>
        <w:numPr>
          <w:ilvl w:val="1"/>
          <w:numId w:val="3"/>
        </w:numPr>
        <w:overflowPunct w:val="0"/>
        <w:rPr>
          <w:rFonts w:ascii="宋体" w:hAnsi="宋体" w:cs="宋体"/>
          <w:color w:val="auto"/>
          <w:szCs w:val="21"/>
          <w:highlight w:val="none"/>
        </w:rPr>
      </w:pPr>
      <w:r>
        <w:rPr>
          <w:rFonts w:hint="eastAsia" w:ascii="宋体" w:hAnsi="宋体" w:cs="宋体"/>
          <w:color w:val="auto"/>
          <w:szCs w:val="21"/>
          <w:highlight w:val="none"/>
        </w:rPr>
        <w:t>有下列情形之一的，视为投标人串通投标，其投标无效：</w:t>
      </w:r>
    </w:p>
    <w:p w14:paraId="5DFF6E61">
      <w:pPr>
        <w:widowControl w:val="0"/>
        <w:adjustRightInd/>
        <w:snapToGrid/>
        <w:ind w:firstLine="420" w:firstLineChars="200"/>
        <w:jc w:val="both"/>
        <w:rPr>
          <w:rFonts w:ascii="宋体" w:hAnsi="宋体" w:cs="宋体"/>
          <w:color w:val="auto"/>
          <w:szCs w:val="21"/>
          <w:highlight w:val="none"/>
        </w:rPr>
      </w:pPr>
      <w:r>
        <w:rPr>
          <w:rFonts w:hint="eastAsia" w:ascii="宋体" w:hAnsi="宋体" w:cs="宋体"/>
          <w:color w:val="auto"/>
          <w:szCs w:val="21"/>
          <w:highlight w:val="none"/>
        </w:rPr>
        <w:t>（1）不同投标人的投标文件由同一单位或者个人编制；</w:t>
      </w:r>
    </w:p>
    <w:p w14:paraId="29211F5E">
      <w:pPr>
        <w:widowControl w:val="0"/>
        <w:adjustRightInd/>
        <w:snapToGrid/>
        <w:ind w:firstLine="420" w:firstLineChars="200"/>
        <w:jc w:val="both"/>
        <w:rPr>
          <w:rFonts w:ascii="宋体" w:hAnsi="宋体" w:cs="宋体"/>
          <w:color w:val="auto"/>
          <w:szCs w:val="21"/>
          <w:highlight w:val="none"/>
        </w:rPr>
      </w:pPr>
      <w:r>
        <w:rPr>
          <w:rFonts w:hint="eastAsia" w:ascii="宋体" w:hAnsi="宋体" w:cs="宋体"/>
          <w:color w:val="auto"/>
          <w:szCs w:val="21"/>
          <w:highlight w:val="none"/>
        </w:rPr>
        <w:t>（2）不同投标人委托同一单位或者个人办理投标事宜；</w:t>
      </w:r>
    </w:p>
    <w:p w14:paraId="18F96BDF">
      <w:pPr>
        <w:widowControl w:val="0"/>
        <w:adjustRightInd/>
        <w:snapToGrid/>
        <w:ind w:firstLine="420" w:firstLineChars="200"/>
        <w:jc w:val="both"/>
        <w:rPr>
          <w:rFonts w:ascii="宋体" w:hAnsi="宋体" w:cs="宋体"/>
          <w:color w:val="auto"/>
          <w:szCs w:val="21"/>
          <w:highlight w:val="none"/>
        </w:rPr>
      </w:pPr>
      <w:r>
        <w:rPr>
          <w:rFonts w:hint="eastAsia" w:ascii="宋体" w:hAnsi="宋体" w:cs="宋体"/>
          <w:color w:val="auto"/>
          <w:szCs w:val="21"/>
          <w:highlight w:val="none"/>
        </w:rPr>
        <w:t>（3）不同投标人的投标文件载明的项目管理成员或者联系人员为同一人；</w:t>
      </w:r>
    </w:p>
    <w:p w14:paraId="33BAE19C">
      <w:pPr>
        <w:widowControl w:val="0"/>
        <w:adjustRightInd/>
        <w:snapToGrid/>
        <w:ind w:firstLine="420" w:firstLineChars="200"/>
        <w:jc w:val="both"/>
        <w:rPr>
          <w:rFonts w:ascii="宋体" w:hAnsi="宋体" w:cs="宋体"/>
          <w:color w:val="auto"/>
          <w:szCs w:val="21"/>
          <w:highlight w:val="none"/>
        </w:rPr>
      </w:pPr>
      <w:r>
        <w:rPr>
          <w:rFonts w:hint="eastAsia" w:ascii="宋体" w:hAnsi="宋体" w:cs="宋体"/>
          <w:color w:val="auto"/>
          <w:szCs w:val="21"/>
          <w:highlight w:val="none"/>
        </w:rPr>
        <w:t>（4）不同投标人的投标文件异常一致或者投标报价呈规律性差异；</w:t>
      </w:r>
    </w:p>
    <w:p w14:paraId="741C099B">
      <w:pPr>
        <w:widowControl w:val="0"/>
        <w:adjustRightInd/>
        <w:snapToGrid/>
        <w:ind w:firstLine="420" w:firstLineChars="200"/>
        <w:jc w:val="both"/>
        <w:rPr>
          <w:rFonts w:ascii="宋体" w:hAnsi="宋体" w:cs="宋体"/>
          <w:color w:val="auto"/>
          <w:szCs w:val="21"/>
          <w:highlight w:val="none"/>
        </w:rPr>
      </w:pPr>
      <w:r>
        <w:rPr>
          <w:rFonts w:hint="eastAsia" w:ascii="宋体" w:hAnsi="宋体" w:cs="宋体"/>
          <w:color w:val="auto"/>
          <w:szCs w:val="21"/>
          <w:highlight w:val="none"/>
        </w:rPr>
        <w:t>（5）不同投标人的投标文件相互混装；</w:t>
      </w:r>
    </w:p>
    <w:p w14:paraId="7890DC6D">
      <w:pPr>
        <w:widowControl w:val="0"/>
        <w:adjustRightInd/>
        <w:snapToGrid/>
        <w:ind w:firstLine="420" w:firstLineChars="200"/>
        <w:jc w:val="both"/>
        <w:rPr>
          <w:rFonts w:ascii="宋体" w:hAnsi="宋体" w:cs="宋体"/>
          <w:color w:val="auto"/>
          <w:szCs w:val="21"/>
          <w:highlight w:val="none"/>
        </w:rPr>
      </w:pPr>
      <w:r>
        <w:rPr>
          <w:rFonts w:hint="eastAsia" w:ascii="宋体" w:hAnsi="宋体" w:cs="宋体"/>
          <w:color w:val="auto"/>
          <w:szCs w:val="21"/>
          <w:highlight w:val="none"/>
        </w:rPr>
        <w:t>（6）不同投标人的投标保证金从同一单位或者个人的账户转出。</w:t>
      </w:r>
    </w:p>
    <w:bookmarkEnd w:id="87"/>
    <w:p w14:paraId="6931629D">
      <w:pPr>
        <w:rPr>
          <w:rFonts w:ascii="宋体" w:hAnsi="宋体" w:cs="宋体"/>
          <w:color w:val="auto"/>
          <w:highlight w:val="none"/>
        </w:rPr>
      </w:pPr>
    </w:p>
    <w:p w14:paraId="39F7EF34">
      <w:pPr>
        <w:pStyle w:val="4"/>
        <w:widowControl w:val="0"/>
        <w:numPr>
          <w:ilvl w:val="0"/>
          <w:numId w:val="3"/>
        </w:numPr>
        <w:overflowPunct w:val="0"/>
        <w:rPr>
          <w:rFonts w:ascii="宋体" w:hAnsi="宋体" w:cs="宋体"/>
          <w:color w:val="auto"/>
          <w:sz w:val="21"/>
          <w:szCs w:val="21"/>
          <w:highlight w:val="none"/>
        </w:rPr>
      </w:pPr>
      <w:bookmarkStart w:id="88" w:name="_Toc30500"/>
      <w:bookmarkStart w:id="89" w:name="_Toc7134"/>
      <w:bookmarkStart w:id="90" w:name="_Toc6154"/>
      <w:r>
        <w:rPr>
          <w:rFonts w:hint="eastAsia" w:ascii="宋体" w:hAnsi="宋体" w:cs="宋体"/>
          <w:color w:val="auto"/>
          <w:sz w:val="21"/>
          <w:szCs w:val="21"/>
          <w:highlight w:val="none"/>
        </w:rPr>
        <w:t>投标报价说明</w:t>
      </w:r>
      <w:bookmarkEnd w:id="88"/>
      <w:bookmarkEnd w:id="89"/>
      <w:bookmarkEnd w:id="90"/>
    </w:p>
    <w:p w14:paraId="5AA6E3F4">
      <w:pPr>
        <w:pStyle w:val="20"/>
        <w:widowControl w:val="0"/>
        <w:numPr>
          <w:ilvl w:val="0"/>
          <w:numId w:val="4"/>
        </w:numPr>
        <w:adjustRightInd/>
        <w:snapToGrid/>
        <w:ind w:firstLineChars="0"/>
        <w:jc w:val="both"/>
        <w:rPr>
          <w:rFonts w:ascii="宋体" w:hAnsi="宋体" w:cs="宋体"/>
          <w:vanish/>
          <w:color w:val="auto"/>
          <w:szCs w:val="21"/>
          <w:highlight w:val="none"/>
        </w:rPr>
      </w:pPr>
    </w:p>
    <w:p w14:paraId="43013A2A">
      <w:pPr>
        <w:widowControl w:val="0"/>
        <w:numPr>
          <w:ilvl w:val="1"/>
          <w:numId w:val="3"/>
        </w:numPr>
        <w:overflowPunct w:val="0"/>
        <w:rPr>
          <w:rFonts w:ascii="宋体" w:hAnsi="宋体" w:cs="宋体"/>
          <w:color w:val="auto"/>
          <w:szCs w:val="21"/>
          <w:highlight w:val="none"/>
        </w:rPr>
      </w:pPr>
      <w:r>
        <w:rPr>
          <w:rFonts w:hint="eastAsia" w:ascii="宋体" w:hAnsi="宋体" w:cs="宋体"/>
          <w:color w:val="auto"/>
          <w:szCs w:val="21"/>
          <w:highlight w:val="none"/>
        </w:rPr>
        <w:t>本次采购，投标人应按用户需求中的要求进行投标报价，少报无效。</w:t>
      </w:r>
    </w:p>
    <w:p w14:paraId="7CFB0579">
      <w:pPr>
        <w:widowControl w:val="0"/>
        <w:numPr>
          <w:ilvl w:val="1"/>
          <w:numId w:val="3"/>
        </w:numPr>
        <w:overflowPunct w:val="0"/>
        <w:rPr>
          <w:rFonts w:ascii="宋体" w:hAnsi="宋体" w:cs="宋体"/>
          <w:color w:val="auto"/>
          <w:szCs w:val="21"/>
          <w:highlight w:val="none"/>
        </w:rPr>
      </w:pPr>
      <w:r>
        <w:rPr>
          <w:rFonts w:hint="eastAsia" w:ascii="宋体" w:hAnsi="宋体" w:cs="宋体"/>
          <w:color w:val="auto"/>
          <w:szCs w:val="21"/>
          <w:highlight w:val="none"/>
        </w:rPr>
        <w:t>投标人所提供的货物或服务均以人民币（或相关费率）报价。</w:t>
      </w:r>
    </w:p>
    <w:p w14:paraId="36A2B7FD">
      <w:pPr>
        <w:widowControl w:val="0"/>
        <w:numPr>
          <w:ilvl w:val="1"/>
          <w:numId w:val="3"/>
        </w:numPr>
        <w:overflowPunct w:val="0"/>
        <w:rPr>
          <w:rFonts w:ascii="宋体" w:hAnsi="宋体" w:cs="宋体"/>
          <w:color w:val="auto"/>
          <w:szCs w:val="21"/>
          <w:highlight w:val="none"/>
        </w:rPr>
      </w:pPr>
      <w:r>
        <w:rPr>
          <w:rFonts w:hint="eastAsia" w:ascii="宋体" w:hAnsi="宋体" w:cs="宋体"/>
          <w:color w:val="auto"/>
          <w:szCs w:val="21"/>
          <w:highlight w:val="none"/>
        </w:rPr>
        <w:t>投标报价应包含完成本次采购所有服务内容的费用，包含各种税务费及合同实施过程中的全部费用和售后服务费等。</w:t>
      </w:r>
    </w:p>
    <w:p w14:paraId="0D090B71">
      <w:pPr>
        <w:widowControl w:val="0"/>
        <w:numPr>
          <w:ilvl w:val="1"/>
          <w:numId w:val="3"/>
        </w:numPr>
        <w:overflowPunct w:val="0"/>
        <w:rPr>
          <w:rFonts w:ascii="宋体" w:hAnsi="宋体" w:cs="宋体"/>
          <w:color w:val="auto"/>
          <w:szCs w:val="21"/>
          <w:highlight w:val="none"/>
        </w:rPr>
      </w:pPr>
      <w:r>
        <w:rPr>
          <w:rFonts w:hint="eastAsia" w:ascii="宋体" w:hAnsi="宋体" w:cs="宋体"/>
          <w:color w:val="auto"/>
          <w:szCs w:val="21"/>
          <w:highlight w:val="none"/>
        </w:rPr>
        <w:t>评标委员会认为投标人的报价明显低于其他通过符合性审查投标人的报价，有可能影响产品质量或者不能诚信履约的，应当要求其在评标现场合理的时间内提供书面说明，必要时提交相关证明材料；投标人不能证明其报价合理性的，评标委员会应当将其作为无效投标处理。</w:t>
      </w:r>
    </w:p>
    <w:p w14:paraId="206660F7">
      <w:pPr>
        <w:widowControl w:val="0"/>
        <w:numPr>
          <w:ilvl w:val="1"/>
          <w:numId w:val="3"/>
        </w:numPr>
        <w:overflowPunct w:val="0"/>
        <w:rPr>
          <w:rFonts w:ascii="宋体" w:hAnsi="宋体" w:cs="宋体"/>
          <w:color w:val="auto"/>
          <w:szCs w:val="21"/>
          <w:highlight w:val="none"/>
        </w:rPr>
      </w:pPr>
      <w:r>
        <w:rPr>
          <w:rFonts w:hint="eastAsia" w:ascii="宋体" w:hAnsi="宋体" w:cs="宋体"/>
          <w:color w:val="auto"/>
          <w:szCs w:val="21"/>
          <w:highlight w:val="none"/>
        </w:rPr>
        <w:t>中标后开出的所有发票必须与中标人的名称一致。</w:t>
      </w:r>
    </w:p>
    <w:p w14:paraId="1778137E">
      <w:pPr>
        <w:rPr>
          <w:rFonts w:ascii="宋体" w:hAnsi="宋体" w:cs="宋体"/>
          <w:color w:val="auto"/>
          <w:highlight w:val="none"/>
        </w:rPr>
      </w:pPr>
    </w:p>
    <w:p w14:paraId="47083A38">
      <w:pPr>
        <w:pStyle w:val="4"/>
        <w:widowControl w:val="0"/>
        <w:numPr>
          <w:ilvl w:val="0"/>
          <w:numId w:val="3"/>
        </w:numPr>
        <w:overflowPunct w:val="0"/>
        <w:rPr>
          <w:rFonts w:ascii="宋体" w:hAnsi="宋体" w:cs="宋体"/>
          <w:color w:val="auto"/>
          <w:sz w:val="21"/>
          <w:szCs w:val="21"/>
          <w:highlight w:val="none"/>
        </w:rPr>
      </w:pPr>
      <w:bookmarkStart w:id="91" w:name="_Toc14501"/>
      <w:bookmarkStart w:id="92" w:name="_Toc14485"/>
      <w:bookmarkStart w:id="93" w:name="_Toc17669"/>
      <w:r>
        <w:rPr>
          <w:rFonts w:hint="eastAsia" w:ascii="宋体" w:hAnsi="宋体" w:cs="宋体"/>
          <w:color w:val="auto"/>
          <w:sz w:val="21"/>
          <w:szCs w:val="21"/>
          <w:highlight w:val="none"/>
        </w:rPr>
        <w:t>投标人所提供的服务或货物的证明文件</w:t>
      </w:r>
      <w:bookmarkEnd w:id="91"/>
      <w:bookmarkEnd w:id="92"/>
      <w:bookmarkEnd w:id="93"/>
    </w:p>
    <w:p w14:paraId="10E1A9C0">
      <w:pPr>
        <w:pStyle w:val="20"/>
        <w:widowControl w:val="0"/>
        <w:numPr>
          <w:ilvl w:val="0"/>
          <w:numId w:val="4"/>
        </w:numPr>
        <w:adjustRightInd/>
        <w:snapToGrid/>
        <w:ind w:firstLineChars="0"/>
        <w:jc w:val="both"/>
        <w:rPr>
          <w:rFonts w:ascii="宋体" w:hAnsi="宋体" w:cs="宋体"/>
          <w:vanish/>
          <w:color w:val="auto"/>
          <w:szCs w:val="21"/>
          <w:highlight w:val="none"/>
        </w:rPr>
      </w:pPr>
    </w:p>
    <w:p w14:paraId="5303959B">
      <w:pPr>
        <w:widowControl w:val="0"/>
        <w:numPr>
          <w:ilvl w:val="1"/>
          <w:numId w:val="3"/>
        </w:numPr>
        <w:overflowPunct w:val="0"/>
        <w:rPr>
          <w:rFonts w:ascii="宋体" w:hAnsi="宋体" w:cs="宋体"/>
          <w:color w:val="auto"/>
          <w:szCs w:val="21"/>
          <w:highlight w:val="none"/>
        </w:rPr>
      </w:pPr>
      <w:bookmarkStart w:id="94" w:name="_Hlt107925668"/>
      <w:bookmarkEnd w:id="94"/>
      <w:bookmarkStart w:id="95" w:name="_Hlt107925638"/>
      <w:bookmarkEnd w:id="95"/>
      <w:r>
        <w:rPr>
          <w:rFonts w:hint="eastAsia" w:ascii="宋体" w:hAnsi="宋体" w:cs="宋体"/>
          <w:color w:val="auto"/>
          <w:szCs w:val="21"/>
          <w:highlight w:val="none"/>
        </w:rPr>
        <w:t>证明服务或货物的文件，它可以是文字资料、图纸和数据包括但不限于：服务主要内容、标准、质量、人员资质、计划安排、报告审核等的详细说明；对采购文件第三部分《用户需求书》中规定的要求进行详细应答和说明。</w:t>
      </w:r>
    </w:p>
    <w:p w14:paraId="3E5C9A12">
      <w:pPr>
        <w:widowControl w:val="0"/>
        <w:numPr>
          <w:ilvl w:val="1"/>
          <w:numId w:val="3"/>
        </w:numPr>
        <w:overflowPunct w:val="0"/>
        <w:rPr>
          <w:rFonts w:ascii="宋体" w:hAnsi="宋体" w:cs="宋体"/>
          <w:color w:val="auto"/>
          <w:szCs w:val="21"/>
          <w:highlight w:val="none"/>
        </w:rPr>
      </w:pPr>
      <w:r>
        <w:rPr>
          <w:rFonts w:hint="eastAsia" w:ascii="宋体" w:hAnsi="宋体" w:cs="宋体"/>
          <w:color w:val="auto"/>
          <w:szCs w:val="21"/>
          <w:highlight w:val="none"/>
        </w:rPr>
        <w:t>有下列情形之一的，视为投标人弄虚作假，其投标无效：</w:t>
      </w:r>
    </w:p>
    <w:p w14:paraId="49CF3600">
      <w:pPr>
        <w:pStyle w:val="20"/>
        <w:widowControl w:val="0"/>
        <w:adjustRightInd/>
        <w:snapToGrid/>
        <w:ind w:left="425" w:firstLine="0" w:firstLineChars="0"/>
        <w:jc w:val="both"/>
        <w:rPr>
          <w:rFonts w:ascii="宋体" w:hAnsi="宋体" w:cs="宋体"/>
          <w:color w:val="auto"/>
          <w:highlight w:val="none"/>
        </w:rPr>
      </w:pPr>
      <w:r>
        <w:rPr>
          <w:rFonts w:hint="eastAsia" w:ascii="宋体" w:hAnsi="宋体" w:cs="宋体"/>
          <w:color w:val="auto"/>
          <w:highlight w:val="none"/>
        </w:rPr>
        <w:t>1、使用通过受让或者租借等方式获取的资格、资质证书投标的，属于以他人名义投标。</w:t>
      </w:r>
    </w:p>
    <w:p w14:paraId="70E212A6">
      <w:pPr>
        <w:pStyle w:val="20"/>
        <w:widowControl w:val="0"/>
        <w:adjustRightInd/>
        <w:snapToGrid/>
        <w:ind w:left="425" w:firstLine="0" w:firstLineChars="0"/>
        <w:jc w:val="both"/>
        <w:rPr>
          <w:rFonts w:ascii="宋体" w:hAnsi="宋体" w:cs="宋体"/>
          <w:color w:val="auto"/>
          <w:highlight w:val="none"/>
        </w:rPr>
      </w:pPr>
      <w:r>
        <w:rPr>
          <w:rFonts w:hint="eastAsia" w:ascii="宋体" w:hAnsi="宋体" w:cs="宋体"/>
          <w:color w:val="auto"/>
          <w:highlight w:val="none"/>
        </w:rPr>
        <w:t>2、投标人有下列情形之一的，属于以其他方式弄虚作假的行为：</w:t>
      </w:r>
    </w:p>
    <w:p w14:paraId="3C1A5ACF">
      <w:pPr>
        <w:pStyle w:val="20"/>
        <w:widowControl w:val="0"/>
        <w:adjustRightInd/>
        <w:snapToGrid/>
        <w:ind w:left="425" w:firstLine="0" w:firstLineChars="0"/>
        <w:jc w:val="both"/>
        <w:rPr>
          <w:rFonts w:ascii="宋体" w:hAnsi="宋体" w:cs="宋体"/>
          <w:color w:val="auto"/>
          <w:highlight w:val="none"/>
        </w:rPr>
      </w:pPr>
      <w:r>
        <w:rPr>
          <w:rFonts w:hint="eastAsia" w:ascii="宋体" w:hAnsi="宋体" w:cs="宋体"/>
          <w:color w:val="auto"/>
          <w:highlight w:val="none"/>
        </w:rPr>
        <w:t>（1）使用伪造、变造的许可证件；</w:t>
      </w:r>
    </w:p>
    <w:p w14:paraId="5D1687EA">
      <w:pPr>
        <w:pStyle w:val="20"/>
        <w:widowControl w:val="0"/>
        <w:adjustRightInd/>
        <w:snapToGrid/>
        <w:ind w:left="425" w:firstLine="0" w:firstLineChars="0"/>
        <w:jc w:val="both"/>
        <w:rPr>
          <w:rFonts w:ascii="宋体" w:hAnsi="宋体" w:cs="宋体"/>
          <w:color w:val="auto"/>
          <w:highlight w:val="none"/>
        </w:rPr>
      </w:pPr>
      <w:r>
        <w:rPr>
          <w:rFonts w:hint="eastAsia" w:ascii="宋体" w:hAnsi="宋体" w:cs="宋体"/>
          <w:color w:val="auto"/>
          <w:highlight w:val="none"/>
        </w:rPr>
        <w:t>（2）提供虚假的财务状况或者业绩；</w:t>
      </w:r>
    </w:p>
    <w:p w14:paraId="195B1276">
      <w:pPr>
        <w:pStyle w:val="20"/>
        <w:widowControl w:val="0"/>
        <w:adjustRightInd/>
        <w:snapToGrid/>
        <w:ind w:left="425" w:firstLine="0" w:firstLineChars="0"/>
        <w:jc w:val="both"/>
        <w:rPr>
          <w:rFonts w:ascii="宋体" w:hAnsi="宋体" w:cs="宋体"/>
          <w:color w:val="auto"/>
          <w:highlight w:val="none"/>
        </w:rPr>
      </w:pPr>
      <w:r>
        <w:rPr>
          <w:rFonts w:hint="eastAsia" w:ascii="宋体" w:hAnsi="宋体" w:cs="宋体"/>
          <w:color w:val="auto"/>
          <w:highlight w:val="none"/>
        </w:rPr>
        <w:t>（3）提供虚假的项目负责人或者主要技术人员简历、劳动关系证明；</w:t>
      </w:r>
    </w:p>
    <w:p w14:paraId="318A8B7B">
      <w:pPr>
        <w:pStyle w:val="20"/>
        <w:widowControl w:val="0"/>
        <w:adjustRightInd/>
        <w:snapToGrid/>
        <w:ind w:left="425" w:firstLine="0" w:firstLineChars="0"/>
        <w:jc w:val="both"/>
        <w:rPr>
          <w:rFonts w:ascii="宋体" w:hAnsi="宋体" w:cs="宋体"/>
          <w:color w:val="auto"/>
          <w:highlight w:val="none"/>
        </w:rPr>
      </w:pPr>
      <w:r>
        <w:rPr>
          <w:rFonts w:hint="eastAsia" w:ascii="宋体" w:hAnsi="宋体" w:cs="宋体"/>
          <w:color w:val="auto"/>
          <w:highlight w:val="none"/>
        </w:rPr>
        <w:t>（4）提供虚假的信用状况；</w:t>
      </w:r>
    </w:p>
    <w:p w14:paraId="0A238B3C">
      <w:pPr>
        <w:pStyle w:val="20"/>
        <w:widowControl w:val="0"/>
        <w:adjustRightInd/>
        <w:snapToGrid/>
        <w:ind w:left="425" w:firstLine="0" w:firstLineChars="0"/>
        <w:jc w:val="both"/>
        <w:rPr>
          <w:rFonts w:ascii="宋体" w:hAnsi="宋体" w:cs="宋体"/>
          <w:color w:val="auto"/>
          <w:highlight w:val="none"/>
        </w:rPr>
      </w:pPr>
      <w:r>
        <w:rPr>
          <w:rFonts w:hint="eastAsia" w:ascii="宋体" w:hAnsi="宋体" w:cs="宋体"/>
          <w:color w:val="auto"/>
          <w:highlight w:val="none"/>
        </w:rPr>
        <w:t>（5）其他弄虚作假的行为。</w:t>
      </w:r>
    </w:p>
    <w:p w14:paraId="48E9FFC8">
      <w:pPr>
        <w:pStyle w:val="4"/>
        <w:widowControl w:val="0"/>
        <w:numPr>
          <w:ilvl w:val="0"/>
          <w:numId w:val="3"/>
        </w:numPr>
        <w:overflowPunct w:val="0"/>
        <w:rPr>
          <w:rFonts w:ascii="宋体" w:hAnsi="宋体" w:cs="宋体"/>
          <w:color w:val="auto"/>
          <w:sz w:val="21"/>
          <w:szCs w:val="21"/>
          <w:highlight w:val="none"/>
        </w:rPr>
      </w:pPr>
      <w:bookmarkStart w:id="96" w:name="_Toc884"/>
      <w:bookmarkStart w:id="97" w:name="_Toc2409"/>
      <w:bookmarkStart w:id="98" w:name="_Toc8324"/>
      <w:r>
        <w:rPr>
          <w:rFonts w:hint="eastAsia" w:ascii="宋体" w:hAnsi="宋体" w:cs="宋体"/>
          <w:color w:val="auto"/>
          <w:sz w:val="21"/>
          <w:szCs w:val="21"/>
          <w:highlight w:val="none"/>
        </w:rPr>
        <w:t>投标有效期</w:t>
      </w:r>
      <w:bookmarkEnd w:id="96"/>
      <w:bookmarkEnd w:id="97"/>
      <w:bookmarkEnd w:id="98"/>
    </w:p>
    <w:p w14:paraId="05376616">
      <w:pPr>
        <w:pStyle w:val="20"/>
        <w:widowControl w:val="0"/>
        <w:numPr>
          <w:ilvl w:val="0"/>
          <w:numId w:val="4"/>
        </w:numPr>
        <w:adjustRightInd/>
        <w:snapToGrid/>
        <w:ind w:firstLineChars="0"/>
        <w:jc w:val="both"/>
        <w:rPr>
          <w:rFonts w:ascii="宋体" w:hAnsi="宋体" w:cs="宋体"/>
          <w:vanish/>
          <w:color w:val="auto"/>
          <w:szCs w:val="21"/>
          <w:highlight w:val="none"/>
        </w:rPr>
      </w:pPr>
    </w:p>
    <w:p w14:paraId="00E10D20">
      <w:pPr>
        <w:widowControl w:val="0"/>
        <w:numPr>
          <w:ilvl w:val="1"/>
          <w:numId w:val="3"/>
        </w:numPr>
        <w:overflowPunct w:val="0"/>
        <w:rPr>
          <w:rFonts w:ascii="宋体" w:hAnsi="宋体" w:cs="宋体"/>
          <w:color w:val="auto"/>
          <w:szCs w:val="21"/>
          <w:highlight w:val="none"/>
        </w:rPr>
      </w:pPr>
      <w:r>
        <w:rPr>
          <w:rFonts w:hint="eastAsia" w:ascii="宋体" w:hAnsi="宋体" w:cs="宋体"/>
          <w:color w:val="auto"/>
          <w:szCs w:val="21"/>
          <w:highlight w:val="none"/>
        </w:rPr>
        <w:t>投标文件应根据投标人须知的规定在投标截止日后的90天内保持有效。</w:t>
      </w:r>
    </w:p>
    <w:p w14:paraId="73133249">
      <w:pPr>
        <w:widowControl w:val="0"/>
        <w:adjustRightInd/>
        <w:snapToGrid/>
        <w:ind w:left="567"/>
        <w:jc w:val="both"/>
        <w:rPr>
          <w:rFonts w:ascii="宋体" w:hAnsi="宋体" w:cs="宋体"/>
          <w:color w:val="auto"/>
          <w:highlight w:val="none"/>
        </w:rPr>
      </w:pPr>
    </w:p>
    <w:p w14:paraId="303062FC">
      <w:pPr>
        <w:pStyle w:val="4"/>
        <w:widowControl w:val="0"/>
        <w:numPr>
          <w:ilvl w:val="0"/>
          <w:numId w:val="3"/>
        </w:numPr>
        <w:overflowPunct w:val="0"/>
        <w:rPr>
          <w:rFonts w:ascii="宋体" w:hAnsi="宋体" w:cs="宋体"/>
          <w:color w:val="auto"/>
          <w:sz w:val="21"/>
          <w:szCs w:val="21"/>
          <w:highlight w:val="none"/>
        </w:rPr>
      </w:pPr>
      <w:bookmarkStart w:id="99" w:name="_Toc32429"/>
      <w:bookmarkStart w:id="100" w:name="_Toc12582"/>
      <w:bookmarkStart w:id="101" w:name="_Toc26564"/>
      <w:r>
        <w:rPr>
          <w:rFonts w:hint="eastAsia" w:ascii="宋体" w:hAnsi="宋体" w:cs="宋体"/>
          <w:color w:val="auto"/>
          <w:sz w:val="21"/>
          <w:szCs w:val="21"/>
          <w:highlight w:val="none"/>
        </w:rPr>
        <w:t>投标保证金</w:t>
      </w:r>
      <w:bookmarkEnd w:id="99"/>
      <w:bookmarkEnd w:id="100"/>
      <w:bookmarkEnd w:id="101"/>
    </w:p>
    <w:p w14:paraId="0B8262A5">
      <w:pPr>
        <w:pStyle w:val="20"/>
        <w:widowControl w:val="0"/>
        <w:numPr>
          <w:ilvl w:val="0"/>
          <w:numId w:val="4"/>
        </w:numPr>
        <w:adjustRightInd/>
        <w:snapToGrid/>
        <w:ind w:firstLineChars="0"/>
        <w:jc w:val="both"/>
        <w:rPr>
          <w:rFonts w:ascii="宋体" w:hAnsi="宋体" w:cs="宋体"/>
          <w:vanish/>
          <w:color w:val="auto"/>
          <w:szCs w:val="21"/>
          <w:highlight w:val="none"/>
        </w:rPr>
      </w:pPr>
      <w:bookmarkStart w:id="102" w:name="_Ref179619405"/>
    </w:p>
    <w:p w14:paraId="5CDC069C">
      <w:pPr>
        <w:widowControl w:val="0"/>
        <w:numPr>
          <w:ilvl w:val="1"/>
          <w:numId w:val="3"/>
        </w:numPr>
        <w:overflowPunct w:val="0"/>
        <w:rPr>
          <w:rFonts w:ascii="宋体" w:hAnsi="宋体" w:cs="宋体"/>
          <w:color w:val="auto"/>
          <w:szCs w:val="21"/>
          <w:highlight w:val="none"/>
        </w:rPr>
      </w:pPr>
      <w:r>
        <w:rPr>
          <w:rFonts w:hint="eastAsia" w:ascii="宋体" w:hAnsi="宋体" w:cs="宋体"/>
          <w:color w:val="auto"/>
          <w:szCs w:val="21"/>
          <w:highlight w:val="none"/>
        </w:rPr>
        <w:t>投标人应在投标文件递交截止前提交相应的投标保证金，并作为其投标的一部分。</w:t>
      </w:r>
      <w:bookmarkEnd w:id="102"/>
    </w:p>
    <w:p w14:paraId="68A183F3">
      <w:pPr>
        <w:widowControl w:val="0"/>
        <w:numPr>
          <w:ilvl w:val="1"/>
          <w:numId w:val="3"/>
        </w:numPr>
        <w:overflowPunct w:val="0"/>
        <w:rPr>
          <w:rFonts w:ascii="宋体" w:hAnsi="宋体" w:cs="宋体"/>
          <w:color w:val="auto"/>
          <w:szCs w:val="21"/>
          <w:highlight w:val="none"/>
        </w:rPr>
      </w:pPr>
      <w:r>
        <w:rPr>
          <w:rFonts w:hint="eastAsia" w:ascii="宋体" w:hAnsi="宋体" w:cs="宋体"/>
          <w:color w:val="auto"/>
          <w:szCs w:val="21"/>
          <w:highlight w:val="none"/>
        </w:rPr>
        <w:t>投标保证金是为了保护采购代理机构和采购人免遭因投标人的行为而蒙受的损失。采购代理机构和采购人在因投标人的行为受到损害时可根据本须知（17.7）的规定没收投标人的投标保证金。</w:t>
      </w:r>
    </w:p>
    <w:p w14:paraId="16D7A312">
      <w:pPr>
        <w:widowControl w:val="0"/>
        <w:numPr>
          <w:ilvl w:val="1"/>
          <w:numId w:val="3"/>
        </w:numPr>
        <w:overflowPunct w:val="0"/>
        <w:rPr>
          <w:rFonts w:ascii="宋体" w:hAnsi="宋体" w:cs="宋体"/>
          <w:color w:val="auto"/>
          <w:szCs w:val="21"/>
          <w:highlight w:val="none"/>
        </w:rPr>
      </w:pPr>
      <w:r>
        <w:rPr>
          <w:rFonts w:hint="eastAsia" w:ascii="宋体" w:hAnsi="宋体" w:cs="宋体"/>
          <w:color w:val="auto"/>
          <w:szCs w:val="21"/>
          <w:highlight w:val="none"/>
        </w:rPr>
        <w:t>投标保证金采用转账、电汇方式方式提交，应符合以下要求：采用银行转账、电汇方式提交的，保证金汇入《投标资料表》中投标保证金专用账户，不接收由以投标人分支机构、私人账户和其他单位转入的保证金。投标保证金必须在投标文件递交截止前到账，投标保证金未按规定时间到达指定账户或提交金额不足的，将被视为无效投标。且在备注或用途中注明本项目的项目编号。</w:t>
      </w:r>
    </w:p>
    <w:p w14:paraId="5FBF1A1E">
      <w:pPr>
        <w:widowControl w:val="0"/>
        <w:numPr>
          <w:ilvl w:val="1"/>
          <w:numId w:val="3"/>
        </w:numPr>
        <w:overflowPunct w:val="0"/>
        <w:rPr>
          <w:rFonts w:ascii="宋体" w:hAnsi="宋体" w:cs="宋体"/>
          <w:color w:val="auto"/>
          <w:szCs w:val="21"/>
          <w:highlight w:val="none"/>
        </w:rPr>
      </w:pPr>
      <w:r>
        <w:rPr>
          <w:rFonts w:hint="eastAsia" w:ascii="宋体" w:hAnsi="宋体" w:cs="宋体"/>
          <w:color w:val="auto"/>
          <w:szCs w:val="21"/>
          <w:highlight w:val="none"/>
        </w:rPr>
        <w:t>凡没有根据本须知（17.1和17.3）的规定随附有效的投标保证金的投标，将被视为非响应性投标予以拒绝。</w:t>
      </w:r>
    </w:p>
    <w:p w14:paraId="1261D663">
      <w:pPr>
        <w:widowControl w:val="0"/>
        <w:numPr>
          <w:ilvl w:val="1"/>
          <w:numId w:val="3"/>
        </w:numPr>
        <w:overflowPunct w:val="0"/>
        <w:rPr>
          <w:rFonts w:ascii="宋体" w:hAnsi="宋体" w:cs="宋体"/>
          <w:color w:val="auto"/>
          <w:szCs w:val="21"/>
          <w:highlight w:val="none"/>
        </w:rPr>
      </w:pPr>
      <w:r>
        <w:rPr>
          <w:rFonts w:hint="eastAsia" w:ascii="宋体" w:hAnsi="宋体" w:cs="宋体"/>
          <w:color w:val="auto"/>
          <w:szCs w:val="21"/>
          <w:highlight w:val="none"/>
        </w:rPr>
        <w:t>投标保证金有效期应当与投标有效期一致。采购人如果按照采购文件另外规定延长了投标文件有效期，则投标担保的有效期也相应延长。</w:t>
      </w:r>
    </w:p>
    <w:p w14:paraId="09AE27CF">
      <w:pPr>
        <w:widowControl w:val="0"/>
        <w:numPr>
          <w:ilvl w:val="1"/>
          <w:numId w:val="3"/>
        </w:numPr>
        <w:overflowPunct w:val="0"/>
        <w:rPr>
          <w:rFonts w:ascii="宋体" w:hAnsi="宋体" w:cs="宋体"/>
          <w:color w:val="auto"/>
          <w:szCs w:val="21"/>
          <w:highlight w:val="none"/>
        </w:rPr>
      </w:pPr>
      <w:r>
        <w:rPr>
          <w:rFonts w:hint="eastAsia" w:ascii="宋体" w:hAnsi="宋体" w:cs="宋体"/>
          <w:color w:val="auto"/>
          <w:szCs w:val="21"/>
          <w:highlight w:val="none"/>
        </w:rPr>
        <w:t>中标人在签订采购合同并按采购文件第（33）条规定提交履约担保金后，携带退保证金声明函、投标保证金汇款单复印件（加盖公章）和合同正本到采购人处办理投标保证金（无息）退回手续。</w:t>
      </w:r>
    </w:p>
    <w:p w14:paraId="4E973A98">
      <w:pPr>
        <w:widowControl w:val="0"/>
        <w:numPr>
          <w:ilvl w:val="1"/>
          <w:numId w:val="3"/>
        </w:numPr>
        <w:overflowPunct w:val="0"/>
        <w:rPr>
          <w:rFonts w:ascii="宋体" w:hAnsi="宋体" w:cs="宋体"/>
          <w:color w:val="auto"/>
          <w:szCs w:val="21"/>
          <w:highlight w:val="none"/>
        </w:rPr>
      </w:pPr>
      <w:r>
        <w:rPr>
          <w:rFonts w:hint="eastAsia" w:ascii="宋体" w:hAnsi="宋体" w:cs="宋体"/>
          <w:color w:val="auto"/>
          <w:szCs w:val="21"/>
          <w:highlight w:val="none"/>
        </w:rPr>
        <w:t>下列任何情况发生时，投标保证金将不予退还：</w:t>
      </w:r>
    </w:p>
    <w:p w14:paraId="04C623AB">
      <w:pPr>
        <w:widowControl w:val="0"/>
        <w:adjustRightInd/>
        <w:snapToGrid/>
        <w:ind w:left="540" w:leftChars="257"/>
        <w:jc w:val="both"/>
        <w:rPr>
          <w:rFonts w:ascii="宋体" w:hAnsi="宋体" w:cs="宋体"/>
          <w:color w:val="auto"/>
          <w:szCs w:val="21"/>
          <w:highlight w:val="none"/>
        </w:rPr>
      </w:pPr>
      <w:r>
        <w:rPr>
          <w:rFonts w:hint="eastAsia" w:ascii="宋体" w:hAnsi="宋体" w:cs="宋体"/>
          <w:color w:val="auto"/>
          <w:szCs w:val="21"/>
          <w:highlight w:val="none"/>
        </w:rPr>
        <w:t>（1）投标人在采购文件中规定的投标有效期内撤回其投标；</w:t>
      </w:r>
    </w:p>
    <w:p w14:paraId="46AB3606">
      <w:pPr>
        <w:widowControl w:val="0"/>
        <w:adjustRightInd/>
        <w:snapToGrid/>
        <w:ind w:left="540" w:leftChars="257"/>
        <w:jc w:val="both"/>
        <w:rPr>
          <w:rFonts w:ascii="宋体" w:hAnsi="宋体" w:cs="宋体"/>
          <w:color w:val="auto"/>
          <w:szCs w:val="21"/>
          <w:highlight w:val="none"/>
        </w:rPr>
      </w:pPr>
      <w:r>
        <w:rPr>
          <w:rFonts w:hint="eastAsia" w:ascii="宋体" w:hAnsi="宋体" w:cs="宋体"/>
          <w:color w:val="auto"/>
          <w:szCs w:val="21"/>
          <w:highlight w:val="none"/>
        </w:rPr>
        <w:t>（2）中标人无正当理由不与采购人订立合同，在签订合同时向采购人提出附加条件，或者不按照采购文件要求提交履约担保的；</w:t>
      </w:r>
    </w:p>
    <w:p w14:paraId="45459E23">
      <w:pPr>
        <w:widowControl w:val="0"/>
        <w:adjustRightInd/>
        <w:snapToGrid/>
        <w:ind w:left="540" w:leftChars="257"/>
        <w:jc w:val="both"/>
        <w:rPr>
          <w:rFonts w:ascii="宋体" w:hAnsi="宋体" w:cs="宋体"/>
          <w:color w:val="auto"/>
          <w:szCs w:val="21"/>
          <w:highlight w:val="none"/>
        </w:rPr>
      </w:pPr>
      <w:r>
        <w:rPr>
          <w:rFonts w:hint="eastAsia" w:ascii="宋体" w:hAnsi="宋体" w:cs="宋体"/>
          <w:color w:val="auto"/>
          <w:szCs w:val="21"/>
          <w:highlight w:val="none"/>
        </w:rPr>
        <w:t>（3）中标人将本项目转让给他人，或者在投标文件中未说明，且未经采购人同意，将中标项目分包给他人的；</w:t>
      </w:r>
    </w:p>
    <w:p w14:paraId="71A17C52">
      <w:pPr>
        <w:widowControl w:val="0"/>
        <w:adjustRightInd/>
        <w:snapToGrid/>
        <w:ind w:left="540" w:leftChars="257"/>
        <w:jc w:val="both"/>
        <w:rPr>
          <w:rFonts w:ascii="宋体" w:hAnsi="宋体" w:cs="宋体"/>
          <w:color w:val="auto"/>
          <w:szCs w:val="21"/>
          <w:highlight w:val="none"/>
        </w:rPr>
      </w:pPr>
      <w:r>
        <w:rPr>
          <w:rFonts w:hint="eastAsia" w:ascii="宋体" w:hAnsi="宋体" w:cs="宋体"/>
          <w:color w:val="auto"/>
          <w:szCs w:val="21"/>
          <w:highlight w:val="none"/>
        </w:rPr>
        <w:t>（4）投标人提供虚假投标文件或虚假补充文件的。</w:t>
      </w:r>
    </w:p>
    <w:p w14:paraId="3BF5EAFC">
      <w:pPr>
        <w:widowControl w:val="0"/>
        <w:numPr>
          <w:ilvl w:val="1"/>
          <w:numId w:val="3"/>
        </w:numPr>
        <w:overflowPunct w:val="0"/>
        <w:rPr>
          <w:rFonts w:ascii="宋体" w:hAnsi="宋体" w:cs="宋体"/>
          <w:color w:val="auto"/>
          <w:szCs w:val="21"/>
          <w:highlight w:val="none"/>
        </w:rPr>
      </w:pPr>
      <w:r>
        <w:rPr>
          <w:rFonts w:hint="eastAsia" w:ascii="宋体" w:hAnsi="宋体" w:cs="宋体"/>
          <w:color w:val="auto"/>
          <w:szCs w:val="21"/>
          <w:highlight w:val="none"/>
        </w:rPr>
        <w:t>在中标通知书发出后，未中标投标人的投标保证金，由采购人自行返还至投标人的原转出账户。</w:t>
      </w:r>
    </w:p>
    <w:p w14:paraId="730CA33B">
      <w:pPr>
        <w:rPr>
          <w:rFonts w:ascii="宋体" w:hAnsi="宋体" w:cs="宋体"/>
          <w:color w:val="auto"/>
          <w:highlight w:val="none"/>
        </w:rPr>
      </w:pPr>
    </w:p>
    <w:p w14:paraId="3594B87C">
      <w:pPr>
        <w:pStyle w:val="3"/>
        <w:numPr>
          <w:ilvl w:val="0"/>
          <w:numId w:val="2"/>
        </w:numPr>
        <w:spacing w:before="0" w:after="0" w:line="360" w:lineRule="auto"/>
        <w:jc w:val="center"/>
        <w:rPr>
          <w:rFonts w:ascii="宋体" w:hAnsi="宋体" w:cs="宋体"/>
          <w:color w:val="auto"/>
          <w:highlight w:val="none"/>
        </w:rPr>
      </w:pPr>
      <w:bookmarkStart w:id="103" w:name="_Toc30352"/>
      <w:bookmarkStart w:id="104" w:name="_Toc7475"/>
      <w:bookmarkStart w:id="105" w:name="_Toc18672"/>
      <w:r>
        <w:rPr>
          <w:rFonts w:hint="eastAsia" w:ascii="宋体" w:hAnsi="宋体" w:cs="宋体"/>
          <w:color w:val="auto"/>
          <w:highlight w:val="none"/>
        </w:rPr>
        <w:t>投标文件的递交</w:t>
      </w:r>
      <w:bookmarkEnd w:id="103"/>
      <w:bookmarkEnd w:id="104"/>
      <w:bookmarkEnd w:id="105"/>
    </w:p>
    <w:p w14:paraId="3D22FAA7">
      <w:pPr>
        <w:pStyle w:val="4"/>
        <w:widowControl w:val="0"/>
        <w:numPr>
          <w:ilvl w:val="0"/>
          <w:numId w:val="3"/>
        </w:numPr>
        <w:overflowPunct w:val="0"/>
        <w:rPr>
          <w:rFonts w:ascii="宋体" w:hAnsi="宋体" w:cs="宋体"/>
          <w:color w:val="auto"/>
          <w:sz w:val="21"/>
          <w:szCs w:val="21"/>
          <w:highlight w:val="none"/>
        </w:rPr>
      </w:pPr>
      <w:bookmarkStart w:id="106" w:name="_Toc382049111"/>
      <w:bookmarkStart w:id="107" w:name="_Toc24150"/>
      <w:bookmarkStart w:id="108" w:name="_Toc9759"/>
      <w:bookmarkStart w:id="109" w:name="_Toc303084264"/>
      <w:bookmarkStart w:id="110" w:name="_Toc26113"/>
      <w:bookmarkStart w:id="111" w:name="_Toc24997"/>
      <w:r>
        <w:rPr>
          <w:rFonts w:hint="eastAsia" w:ascii="宋体" w:hAnsi="宋体" w:cs="宋体"/>
          <w:color w:val="auto"/>
          <w:sz w:val="21"/>
          <w:szCs w:val="21"/>
          <w:highlight w:val="none"/>
        </w:rPr>
        <w:t>投标文件的装订，签署，密封和标记</w:t>
      </w:r>
      <w:bookmarkEnd w:id="106"/>
      <w:bookmarkEnd w:id="107"/>
      <w:bookmarkEnd w:id="108"/>
      <w:bookmarkEnd w:id="109"/>
      <w:bookmarkEnd w:id="110"/>
      <w:bookmarkEnd w:id="111"/>
    </w:p>
    <w:p w14:paraId="50A53180">
      <w:pPr>
        <w:pStyle w:val="20"/>
        <w:widowControl w:val="0"/>
        <w:numPr>
          <w:ilvl w:val="0"/>
          <w:numId w:val="4"/>
        </w:numPr>
        <w:adjustRightInd/>
        <w:snapToGrid/>
        <w:ind w:firstLineChars="0"/>
        <w:jc w:val="both"/>
        <w:rPr>
          <w:rFonts w:ascii="宋体" w:hAnsi="宋体" w:cs="宋体"/>
          <w:vanish/>
          <w:color w:val="auto"/>
          <w:szCs w:val="21"/>
          <w:highlight w:val="none"/>
        </w:rPr>
      </w:pPr>
    </w:p>
    <w:p w14:paraId="150442C5">
      <w:pPr>
        <w:widowControl w:val="0"/>
        <w:numPr>
          <w:ilvl w:val="1"/>
          <w:numId w:val="3"/>
        </w:numPr>
        <w:overflowPunct w:val="0"/>
        <w:rPr>
          <w:rFonts w:ascii="宋体" w:hAnsi="宋体" w:cs="宋体"/>
          <w:color w:val="auto"/>
          <w:szCs w:val="21"/>
          <w:highlight w:val="none"/>
        </w:rPr>
      </w:pPr>
      <w:r>
        <w:rPr>
          <w:rFonts w:hint="eastAsia" w:ascii="宋体" w:hAnsi="宋体"/>
          <w:color w:val="auto"/>
          <w:szCs w:val="21"/>
          <w:highlight w:val="none"/>
        </w:rPr>
        <w:t>投标人应按《投标资料表》的份数准备价格文件、商务文件、技术文件、唱标信封和电子文件（</w:t>
      </w:r>
      <w:r>
        <w:rPr>
          <w:rFonts w:hint="eastAsia" w:ascii="宋体" w:hAnsi="宋体"/>
          <w:b/>
          <w:color w:val="auto"/>
          <w:szCs w:val="21"/>
          <w:highlight w:val="none"/>
        </w:rPr>
        <w:t>价格文件、商务文件、技术文件分别单独装订成册</w:t>
      </w:r>
      <w:r>
        <w:rPr>
          <w:rFonts w:hint="eastAsia" w:ascii="宋体" w:hAnsi="宋体"/>
          <w:color w:val="auto"/>
          <w:szCs w:val="21"/>
          <w:highlight w:val="none"/>
        </w:rPr>
        <w:t>），每一份投标文件均需编上页次，装订成册（不允许使用活页夹，否则由此产生的风险由投标人自行承担）。所有投标文件必须封入密封完好的信封或包装，封口加盖公章</w:t>
      </w:r>
      <w:r>
        <w:rPr>
          <w:rFonts w:hint="eastAsia" w:ascii="宋体" w:hAnsi="宋体" w:cs="宋体"/>
          <w:color w:val="auto"/>
          <w:szCs w:val="21"/>
          <w:highlight w:val="none"/>
        </w:rPr>
        <w:t>。</w:t>
      </w:r>
    </w:p>
    <w:p w14:paraId="2AE64A0F">
      <w:pPr>
        <w:widowControl w:val="0"/>
        <w:numPr>
          <w:ilvl w:val="1"/>
          <w:numId w:val="3"/>
        </w:numPr>
        <w:overflowPunct w:val="0"/>
        <w:rPr>
          <w:rFonts w:ascii="宋体" w:hAnsi="宋体" w:cs="宋体"/>
          <w:color w:val="auto"/>
          <w:szCs w:val="21"/>
          <w:highlight w:val="none"/>
        </w:rPr>
      </w:pPr>
      <w:r>
        <w:rPr>
          <w:rFonts w:hint="eastAsia" w:ascii="宋体" w:hAnsi="宋体" w:cs="宋体"/>
          <w:color w:val="auto"/>
          <w:szCs w:val="21"/>
          <w:highlight w:val="none"/>
        </w:rPr>
        <w:t>投标文件正本均须用不褪色墨水书写或打印。投标文件的副本可采用投标文件的正本复印件，每套投标文件应当标明“正本”、“副本”的字样。投标文件的【正本】及所有【副本】的封面及骑缝均须加盖投标人公章（文件每页盖章等同于盖骑缝章）。若正本与副本不符，以正本为准。</w:t>
      </w:r>
    </w:p>
    <w:p w14:paraId="398F377B">
      <w:pPr>
        <w:widowControl w:val="0"/>
        <w:numPr>
          <w:ilvl w:val="1"/>
          <w:numId w:val="3"/>
        </w:numPr>
        <w:overflowPunct w:val="0"/>
        <w:rPr>
          <w:rFonts w:ascii="宋体" w:hAnsi="宋体" w:cs="宋体"/>
          <w:color w:val="auto"/>
          <w:szCs w:val="21"/>
          <w:highlight w:val="none"/>
        </w:rPr>
      </w:pPr>
      <w:r>
        <w:rPr>
          <w:rFonts w:hint="eastAsia" w:ascii="宋体" w:hAnsi="宋体" w:cs="宋体"/>
          <w:color w:val="auto"/>
          <w:szCs w:val="21"/>
          <w:highlight w:val="none"/>
        </w:rPr>
        <w:t>联合体投标文件的【正本】及【副本】的封面及骑缝均须加盖所有联合体组成成员的公章。（文件每页盖章等同于盖骑缝章）</w:t>
      </w:r>
    </w:p>
    <w:p w14:paraId="5D4EDAB4">
      <w:pPr>
        <w:widowControl w:val="0"/>
        <w:numPr>
          <w:ilvl w:val="1"/>
          <w:numId w:val="3"/>
        </w:numPr>
        <w:overflowPunct w:val="0"/>
        <w:rPr>
          <w:rFonts w:ascii="宋体" w:hAnsi="宋体" w:cs="宋体"/>
          <w:color w:val="auto"/>
          <w:szCs w:val="21"/>
          <w:highlight w:val="none"/>
        </w:rPr>
      </w:pPr>
      <w:r>
        <w:rPr>
          <w:rFonts w:hint="eastAsia" w:ascii="宋体" w:hAnsi="宋体" w:cs="宋体"/>
          <w:color w:val="auto"/>
          <w:szCs w:val="21"/>
          <w:highlight w:val="none"/>
        </w:rPr>
        <w:t>电子文件内容包括：由投标人自行制作的与正本文件一致的所有文件。电子文件由光盘或U盘储存，并注明投标人名称及项目名称、采购项目编号，随投标文件一同密封提交。</w:t>
      </w:r>
    </w:p>
    <w:p w14:paraId="34095A4A">
      <w:pPr>
        <w:widowControl w:val="0"/>
        <w:numPr>
          <w:ilvl w:val="1"/>
          <w:numId w:val="3"/>
        </w:numPr>
        <w:overflowPunct w:val="0"/>
        <w:rPr>
          <w:rFonts w:ascii="宋体" w:hAnsi="宋体" w:cs="宋体"/>
          <w:color w:val="auto"/>
          <w:szCs w:val="21"/>
          <w:highlight w:val="none"/>
        </w:rPr>
      </w:pPr>
      <w:r>
        <w:rPr>
          <w:rFonts w:hint="eastAsia" w:ascii="宋体" w:hAnsi="宋体" w:cs="宋体"/>
          <w:color w:val="auto"/>
          <w:szCs w:val="21"/>
          <w:highlight w:val="none"/>
        </w:rPr>
        <w:t>除投标人对错误处修改外，全套投标文件应无涂改或行间插字和增删。如有修改，修改处须由法定代表人或其正式授权代表在旁边签字及盖章。</w:t>
      </w:r>
    </w:p>
    <w:p w14:paraId="6EFF821C">
      <w:pPr>
        <w:widowControl w:val="0"/>
        <w:numPr>
          <w:ilvl w:val="1"/>
          <w:numId w:val="3"/>
        </w:numPr>
        <w:overflowPunct w:val="0"/>
        <w:rPr>
          <w:rFonts w:ascii="宋体" w:hAnsi="宋体" w:cs="宋体"/>
          <w:color w:val="auto"/>
          <w:szCs w:val="21"/>
          <w:highlight w:val="none"/>
        </w:rPr>
      </w:pPr>
      <w:r>
        <w:rPr>
          <w:rFonts w:hint="eastAsia" w:ascii="宋体" w:hAnsi="宋体" w:cs="宋体"/>
          <w:color w:val="auto"/>
          <w:szCs w:val="21"/>
          <w:highlight w:val="none"/>
        </w:rPr>
        <w:t>投标人应将投标文件进行非透明的封装，以防止投标文件内容的泄露。采购代理机构将拒绝接收采用透明包装进行密封的投标文件。</w:t>
      </w:r>
    </w:p>
    <w:p w14:paraId="7F65BAF0">
      <w:pPr>
        <w:widowControl w:val="0"/>
        <w:numPr>
          <w:ilvl w:val="1"/>
          <w:numId w:val="3"/>
        </w:numPr>
        <w:overflowPunct w:val="0"/>
        <w:rPr>
          <w:rFonts w:ascii="宋体" w:hAnsi="宋体" w:cs="宋体"/>
          <w:color w:val="auto"/>
          <w:szCs w:val="21"/>
          <w:highlight w:val="none"/>
        </w:rPr>
      </w:pPr>
      <w:r>
        <w:rPr>
          <w:rFonts w:hint="eastAsia" w:ascii="宋体" w:hAnsi="宋体" w:cs="宋体"/>
          <w:color w:val="auto"/>
          <w:szCs w:val="21"/>
          <w:highlight w:val="none"/>
        </w:rPr>
        <w:t>密封破损导致投标文件内容直接或间接泄露的投标文件，采购代理机构将拒绝接收。</w:t>
      </w:r>
    </w:p>
    <w:p w14:paraId="06052BEF">
      <w:pPr>
        <w:widowControl w:val="0"/>
        <w:numPr>
          <w:ilvl w:val="1"/>
          <w:numId w:val="3"/>
        </w:numPr>
        <w:overflowPunct w:val="0"/>
        <w:rPr>
          <w:rFonts w:ascii="宋体" w:hAnsi="宋体" w:cs="宋体"/>
          <w:color w:val="auto"/>
          <w:szCs w:val="21"/>
          <w:highlight w:val="none"/>
        </w:rPr>
      </w:pPr>
      <w:r>
        <w:rPr>
          <w:rFonts w:hint="eastAsia" w:ascii="宋体" w:hAnsi="宋体" w:cs="宋体"/>
          <w:color w:val="auto"/>
          <w:szCs w:val="21"/>
          <w:highlight w:val="none"/>
        </w:rPr>
        <w:t>为方便开标唱标，投标人应将开标一览表和授权委托书单独密封提交，并在信封上标明“开标文件”字样。开标文件内还须包括并不限于：投标保证金支付凭证银行汇款底单（复印件加盖公章，原件随身携带，以备查核）和投标保证金汇入情况说明（加盖公章）。投标人的法定代表人参加投标时，须开具法定代表人证明书，按上述要求与开标一览表一并密封提交。“开标文件”份数及签章等要求与投标文件正本相同（1份）。</w:t>
      </w:r>
    </w:p>
    <w:p w14:paraId="128AE176">
      <w:pPr>
        <w:widowControl w:val="0"/>
        <w:numPr>
          <w:ilvl w:val="1"/>
          <w:numId w:val="3"/>
        </w:numPr>
        <w:overflowPunct w:val="0"/>
        <w:rPr>
          <w:rFonts w:ascii="宋体" w:hAnsi="宋体" w:cs="宋体"/>
          <w:b/>
          <w:bCs/>
          <w:color w:val="auto"/>
          <w:szCs w:val="21"/>
          <w:highlight w:val="none"/>
        </w:rPr>
      </w:pPr>
      <w:r>
        <w:rPr>
          <w:rFonts w:hint="eastAsia" w:ascii="宋体" w:hAnsi="宋体" w:cs="宋体"/>
          <w:b/>
          <w:bCs/>
          <w:color w:val="auto"/>
          <w:szCs w:val="21"/>
          <w:highlight w:val="none"/>
        </w:rPr>
        <w:t>未单独提交开标文件的投标人投标文件不进行唱标，投标文件作无效处理。</w:t>
      </w:r>
    </w:p>
    <w:p w14:paraId="3376FEB2">
      <w:pPr>
        <w:widowControl w:val="0"/>
        <w:numPr>
          <w:ilvl w:val="1"/>
          <w:numId w:val="3"/>
        </w:numPr>
        <w:overflowPunct w:val="0"/>
        <w:rPr>
          <w:rFonts w:ascii="宋体" w:hAnsi="宋体" w:cs="宋体"/>
          <w:color w:val="auto"/>
          <w:szCs w:val="21"/>
          <w:highlight w:val="none"/>
        </w:rPr>
      </w:pPr>
      <w:r>
        <w:rPr>
          <w:rFonts w:hint="eastAsia" w:ascii="宋体" w:hAnsi="宋体" w:cs="宋体"/>
          <w:color w:val="auto"/>
          <w:szCs w:val="21"/>
          <w:highlight w:val="none"/>
        </w:rPr>
        <w:t xml:space="preserve">所有的信封均应注明： </w:t>
      </w:r>
    </w:p>
    <w:p w14:paraId="4FD3A845">
      <w:pPr>
        <w:widowControl w:val="0"/>
        <w:numPr>
          <w:ilvl w:val="0"/>
          <w:numId w:val="6"/>
        </w:numPr>
        <w:adjustRightInd/>
        <w:snapToGrid/>
        <w:ind w:left="567"/>
        <w:jc w:val="both"/>
        <w:rPr>
          <w:rFonts w:ascii="宋体" w:hAnsi="宋体" w:cs="宋体"/>
          <w:color w:val="auto"/>
          <w:szCs w:val="21"/>
          <w:highlight w:val="none"/>
        </w:rPr>
      </w:pPr>
      <w:r>
        <w:rPr>
          <w:rFonts w:hint="eastAsia" w:ascii="宋体" w:hAnsi="宋体" w:cs="宋体"/>
          <w:color w:val="auto"/>
          <w:szCs w:val="21"/>
          <w:highlight w:val="none"/>
        </w:rPr>
        <w:t xml:space="preserve">收件人： </w:t>
      </w:r>
    </w:p>
    <w:p w14:paraId="64A5D79A">
      <w:pPr>
        <w:widowControl w:val="0"/>
        <w:numPr>
          <w:ilvl w:val="0"/>
          <w:numId w:val="6"/>
        </w:numPr>
        <w:adjustRightInd/>
        <w:snapToGrid/>
        <w:ind w:left="567"/>
        <w:jc w:val="both"/>
        <w:rPr>
          <w:rFonts w:ascii="宋体" w:hAnsi="宋体" w:cs="宋体"/>
          <w:color w:val="auto"/>
          <w:szCs w:val="21"/>
          <w:highlight w:val="none"/>
        </w:rPr>
      </w:pPr>
      <w:r>
        <w:rPr>
          <w:rFonts w:hint="eastAsia" w:ascii="宋体" w:hAnsi="宋体" w:cs="宋体"/>
          <w:color w:val="auto"/>
          <w:szCs w:val="21"/>
          <w:highlight w:val="none"/>
        </w:rPr>
        <w:t>投标单位名称：</w:t>
      </w:r>
    </w:p>
    <w:p w14:paraId="749976A2">
      <w:pPr>
        <w:widowControl w:val="0"/>
        <w:numPr>
          <w:ilvl w:val="0"/>
          <w:numId w:val="6"/>
        </w:numPr>
        <w:adjustRightInd/>
        <w:snapToGrid/>
        <w:ind w:left="567"/>
        <w:jc w:val="both"/>
        <w:rPr>
          <w:rFonts w:ascii="宋体" w:hAnsi="宋体" w:cs="宋体"/>
          <w:color w:val="auto"/>
          <w:szCs w:val="21"/>
          <w:highlight w:val="none"/>
        </w:rPr>
      </w:pPr>
      <w:r>
        <w:rPr>
          <w:rFonts w:hint="eastAsia" w:ascii="宋体" w:hAnsi="宋体" w:cs="宋体"/>
          <w:color w:val="auto"/>
          <w:szCs w:val="21"/>
          <w:highlight w:val="none"/>
        </w:rPr>
        <w:t>项目名称：</w:t>
      </w:r>
    </w:p>
    <w:p w14:paraId="4C7A13CA">
      <w:pPr>
        <w:widowControl w:val="0"/>
        <w:numPr>
          <w:ilvl w:val="0"/>
          <w:numId w:val="6"/>
        </w:numPr>
        <w:adjustRightInd/>
        <w:snapToGrid/>
        <w:ind w:left="567"/>
        <w:jc w:val="both"/>
        <w:rPr>
          <w:rFonts w:ascii="宋体" w:hAnsi="宋体" w:cs="宋体"/>
          <w:color w:val="auto"/>
          <w:szCs w:val="21"/>
          <w:highlight w:val="none"/>
        </w:rPr>
      </w:pPr>
      <w:r>
        <w:rPr>
          <w:rFonts w:hint="eastAsia" w:ascii="宋体" w:hAnsi="宋体" w:cs="宋体"/>
          <w:color w:val="auto"/>
          <w:szCs w:val="21"/>
          <w:highlight w:val="none"/>
        </w:rPr>
        <w:t>项目采购项目编号：</w:t>
      </w:r>
    </w:p>
    <w:p w14:paraId="54B81FBB">
      <w:pPr>
        <w:widowControl w:val="0"/>
        <w:numPr>
          <w:ilvl w:val="1"/>
          <w:numId w:val="3"/>
        </w:numPr>
        <w:overflowPunct w:val="0"/>
        <w:rPr>
          <w:rFonts w:ascii="宋体" w:hAnsi="宋体" w:cs="宋体"/>
          <w:color w:val="auto"/>
          <w:szCs w:val="21"/>
          <w:highlight w:val="none"/>
        </w:rPr>
      </w:pPr>
      <w:r>
        <w:rPr>
          <w:rFonts w:hint="eastAsia" w:ascii="宋体" w:hAnsi="宋体" w:cs="宋体"/>
          <w:color w:val="auto"/>
          <w:szCs w:val="21"/>
          <w:highlight w:val="none"/>
        </w:rPr>
        <w:t>密封信封上的项目编号错误或项目名称出现严重歧义的（包括采购内容不符），采购代理机构将拒绝接收。</w:t>
      </w:r>
    </w:p>
    <w:p w14:paraId="3F0C6DFB">
      <w:pPr>
        <w:widowControl w:val="0"/>
        <w:numPr>
          <w:ilvl w:val="1"/>
          <w:numId w:val="3"/>
        </w:numPr>
        <w:overflowPunct w:val="0"/>
        <w:rPr>
          <w:rFonts w:ascii="宋体" w:hAnsi="宋体" w:cs="宋体"/>
          <w:color w:val="auto"/>
          <w:szCs w:val="21"/>
          <w:highlight w:val="none"/>
        </w:rPr>
      </w:pPr>
      <w:r>
        <w:rPr>
          <w:rFonts w:hint="eastAsia" w:ascii="宋体" w:hAnsi="宋体" w:cs="宋体"/>
          <w:color w:val="auto"/>
          <w:szCs w:val="21"/>
          <w:highlight w:val="none"/>
        </w:rPr>
        <w:t>采购代理机构对所有投标文件的误投或提前启封概不负责。</w:t>
      </w:r>
    </w:p>
    <w:p w14:paraId="0678A952">
      <w:pPr>
        <w:widowControl w:val="0"/>
        <w:numPr>
          <w:ilvl w:val="1"/>
          <w:numId w:val="3"/>
        </w:numPr>
        <w:overflowPunct w:val="0"/>
        <w:rPr>
          <w:rFonts w:ascii="宋体" w:hAnsi="宋体" w:cs="宋体"/>
          <w:color w:val="auto"/>
          <w:szCs w:val="21"/>
          <w:highlight w:val="none"/>
        </w:rPr>
      </w:pPr>
      <w:r>
        <w:rPr>
          <w:rFonts w:hint="eastAsia" w:ascii="宋体" w:hAnsi="宋体" w:cs="宋体"/>
          <w:color w:val="auto"/>
          <w:szCs w:val="21"/>
          <w:highlight w:val="none"/>
        </w:rPr>
        <w:t>投标人同时参加几个包投标时必须按采购文件要求按包号分别制作投标文件，分别密封递交。</w:t>
      </w:r>
    </w:p>
    <w:p w14:paraId="4F91909D">
      <w:pPr>
        <w:widowControl w:val="0"/>
        <w:numPr>
          <w:ilvl w:val="1"/>
          <w:numId w:val="3"/>
        </w:numPr>
        <w:overflowPunct w:val="0"/>
        <w:rPr>
          <w:rFonts w:ascii="宋体" w:hAnsi="宋体" w:cs="宋体"/>
          <w:color w:val="auto"/>
          <w:szCs w:val="21"/>
          <w:highlight w:val="none"/>
        </w:rPr>
      </w:pPr>
      <w:r>
        <w:rPr>
          <w:rFonts w:hint="eastAsia" w:ascii="宋体" w:hAnsi="宋体" w:cs="宋体"/>
          <w:color w:val="auto"/>
          <w:szCs w:val="21"/>
          <w:highlight w:val="none"/>
        </w:rPr>
        <w:t>传真、电传的投标文件将被拒绝。</w:t>
      </w:r>
    </w:p>
    <w:p w14:paraId="7456DCC3">
      <w:pPr>
        <w:widowControl w:val="0"/>
        <w:numPr>
          <w:ilvl w:val="1"/>
          <w:numId w:val="3"/>
        </w:numPr>
        <w:overflowPunct w:val="0"/>
        <w:rPr>
          <w:rFonts w:ascii="宋体" w:hAnsi="宋体" w:cs="宋体"/>
          <w:color w:val="auto"/>
          <w:szCs w:val="21"/>
          <w:highlight w:val="none"/>
        </w:rPr>
      </w:pPr>
      <w:r>
        <w:rPr>
          <w:rFonts w:hint="eastAsia" w:ascii="宋体" w:hAnsi="宋体" w:cs="宋体"/>
          <w:color w:val="auto"/>
          <w:szCs w:val="21"/>
          <w:highlight w:val="none"/>
        </w:rPr>
        <w:t>递交的投标文件中所提供的通讯方式应保持联络畅通，因联系不上而导致的所有后果由投标人自行承担。</w:t>
      </w:r>
    </w:p>
    <w:p w14:paraId="580A1113">
      <w:pPr>
        <w:rPr>
          <w:rFonts w:ascii="宋体" w:hAnsi="宋体" w:cs="宋体"/>
          <w:color w:val="auto"/>
          <w:highlight w:val="none"/>
        </w:rPr>
      </w:pPr>
    </w:p>
    <w:p w14:paraId="3085D60D">
      <w:pPr>
        <w:pStyle w:val="4"/>
        <w:widowControl w:val="0"/>
        <w:numPr>
          <w:ilvl w:val="0"/>
          <w:numId w:val="3"/>
        </w:numPr>
        <w:overflowPunct w:val="0"/>
        <w:rPr>
          <w:rFonts w:ascii="宋体" w:hAnsi="宋体" w:cs="宋体"/>
          <w:color w:val="auto"/>
          <w:sz w:val="21"/>
          <w:szCs w:val="21"/>
          <w:highlight w:val="none"/>
        </w:rPr>
      </w:pPr>
      <w:bookmarkStart w:id="112" w:name="_Toc25895"/>
      <w:bookmarkStart w:id="113" w:name="_Toc24491"/>
      <w:bookmarkStart w:id="114" w:name="_Toc27686"/>
      <w:r>
        <w:rPr>
          <w:rFonts w:hint="eastAsia" w:ascii="宋体" w:hAnsi="宋体" w:cs="宋体"/>
          <w:color w:val="auto"/>
          <w:sz w:val="21"/>
          <w:szCs w:val="21"/>
          <w:highlight w:val="none"/>
        </w:rPr>
        <w:t>迟交的投标文件</w:t>
      </w:r>
      <w:bookmarkEnd w:id="112"/>
      <w:bookmarkEnd w:id="113"/>
      <w:bookmarkEnd w:id="114"/>
    </w:p>
    <w:p w14:paraId="558E38A8">
      <w:pPr>
        <w:pStyle w:val="20"/>
        <w:widowControl w:val="0"/>
        <w:numPr>
          <w:ilvl w:val="0"/>
          <w:numId w:val="4"/>
        </w:numPr>
        <w:adjustRightInd/>
        <w:snapToGrid/>
        <w:ind w:firstLineChars="0"/>
        <w:jc w:val="both"/>
        <w:rPr>
          <w:rFonts w:ascii="宋体" w:hAnsi="宋体" w:cs="宋体"/>
          <w:vanish/>
          <w:color w:val="auto"/>
          <w:szCs w:val="21"/>
          <w:highlight w:val="none"/>
        </w:rPr>
      </w:pPr>
    </w:p>
    <w:p w14:paraId="23D3BD4D">
      <w:pPr>
        <w:widowControl w:val="0"/>
        <w:numPr>
          <w:ilvl w:val="1"/>
          <w:numId w:val="3"/>
        </w:numPr>
        <w:overflowPunct w:val="0"/>
        <w:rPr>
          <w:rFonts w:ascii="宋体" w:hAnsi="宋体" w:cs="宋体"/>
          <w:color w:val="auto"/>
          <w:szCs w:val="21"/>
          <w:highlight w:val="none"/>
        </w:rPr>
      </w:pPr>
      <w:r>
        <w:rPr>
          <w:rFonts w:hint="eastAsia" w:ascii="宋体" w:hAnsi="宋体" w:cs="宋体"/>
          <w:color w:val="auto"/>
          <w:szCs w:val="21"/>
          <w:highlight w:val="none"/>
        </w:rPr>
        <w:t>投标人在投标截止时间之后提交的投标文件，采购代理机构将拒绝接收。</w:t>
      </w:r>
    </w:p>
    <w:p w14:paraId="10DA6BF1">
      <w:pPr>
        <w:widowControl w:val="0"/>
        <w:numPr>
          <w:ilvl w:val="1"/>
          <w:numId w:val="3"/>
        </w:numPr>
        <w:overflowPunct w:val="0"/>
        <w:rPr>
          <w:rFonts w:ascii="宋体" w:hAnsi="宋体" w:cs="宋体"/>
          <w:color w:val="auto"/>
          <w:szCs w:val="21"/>
          <w:highlight w:val="none"/>
        </w:rPr>
      </w:pPr>
      <w:r>
        <w:rPr>
          <w:rFonts w:hint="eastAsia" w:ascii="宋体" w:hAnsi="宋体" w:cs="宋体"/>
          <w:color w:val="auto"/>
          <w:szCs w:val="21"/>
          <w:highlight w:val="none"/>
        </w:rPr>
        <w:t>有违反其他法律规定情形的，采购代理机构将拒绝接收。</w:t>
      </w:r>
    </w:p>
    <w:p w14:paraId="0AE4BF92">
      <w:pPr>
        <w:rPr>
          <w:rFonts w:ascii="宋体" w:hAnsi="宋体" w:cs="宋体"/>
          <w:color w:val="auto"/>
          <w:highlight w:val="none"/>
        </w:rPr>
      </w:pPr>
    </w:p>
    <w:p w14:paraId="1DE76BBD">
      <w:pPr>
        <w:pStyle w:val="4"/>
        <w:widowControl w:val="0"/>
        <w:numPr>
          <w:ilvl w:val="0"/>
          <w:numId w:val="3"/>
        </w:numPr>
        <w:overflowPunct w:val="0"/>
        <w:rPr>
          <w:rFonts w:ascii="宋体" w:hAnsi="宋体" w:cs="宋体"/>
          <w:color w:val="auto"/>
          <w:sz w:val="21"/>
          <w:szCs w:val="21"/>
          <w:highlight w:val="none"/>
        </w:rPr>
      </w:pPr>
      <w:bookmarkStart w:id="115" w:name="_Toc9143"/>
      <w:bookmarkStart w:id="116" w:name="_Toc29406"/>
      <w:bookmarkStart w:id="117" w:name="_Toc8776"/>
      <w:r>
        <w:rPr>
          <w:rFonts w:hint="eastAsia" w:ascii="宋体" w:hAnsi="宋体" w:cs="宋体"/>
          <w:color w:val="auto"/>
          <w:sz w:val="21"/>
          <w:szCs w:val="21"/>
          <w:highlight w:val="none"/>
        </w:rPr>
        <w:t>投标样品（如需提交）</w:t>
      </w:r>
      <w:bookmarkEnd w:id="115"/>
      <w:bookmarkEnd w:id="116"/>
      <w:bookmarkEnd w:id="117"/>
    </w:p>
    <w:p w14:paraId="6758A7B3">
      <w:pPr>
        <w:pStyle w:val="20"/>
        <w:widowControl w:val="0"/>
        <w:numPr>
          <w:ilvl w:val="0"/>
          <w:numId w:val="4"/>
        </w:numPr>
        <w:adjustRightInd/>
        <w:snapToGrid/>
        <w:ind w:firstLineChars="0"/>
        <w:jc w:val="both"/>
        <w:rPr>
          <w:rFonts w:ascii="宋体" w:hAnsi="宋体" w:cs="宋体"/>
          <w:vanish/>
          <w:color w:val="auto"/>
          <w:szCs w:val="21"/>
          <w:highlight w:val="none"/>
        </w:rPr>
      </w:pPr>
    </w:p>
    <w:p w14:paraId="1B3A30DA">
      <w:pPr>
        <w:widowControl w:val="0"/>
        <w:numPr>
          <w:ilvl w:val="1"/>
          <w:numId w:val="3"/>
        </w:numPr>
        <w:overflowPunct w:val="0"/>
        <w:rPr>
          <w:rFonts w:ascii="宋体" w:hAnsi="宋体" w:cs="宋体"/>
          <w:color w:val="auto"/>
          <w:szCs w:val="21"/>
          <w:highlight w:val="none"/>
        </w:rPr>
      </w:pPr>
      <w:r>
        <w:rPr>
          <w:rFonts w:hint="eastAsia" w:ascii="宋体" w:hAnsi="宋体" w:cs="宋体"/>
          <w:color w:val="auto"/>
          <w:szCs w:val="21"/>
          <w:highlight w:val="none"/>
        </w:rPr>
        <w:t>如有必要，采购代理机构可以要求投标人提供本服务项目涉及的部分设备或产品样品，投标人在投标时应提交《样品清单》。</w:t>
      </w:r>
    </w:p>
    <w:p w14:paraId="7246997B">
      <w:pPr>
        <w:widowControl w:val="0"/>
        <w:numPr>
          <w:ilvl w:val="1"/>
          <w:numId w:val="3"/>
        </w:numPr>
        <w:overflowPunct w:val="0"/>
        <w:rPr>
          <w:rFonts w:ascii="宋体" w:hAnsi="宋体" w:cs="宋体"/>
          <w:color w:val="auto"/>
          <w:szCs w:val="21"/>
          <w:highlight w:val="none"/>
        </w:rPr>
      </w:pPr>
      <w:r>
        <w:rPr>
          <w:rFonts w:hint="eastAsia" w:ascii="宋体" w:hAnsi="宋体" w:cs="宋体"/>
          <w:color w:val="auto"/>
          <w:szCs w:val="21"/>
          <w:highlight w:val="none"/>
        </w:rPr>
        <w:t>为方便评标，投标人在提供样品时，应在所提供的样品表面显著位置标注投标人的名称、包号、样品名称、采购文件规定的服务或货物编号。</w:t>
      </w:r>
    </w:p>
    <w:p w14:paraId="51413FC9">
      <w:pPr>
        <w:widowControl w:val="0"/>
        <w:numPr>
          <w:ilvl w:val="1"/>
          <w:numId w:val="3"/>
        </w:numPr>
        <w:overflowPunct w:val="0"/>
        <w:rPr>
          <w:rFonts w:ascii="宋体" w:hAnsi="宋体" w:cs="宋体"/>
          <w:color w:val="auto"/>
          <w:szCs w:val="21"/>
          <w:highlight w:val="none"/>
        </w:rPr>
      </w:pPr>
      <w:r>
        <w:rPr>
          <w:rFonts w:hint="eastAsia" w:ascii="宋体" w:hAnsi="宋体" w:cs="宋体"/>
          <w:color w:val="auto"/>
          <w:szCs w:val="21"/>
          <w:highlight w:val="none"/>
        </w:rPr>
        <w:t>样品作为投标文件的一部分，除非另有说明，中标单位的样品将作为履约验收标准的参考不再退还，未中标单位须在中标公告发布后五个工作日内，前往采购代理机构领取投标样品，逾期不领，采购代理机构将不承担样品的保管责任，由此引发的样品丢失、毁损，采购代理机构不予负责。</w:t>
      </w:r>
    </w:p>
    <w:p w14:paraId="66B877D0">
      <w:pPr>
        <w:rPr>
          <w:rFonts w:ascii="宋体" w:hAnsi="宋体" w:cs="宋体"/>
          <w:color w:val="auto"/>
          <w:highlight w:val="none"/>
        </w:rPr>
      </w:pPr>
    </w:p>
    <w:p w14:paraId="5061108D">
      <w:pPr>
        <w:pStyle w:val="4"/>
        <w:widowControl w:val="0"/>
        <w:numPr>
          <w:ilvl w:val="0"/>
          <w:numId w:val="3"/>
        </w:numPr>
        <w:overflowPunct w:val="0"/>
        <w:rPr>
          <w:rFonts w:ascii="宋体" w:hAnsi="宋体" w:cs="宋体"/>
          <w:color w:val="auto"/>
          <w:sz w:val="21"/>
          <w:szCs w:val="21"/>
          <w:highlight w:val="none"/>
        </w:rPr>
      </w:pPr>
      <w:bookmarkStart w:id="118" w:name="_Toc9777"/>
      <w:bookmarkStart w:id="119" w:name="_Toc303084265"/>
      <w:bookmarkStart w:id="120" w:name="_Toc1712"/>
      <w:bookmarkStart w:id="121" w:name="_Toc17522"/>
      <w:bookmarkStart w:id="122" w:name="_Toc861"/>
      <w:bookmarkStart w:id="123" w:name="_Toc382049112"/>
      <w:r>
        <w:rPr>
          <w:rFonts w:hint="eastAsia" w:ascii="宋体" w:hAnsi="宋体" w:cs="宋体"/>
          <w:color w:val="auto"/>
          <w:sz w:val="21"/>
          <w:szCs w:val="21"/>
          <w:highlight w:val="none"/>
        </w:rPr>
        <w:t>投标截止期</w:t>
      </w:r>
      <w:bookmarkEnd w:id="118"/>
      <w:bookmarkEnd w:id="119"/>
      <w:bookmarkEnd w:id="120"/>
      <w:bookmarkEnd w:id="121"/>
      <w:bookmarkEnd w:id="122"/>
      <w:bookmarkEnd w:id="123"/>
    </w:p>
    <w:p w14:paraId="24AE30CC">
      <w:pPr>
        <w:pStyle w:val="20"/>
        <w:widowControl w:val="0"/>
        <w:numPr>
          <w:ilvl w:val="0"/>
          <w:numId w:val="4"/>
        </w:numPr>
        <w:adjustRightInd/>
        <w:snapToGrid/>
        <w:ind w:firstLineChars="0"/>
        <w:jc w:val="both"/>
        <w:rPr>
          <w:rFonts w:ascii="宋体" w:hAnsi="宋体" w:cs="宋体"/>
          <w:vanish/>
          <w:color w:val="auto"/>
          <w:szCs w:val="21"/>
          <w:highlight w:val="none"/>
        </w:rPr>
      </w:pPr>
    </w:p>
    <w:p w14:paraId="553ED9EB">
      <w:pPr>
        <w:widowControl w:val="0"/>
        <w:numPr>
          <w:ilvl w:val="1"/>
          <w:numId w:val="3"/>
        </w:numPr>
        <w:overflowPunct w:val="0"/>
        <w:rPr>
          <w:rFonts w:ascii="宋体" w:hAnsi="宋体" w:cs="宋体"/>
          <w:color w:val="auto"/>
          <w:szCs w:val="21"/>
          <w:highlight w:val="none"/>
        </w:rPr>
      </w:pPr>
      <w:r>
        <w:rPr>
          <w:rFonts w:hint="eastAsia" w:ascii="宋体" w:hAnsi="宋体" w:cs="宋体"/>
          <w:color w:val="auto"/>
          <w:szCs w:val="21"/>
          <w:highlight w:val="none"/>
        </w:rPr>
        <w:t>投标人应在采购文件规定的截止日期和时间内，将投标文件送达到指定地点。</w:t>
      </w:r>
    </w:p>
    <w:p w14:paraId="080BD786">
      <w:pPr>
        <w:widowControl w:val="0"/>
        <w:numPr>
          <w:ilvl w:val="1"/>
          <w:numId w:val="3"/>
        </w:numPr>
        <w:overflowPunct w:val="0"/>
        <w:rPr>
          <w:rFonts w:ascii="宋体" w:hAnsi="宋体" w:cs="宋体"/>
          <w:color w:val="auto"/>
          <w:szCs w:val="21"/>
          <w:highlight w:val="none"/>
        </w:rPr>
      </w:pPr>
      <w:r>
        <w:rPr>
          <w:rFonts w:hint="eastAsia" w:ascii="宋体" w:hAnsi="宋体" w:cs="宋体"/>
          <w:color w:val="auto"/>
          <w:szCs w:val="21"/>
          <w:highlight w:val="none"/>
        </w:rPr>
        <w:t>采购代理机构可按本须知规定以澄清或修改通知的方式，酌情延长递交投标文件的截止时间。在此情况下，投标人的所有权利和义务以及投标人受制约的截止时间，均以延长后新的投标截止时间为准。</w:t>
      </w:r>
    </w:p>
    <w:p w14:paraId="70F75235">
      <w:pPr>
        <w:rPr>
          <w:rFonts w:ascii="宋体" w:hAnsi="宋体" w:cs="宋体"/>
          <w:color w:val="auto"/>
          <w:highlight w:val="none"/>
        </w:rPr>
      </w:pPr>
    </w:p>
    <w:p w14:paraId="4FC7CB7A">
      <w:pPr>
        <w:pStyle w:val="4"/>
        <w:widowControl w:val="0"/>
        <w:numPr>
          <w:ilvl w:val="0"/>
          <w:numId w:val="3"/>
        </w:numPr>
        <w:overflowPunct w:val="0"/>
        <w:rPr>
          <w:rFonts w:ascii="宋体" w:hAnsi="宋体" w:cs="宋体"/>
          <w:color w:val="auto"/>
          <w:sz w:val="21"/>
          <w:szCs w:val="21"/>
          <w:highlight w:val="none"/>
        </w:rPr>
      </w:pPr>
      <w:bookmarkStart w:id="124" w:name="_Toc14518"/>
      <w:bookmarkStart w:id="125" w:name="_Toc21387"/>
      <w:bookmarkStart w:id="126" w:name="_Toc31417"/>
      <w:r>
        <w:rPr>
          <w:rFonts w:hint="eastAsia" w:ascii="宋体" w:hAnsi="宋体" w:cs="宋体"/>
          <w:color w:val="auto"/>
          <w:sz w:val="21"/>
          <w:szCs w:val="21"/>
          <w:highlight w:val="none"/>
        </w:rPr>
        <w:t>投标文件的补充、修改与撤回</w:t>
      </w:r>
      <w:bookmarkEnd w:id="124"/>
      <w:bookmarkEnd w:id="125"/>
      <w:bookmarkEnd w:id="126"/>
    </w:p>
    <w:p w14:paraId="3D41E1C9">
      <w:pPr>
        <w:pStyle w:val="20"/>
        <w:widowControl w:val="0"/>
        <w:numPr>
          <w:ilvl w:val="0"/>
          <w:numId w:val="4"/>
        </w:numPr>
        <w:adjustRightInd/>
        <w:snapToGrid/>
        <w:ind w:firstLineChars="0"/>
        <w:jc w:val="both"/>
        <w:rPr>
          <w:rFonts w:ascii="宋体" w:hAnsi="宋体" w:cs="宋体"/>
          <w:vanish/>
          <w:color w:val="auto"/>
          <w:szCs w:val="21"/>
          <w:highlight w:val="none"/>
        </w:rPr>
      </w:pPr>
    </w:p>
    <w:p w14:paraId="7359FCB4">
      <w:pPr>
        <w:widowControl w:val="0"/>
        <w:numPr>
          <w:ilvl w:val="1"/>
          <w:numId w:val="3"/>
        </w:numPr>
        <w:overflowPunct w:val="0"/>
        <w:rPr>
          <w:rFonts w:ascii="宋体" w:hAnsi="宋体" w:cs="宋体"/>
          <w:color w:val="auto"/>
          <w:szCs w:val="21"/>
          <w:highlight w:val="none"/>
        </w:rPr>
      </w:pPr>
      <w:r>
        <w:rPr>
          <w:rFonts w:hint="eastAsia" w:ascii="宋体" w:hAnsi="宋体" w:cs="宋体"/>
          <w:color w:val="auto"/>
          <w:szCs w:val="21"/>
          <w:highlight w:val="none"/>
        </w:rPr>
        <w:t>投标人在提交投标文件截止时间前，可以对所提交的投标文件进行补充、修改或撤回，并以纸质版形式通知采购代理机构。在提交投标文件截止时间之后，投标人不得对其投标文件做出任何的补充和修改。</w:t>
      </w:r>
    </w:p>
    <w:p w14:paraId="7793C827">
      <w:pPr>
        <w:widowControl w:val="0"/>
        <w:numPr>
          <w:ilvl w:val="1"/>
          <w:numId w:val="3"/>
        </w:numPr>
        <w:overflowPunct w:val="0"/>
        <w:rPr>
          <w:rFonts w:ascii="宋体" w:hAnsi="宋体" w:cs="宋体"/>
          <w:color w:val="auto"/>
          <w:szCs w:val="21"/>
          <w:highlight w:val="none"/>
        </w:rPr>
      </w:pPr>
      <w:r>
        <w:rPr>
          <w:rFonts w:hint="eastAsia" w:ascii="宋体" w:hAnsi="宋体" w:cs="宋体"/>
          <w:color w:val="auto"/>
          <w:szCs w:val="21"/>
          <w:highlight w:val="none"/>
        </w:rPr>
        <w:t>投标人对投标文件的补充、修改的内容应当按采购文件要求的签署、盖章、密封后，作为投标文件的组成部分。并按照采购文件规定密封和标记的要求提交，并在投标文件密封袋上标明“补充、修改”字样。</w:t>
      </w:r>
    </w:p>
    <w:p w14:paraId="21DB6007">
      <w:pPr>
        <w:widowControl w:val="0"/>
        <w:numPr>
          <w:ilvl w:val="1"/>
          <w:numId w:val="3"/>
        </w:numPr>
        <w:overflowPunct w:val="0"/>
        <w:rPr>
          <w:rFonts w:ascii="宋体" w:hAnsi="宋体" w:cs="宋体"/>
          <w:color w:val="auto"/>
          <w:szCs w:val="21"/>
          <w:highlight w:val="none"/>
        </w:rPr>
      </w:pPr>
      <w:r>
        <w:rPr>
          <w:rFonts w:hint="eastAsia" w:ascii="宋体" w:hAnsi="宋体" w:cs="宋体"/>
          <w:color w:val="auto"/>
          <w:szCs w:val="21"/>
          <w:highlight w:val="none"/>
        </w:rPr>
        <w:t>投标文件一经递交不予退还。</w:t>
      </w:r>
    </w:p>
    <w:p w14:paraId="3903F54F">
      <w:pPr>
        <w:widowControl w:val="0"/>
        <w:numPr>
          <w:ilvl w:val="1"/>
          <w:numId w:val="3"/>
        </w:numPr>
        <w:overflowPunct w:val="0"/>
        <w:rPr>
          <w:rFonts w:ascii="宋体" w:hAnsi="宋体" w:cs="宋体"/>
          <w:color w:val="auto"/>
          <w:szCs w:val="21"/>
          <w:highlight w:val="none"/>
        </w:rPr>
      </w:pPr>
      <w:r>
        <w:rPr>
          <w:rFonts w:hint="eastAsia" w:ascii="宋体" w:hAnsi="宋体" w:cs="宋体"/>
          <w:color w:val="auto"/>
          <w:szCs w:val="21"/>
          <w:highlight w:val="none"/>
        </w:rPr>
        <w:t>在提交投标文件截止时间至投标有效期满之前，投标人不得撤回其投标，否则其投标保证金将不予退还。</w:t>
      </w:r>
    </w:p>
    <w:p w14:paraId="4F23DA7A">
      <w:pPr>
        <w:pStyle w:val="6"/>
        <w:rPr>
          <w:color w:val="auto"/>
          <w:highlight w:val="none"/>
        </w:rPr>
      </w:pPr>
    </w:p>
    <w:p w14:paraId="64520E60">
      <w:pPr>
        <w:pStyle w:val="3"/>
        <w:numPr>
          <w:ilvl w:val="0"/>
          <w:numId w:val="2"/>
        </w:numPr>
        <w:spacing w:before="0" w:after="0" w:line="360" w:lineRule="auto"/>
        <w:jc w:val="center"/>
        <w:rPr>
          <w:rFonts w:ascii="宋体" w:hAnsi="宋体" w:cs="宋体"/>
          <w:color w:val="auto"/>
          <w:highlight w:val="none"/>
        </w:rPr>
      </w:pPr>
      <w:bookmarkStart w:id="127" w:name="_Toc32307"/>
      <w:bookmarkStart w:id="128" w:name="_Toc7410"/>
      <w:bookmarkStart w:id="129" w:name="_Toc4693"/>
      <w:r>
        <w:rPr>
          <w:rFonts w:hint="eastAsia" w:ascii="宋体" w:hAnsi="宋体" w:cs="宋体"/>
          <w:color w:val="auto"/>
          <w:highlight w:val="none"/>
        </w:rPr>
        <w:t>开标与评标</w:t>
      </w:r>
      <w:bookmarkEnd w:id="127"/>
      <w:bookmarkEnd w:id="128"/>
      <w:bookmarkEnd w:id="129"/>
    </w:p>
    <w:p w14:paraId="57FAE51B">
      <w:pPr>
        <w:pStyle w:val="4"/>
        <w:widowControl w:val="0"/>
        <w:numPr>
          <w:ilvl w:val="0"/>
          <w:numId w:val="3"/>
        </w:numPr>
        <w:overflowPunct w:val="0"/>
        <w:rPr>
          <w:rFonts w:ascii="宋体" w:hAnsi="宋体" w:cs="宋体"/>
          <w:color w:val="auto"/>
          <w:sz w:val="21"/>
          <w:szCs w:val="21"/>
          <w:highlight w:val="none"/>
        </w:rPr>
      </w:pPr>
      <w:bookmarkStart w:id="130" w:name="_Toc20009"/>
      <w:bookmarkStart w:id="131" w:name="_Toc31671"/>
      <w:bookmarkStart w:id="132" w:name="_Toc3094"/>
      <w:r>
        <w:rPr>
          <w:rFonts w:hint="eastAsia" w:ascii="宋体" w:hAnsi="宋体" w:cs="宋体"/>
          <w:color w:val="auto"/>
          <w:sz w:val="21"/>
          <w:szCs w:val="21"/>
          <w:highlight w:val="none"/>
        </w:rPr>
        <w:t>开标</w:t>
      </w:r>
      <w:bookmarkEnd w:id="130"/>
      <w:bookmarkEnd w:id="131"/>
      <w:bookmarkEnd w:id="132"/>
    </w:p>
    <w:p w14:paraId="269B0B22">
      <w:pPr>
        <w:pStyle w:val="20"/>
        <w:widowControl w:val="0"/>
        <w:numPr>
          <w:ilvl w:val="0"/>
          <w:numId w:val="4"/>
        </w:numPr>
        <w:adjustRightInd/>
        <w:snapToGrid/>
        <w:ind w:firstLineChars="0"/>
        <w:jc w:val="both"/>
        <w:rPr>
          <w:rFonts w:ascii="宋体" w:hAnsi="宋体" w:cs="宋体"/>
          <w:vanish/>
          <w:color w:val="auto"/>
          <w:szCs w:val="21"/>
          <w:highlight w:val="none"/>
        </w:rPr>
      </w:pPr>
    </w:p>
    <w:p w14:paraId="0D67A344">
      <w:pPr>
        <w:widowControl w:val="0"/>
        <w:numPr>
          <w:ilvl w:val="1"/>
          <w:numId w:val="3"/>
        </w:numPr>
        <w:overflowPunct w:val="0"/>
        <w:rPr>
          <w:rFonts w:ascii="宋体" w:hAnsi="宋体" w:cs="宋体"/>
          <w:color w:val="auto"/>
          <w:szCs w:val="21"/>
          <w:highlight w:val="none"/>
        </w:rPr>
      </w:pPr>
      <w:r>
        <w:rPr>
          <w:rFonts w:hint="eastAsia" w:ascii="宋体" w:hAnsi="宋体" w:cs="宋体"/>
          <w:color w:val="auto"/>
          <w:szCs w:val="21"/>
          <w:highlight w:val="none"/>
        </w:rPr>
        <w:t>采购代理机构按本采购文件所规定的时间和地点公开开标，并邀请所有投标人代表参加。</w:t>
      </w:r>
    </w:p>
    <w:p w14:paraId="61A8889F">
      <w:pPr>
        <w:widowControl w:val="0"/>
        <w:numPr>
          <w:ilvl w:val="1"/>
          <w:numId w:val="3"/>
        </w:numPr>
        <w:overflowPunct w:val="0"/>
        <w:rPr>
          <w:rFonts w:ascii="宋体" w:hAnsi="宋体" w:cs="宋体"/>
          <w:color w:val="auto"/>
          <w:szCs w:val="21"/>
          <w:highlight w:val="none"/>
        </w:rPr>
      </w:pPr>
      <w:r>
        <w:rPr>
          <w:rFonts w:hint="eastAsia" w:ascii="宋体" w:hAnsi="宋体" w:cs="宋体"/>
          <w:color w:val="auto"/>
          <w:szCs w:val="21"/>
          <w:highlight w:val="none"/>
        </w:rPr>
        <w:t>开标程序：</w:t>
      </w:r>
    </w:p>
    <w:p w14:paraId="5C701821">
      <w:pPr>
        <w:widowControl w:val="0"/>
        <w:numPr>
          <w:ilvl w:val="1"/>
          <w:numId w:val="3"/>
        </w:numPr>
        <w:overflowPunct w:val="0"/>
        <w:rPr>
          <w:rFonts w:ascii="宋体" w:hAnsi="宋体" w:cs="宋体"/>
          <w:color w:val="auto"/>
          <w:szCs w:val="21"/>
          <w:highlight w:val="none"/>
        </w:rPr>
      </w:pPr>
      <w:r>
        <w:rPr>
          <w:rFonts w:hint="eastAsia" w:ascii="宋体" w:hAnsi="宋体" w:cs="宋体"/>
          <w:color w:val="auto"/>
          <w:szCs w:val="21"/>
          <w:highlight w:val="none"/>
        </w:rPr>
        <w:t>开标会由采购代理机构主持，投标人的法定代表人或其授权代表携带有效身份证明准时参加开标会并签名报到。</w:t>
      </w:r>
    </w:p>
    <w:p w14:paraId="34102320">
      <w:pPr>
        <w:widowControl w:val="0"/>
        <w:numPr>
          <w:ilvl w:val="1"/>
          <w:numId w:val="3"/>
        </w:numPr>
        <w:overflowPunct w:val="0"/>
        <w:rPr>
          <w:rFonts w:ascii="宋体" w:hAnsi="宋体" w:cs="宋体"/>
          <w:color w:val="auto"/>
          <w:szCs w:val="21"/>
          <w:highlight w:val="none"/>
        </w:rPr>
      </w:pPr>
      <w:r>
        <w:rPr>
          <w:rFonts w:hint="eastAsia" w:ascii="宋体" w:hAnsi="宋体" w:cs="宋体"/>
          <w:color w:val="auto"/>
          <w:szCs w:val="21"/>
          <w:highlight w:val="none"/>
        </w:rPr>
        <w:t>开标时，由投标人或者其推选的代表检查投标文件的密封情况；经确认无误后，由采购人或者采购代理机构工作人员当众拆封，宣布投标人名称、投标价格和采购文件规定的需要宣布的其他内容；</w:t>
      </w:r>
    </w:p>
    <w:p w14:paraId="1AE8E546">
      <w:pPr>
        <w:widowControl w:val="0"/>
        <w:numPr>
          <w:ilvl w:val="1"/>
          <w:numId w:val="3"/>
        </w:numPr>
        <w:overflowPunct w:val="0"/>
        <w:rPr>
          <w:rFonts w:ascii="宋体" w:hAnsi="宋体" w:cs="宋体"/>
          <w:color w:val="auto"/>
          <w:szCs w:val="21"/>
          <w:highlight w:val="none"/>
        </w:rPr>
      </w:pPr>
      <w:r>
        <w:rPr>
          <w:rFonts w:hint="eastAsia" w:ascii="宋体" w:hAnsi="宋体" w:cs="宋体"/>
          <w:color w:val="auto"/>
          <w:szCs w:val="21"/>
          <w:highlight w:val="none"/>
        </w:rPr>
        <w:t>投标人代表对开标过程和开标记录有异议，以及认为采购人、采购代理机构相关工作人员有需要回避的情形的，应当场提出询问或者回避申请。开标现场未提出异议的视为认同开标结果。开标结束后，投标人对开标过程和开标记录不得再提出异议。</w:t>
      </w:r>
    </w:p>
    <w:p w14:paraId="4C933B94">
      <w:pPr>
        <w:widowControl w:val="0"/>
        <w:numPr>
          <w:ilvl w:val="1"/>
          <w:numId w:val="3"/>
        </w:numPr>
        <w:overflowPunct w:val="0"/>
        <w:rPr>
          <w:rFonts w:ascii="宋体" w:hAnsi="宋体" w:cs="宋体"/>
          <w:color w:val="auto"/>
          <w:szCs w:val="21"/>
          <w:highlight w:val="none"/>
        </w:rPr>
      </w:pPr>
      <w:r>
        <w:rPr>
          <w:rFonts w:hint="eastAsia" w:ascii="宋体" w:hAnsi="宋体" w:cs="宋体"/>
          <w:color w:val="auto"/>
          <w:szCs w:val="21"/>
          <w:highlight w:val="none"/>
        </w:rPr>
        <w:t>投标人未参加开标的，视同认可开标结果。</w:t>
      </w:r>
    </w:p>
    <w:p w14:paraId="376DCE33">
      <w:pPr>
        <w:widowControl w:val="0"/>
        <w:numPr>
          <w:ilvl w:val="1"/>
          <w:numId w:val="3"/>
        </w:numPr>
        <w:overflowPunct w:val="0"/>
        <w:rPr>
          <w:rFonts w:hint="default" w:ascii="宋体" w:hAnsi="宋体" w:eastAsia="宋体" w:cs="宋体"/>
          <w:color w:val="auto"/>
          <w:sz w:val="21"/>
          <w:szCs w:val="21"/>
          <w:highlight w:val="none"/>
          <w:lang w:val="en-US" w:eastAsia="zh-CN" w:bidi="ar-SA"/>
        </w:rPr>
      </w:pPr>
      <w:r>
        <w:rPr>
          <w:rFonts w:hint="eastAsia" w:ascii="宋体" w:hAnsi="宋体" w:cs="宋体"/>
          <w:color w:val="auto"/>
          <w:szCs w:val="21"/>
          <w:highlight w:val="none"/>
          <w:lang w:val="en-US" w:eastAsia="zh-CN"/>
        </w:rPr>
        <w:t>本项目根据以下情况可以现场转换采购方式继续采购：</w:t>
      </w:r>
    </w:p>
    <w:p w14:paraId="2FA1B558">
      <w:pPr>
        <w:pStyle w:val="6"/>
        <w:keepNext w:val="0"/>
        <w:keepLines w:val="0"/>
        <w:pageBreakBefore w:val="0"/>
        <w:widowControl/>
        <w:numPr>
          <w:ilvl w:val="0"/>
          <w:numId w:val="0"/>
        </w:numPr>
        <w:kinsoku/>
        <w:wordWrap/>
        <w:overflowPunct/>
        <w:topLinePunct w:val="0"/>
        <w:autoSpaceDE/>
        <w:autoSpaceDN/>
        <w:bidi w:val="0"/>
        <w:adjustRightInd w:val="0"/>
        <w:snapToGrid w:val="0"/>
        <w:spacing w:before="0" w:line="360" w:lineRule="auto"/>
        <w:ind w:left="0" w:leftChars="0" w:firstLine="420" w:firstLineChars="200"/>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lang w:val="en-US" w:eastAsia="zh-CN" w:bidi="ar-SA"/>
        </w:rPr>
        <w:t>（1）</w:t>
      </w:r>
      <w:r>
        <w:rPr>
          <w:rFonts w:hint="eastAsia" w:ascii="宋体" w:hAnsi="宋体" w:eastAsia="宋体" w:cs="宋体"/>
          <w:color w:val="auto"/>
          <w:sz w:val="21"/>
          <w:szCs w:val="21"/>
          <w:highlight w:val="none"/>
          <w:lang w:val="en-US" w:eastAsia="zh-CN" w:bidi="ar-SA"/>
        </w:rPr>
        <w:t>当有效</w:t>
      </w:r>
      <w:r>
        <w:rPr>
          <w:rFonts w:hint="eastAsia" w:cs="宋体"/>
          <w:color w:val="auto"/>
          <w:sz w:val="21"/>
          <w:szCs w:val="21"/>
          <w:highlight w:val="none"/>
          <w:lang w:val="en-US" w:eastAsia="zh-CN" w:bidi="ar-SA"/>
        </w:rPr>
        <w:t>投标人</w:t>
      </w:r>
      <w:r>
        <w:rPr>
          <w:rFonts w:hint="eastAsia" w:ascii="宋体" w:hAnsi="宋体" w:eastAsia="宋体" w:cs="宋体"/>
          <w:color w:val="auto"/>
          <w:sz w:val="21"/>
          <w:szCs w:val="21"/>
          <w:highlight w:val="none"/>
          <w:lang w:val="en-US" w:eastAsia="zh-CN" w:bidi="ar-SA"/>
        </w:rPr>
        <w:t>只有2家时，经</w:t>
      </w:r>
      <w:r>
        <w:rPr>
          <w:rFonts w:hint="eastAsia" w:cs="宋体"/>
          <w:color w:val="auto"/>
          <w:sz w:val="21"/>
          <w:szCs w:val="21"/>
          <w:highlight w:val="none"/>
          <w:lang w:val="en-US" w:eastAsia="zh-CN" w:bidi="ar-SA"/>
        </w:rPr>
        <w:t>评审小组</w:t>
      </w:r>
      <w:r>
        <w:rPr>
          <w:rFonts w:hint="eastAsia" w:ascii="宋体" w:hAnsi="宋体" w:eastAsia="宋体" w:cs="宋体"/>
          <w:color w:val="auto"/>
          <w:sz w:val="21"/>
          <w:szCs w:val="21"/>
          <w:highlight w:val="none"/>
          <w:lang w:val="en-US" w:eastAsia="zh-CN" w:bidi="ar-SA"/>
        </w:rPr>
        <w:t>论证，采购文件没有不合理条款、采购程序符合规定的，经采购人和作出实质性响应的</w:t>
      </w:r>
      <w:r>
        <w:rPr>
          <w:rFonts w:hint="eastAsia" w:cs="宋体"/>
          <w:color w:val="auto"/>
          <w:sz w:val="21"/>
          <w:szCs w:val="21"/>
          <w:highlight w:val="none"/>
          <w:lang w:val="en-US" w:eastAsia="zh-CN" w:bidi="ar-SA"/>
        </w:rPr>
        <w:t>投标人</w:t>
      </w:r>
      <w:r>
        <w:rPr>
          <w:rFonts w:hint="eastAsia" w:ascii="宋体" w:hAnsi="宋体" w:eastAsia="宋体" w:cs="宋体"/>
          <w:color w:val="auto"/>
          <w:sz w:val="21"/>
          <w:szCs w:val="21"/>
          <w:highlight w:val="none"/>
          <w:lang w:val="en-US" w:eastAsia="zh-CN" w:bidi="ar-SA"/>
        </w:rPr>
        <w:t>代表同意后，现场更改为</w:t>
      </w:r>
      <w:r>
        <w:rPr>
          <w:rFonts w:hint="eastAsia" w:cs="宋体"/>
          <w:color w:val="auto"/>
          <w:sz w:val="21"/>
          <w:szCs w:val="21"/>
          <w:highlight w:val="none"/>
          <w:lang w:val="en-US" w:eastAsia="zh-CN" w:bidi="ar-SA"/>
        </w:rPr>
        <w:t>竞争性谈判</w:t>
      </w:r>
      <w:r>
        <w:rPr>
          <w:rFonts w:hint="eastAsia" w:ascii="宋体" w:hAnsi="宋体" w:eastAsia="宋体" w:cs="宋体"/>
          <w:color w:val="auto"/>
          <w:sz w:val="21"/>
          <w:szCs w:val="21"/>
          <w:highlight w:val="none"/>
          <w:lang w:val="en-US" w:eastAsia="zh-CN" w:bidi="ar-SA"/>
        </w:rPr>
        <w:t>继续采购。</w:t>
      </w:r>
    </w:p>
    <w:p w14:paraId="4144289B">
      <w:pPr>
        <w:pStyle w:val="6"/>
        <w:widowControl/>
        <w:numPr>
          <w:ilvl w:val="0"/>
          <w:numId w:val="0"/>
        </w:numPr>
        <w:overflowPunct/>
        <w:ind w:left="0" w:firstLine="420" w:firstLineChars="200"/>
        <w:rPr>
          <w:rFonts w:hint="eastAsia" w:ascii="宋体" w:hAnsi="宋体" w:eastAsia="宋体" w:cs="宋体"/>
          <w:color w:val="auto"/>
          <w:sz w:val="21"/>
          <w:szCs w:val="21"/>
          <w:highlight w:val="none"/>
          <w:lang w:val="en-US" w:eastAsia="zh-CN" w:bidi="ar-SA"/>
        </w:rPr>
      </w:pPr>
      <w:r>
        <w:rPr>
          <w:rFonts w:hint="default" w:ascii="宋体" w:hAnsi="宋体" w:eastAsia="宋体" w:cs="宋体"/>
          <w:color w:val="auto"/>
          <w:sz w:val="21"/>
          <w:szCs w:val="21"/>
          <w:lang w:val="en-US" w:eastAsia="zh-CN" w:bidi="ar-SA"/>
        </w:rPr>
        <w:t>（2）</w:t>
      </w:r>
      <w:r>
        <w:rPr>
          <w:rFonts w:hint="eastAsia" w:ascii="宋体" w:hAnsi="宋体" w:eastAsia="宋体" w:cs="宋体"/>
          <w:color w:val="auto"/>
          <w:sz w:val="21"/>
          <w:szCs w:val="21"/>
          <w:highlight w:val="none"/>
          <w:lang w:val="en-US" w:eastAsia="zh-CN" w:bidi="ar-SA"/>
        </w:rPr>
        <w:t>当有效投标人只有1家时，经</w:t>
      </w:r>
      <w:r>
        <w:rPr>
          <w:rFonts w:hint="eastAsia" w:cs="宋体"/>
          <w:color w:val="auto"/>
          <w:sz w:val="21"/>
          <w:szCs w:val="21"/>
          <w:highlight w:val="none"/>
          <w:lang w:val="en-US" w:eastAsia="zh-CN" w:bidi="ar-SA"/>
        </w:rPr>
        <w:t>评审小组</w:t>
      </w:r>
      <w:r>
        <w:rPr>
          <w:rFonts w:hint="eastAsia" w:ascii="宋体" w:hAnsi="宋体" w:eastAsia="宋体" w:cs="宋体"/>
          <w:color w:val="auto"/>
          <w:sz w:val="21"/>
          <w:szCs w:val="21"/>
          <w:highlight w:val="none"/>
          <w:lang w:val="en-US" w:eastAsia="zh-CN" w:bidi="ar-SA"/>
        </w:rPr>
        <w:t>论证，采购文件没有不合理条款、采购程序符合规定的，</w:t>
      </w:r>
      <w:r>
        <w:rPr>
          <w:rFonts w:hint="eastAsia" w:cs="宋体"/>
          <w:color w:val="auto"/>
          <w:sz w:val="21"/>
          <w:szCs w:val="21"/>
          <w:highlight w:val="none"/>
          <w:lang w:val="en-US" w:eastAsia="zh-CN" w:bidi="ar-SA"/>
        </w:rPr>
        <w:t>采购人</w:t>
      </w:r>
      <w:r>
        <w:rPr>
          <w:rFonts w:hint="eastAsia" w:ascii="宋体" w:hAnsi="宋体" w:eastAsia="宋体" w:cs="宋体"/>
          <w:color w:val="auto"/>
          <w:sz w:val="21"/>
          <w:szCs w:val="21"/>
          <w:highlight w:val="none"/>
          <w:lang w:val="en-US" w:eastAsia="zh-CN" w:bidi="ar-SA"/>
        </w:rPr>
        <w:t>和作出实质性响应的</w:t>
      </w:r>
      <w:r>
        <w:rPr>
          <w:rFonts w:hint="eastAsia" w:cs="宋体"/>
          <w:color w:val="auto"/>
          <w:sz w:val="21"/>
          <w:szCs w:val="21"/>
          <w:highlight w:val="none"/>
          <w:lang w:val="en-US" w:eastAsia="zh-CN" w:bidi="ar-SA"/>
        </w:rPr>
        <w:t>投标人</w:t>
      </w:r>
      <w:r>
        <w:rPr>
          <w:rFonts w:hint="eastAsia" w:ascii="宋体" w:hAnsi="宋体" w:eastAsia="宋体" w:cs="宋体"/>
          <w:color w:val="auto"/>
          <w:sz w:val="21"/>
          <w:szCs w:val="21"/>
          <w:highlight w:val="none"/>
          <w:lang w:val="en-US" w:eastAsia="zh-CN" w:bidi="ar-SA"/>
        </w:rPr>
        <w:t>代表</w:t>
      </w:r>
      <w:r>
        <w:rPr>
          <w:rFonts w:hint="eastAsia" w:cs="宋体"/>
          <w:color w:val="auto"/>
          <w:sz w:val="21"/>
          <w:szCs w:val="21"/>
          <w:highlight w:val="none"/>
          <w:lang w:val="en-US" w:eastAsia="zh-CN" w:bidi="ar-SA"/>
        </w:rPr>
        <w:t>同意后，</w:t>
      </w:r>
      <w:r>
        <w:rPr>
          <w:rFonts w:hint="eastAsia" w:ascii="宋体" w:hAnsi="宋体" w:eastAsia="宋体" w:cs="宋体"/>
          <w:color w:val="auto"/>
          <w:sz w:val="21"/>
          <w:szCs w:val="21"/>
          <w:highlight w:val="none"/>
          <w:lang w:val="en-US" w:eastAsia="zh-CN" w:bidi="ar-SA"/>
        </w:rPr>
        <w:t>现场直接与其进行定向谈判继续采购。</w:t>
      </w:r>
    </w:p>
    <w:p w14:paraId="643D821B">
      <w:pPr>
        <w:pStyle w:val="6"/>
        <w:widowControl/>
        <w:numPr>
          <w:ilvl w:val="0"/>
          <w:numId w:val="0"/>
        </w:numPr>
        <w:overflowPunct/>
        <w:ind w:left="0" w:firstLine="420" w:firstLineChars="200"/>
        <w:rPr>
          <w:rFonts w:ascii="宋体" w:hAnsi="宋体" w:cs="宋体"/>
          <w:color w:val="auto"/>
          <w:szCs w:val="21"/>
          <w:highlight w:val="none"/>
        </w:rPr>
      </w:pPr>
      <w:r>
        <w:rPr>
          <w:rFonts w:hint="eastAsia" w:cs="宋体"/>
          <w:color w:val="auto"/>
          <w:sz w:val="21"/>
          <w:szCs w:val="21"/>
          <w:highlight w:val="none"/>
          <w:lang w:val="en-US" w:eastAsia="zh-CN" w:bidi="ar-SA"/>
        </w:rPr>
        <w:t>（3）</w:t>
      </w:r>
      <w:r>
        <w:rPr>
          <w:rFonts w:hint="eastAsia" w:ascii="宋体" w:hAnsi="宋体" w:eastAsia="宋体" w:cs="宋体"/>
          <w:color w:val="auto"/>
          <w:sz w:val="21"/>
          <w:szCs w:val="21"/>
          <w:highlight w:val="none"/>
          <w:lang w:val="en-US" w:eastAsia="zh-CN" w:bidi="ar-SA"/>
        </w:rPr>
        <w:t>若上述两种情况下不同意转换采购方式，退出投标的</w:t>
      </w:r>
      <w:r>
        <w:rPr>
          <w:rFonts w:hint="eastAsia" w:cs="宋体"/>
          <w:color w:val="auto"/>
          <w:sz w:val="21"/>
          <w:szCs w:val="21"/>
          <w:highlight w:val="none"/>
          <w:lang w:val="en-US" w:eastAsia="zh-CN" w:bidi="ar-SA"/>
        </w:rPr>
        <w:t>投标人</w:t>
      </w:r>
      <w:r>
        <w:rPr>
          <w:rFonts w:hint="eastAsia" w:ascii="宋体" w:hAnsi="宋体" w:eastAsia="宋体" w:cs="宋体"/>
          <w:color w:val="auto"/>
          <w:sz w:val="21"/>
          <w:szCs w:val="21"/>
          <w:highlight w:val="none"/>
          <w:lang w:val="en-US" w:eastAsia="zh-CN" w:bidi="ar-SA"/>
        </w:rPr>
        <w:t>，</w:t>
      </w:r>
      <w:r>
        <w:rPr>
          <w:rFonts w:hint="eastAsia" w:cs="宋体"/>
          <w:color w:val="auto"/>
          <w:sz w:val="21"/>
          <w:szCs w:val="21"/>
          <w:highlight w:val="none"/>
          <w:lang w:val="en-US" w:eastAsia="zh-CN" w:bidi="ar-SA"/>
        </w:rPr>
        <w:t>投标</w:t>
      </w:r>
      <w:r>
        <w:rPr>
          <w:rFonts w:hint="eastAsia" w:ascii="宋体" w:hAnsi="宋体" w:eastAsia="宋体" w:cs="宋体"/>
          <w:color w:val="auto"/>
          <w:sz w:val="21"/>
          <w:szCs w:val="21"/>
          <w:highlight w:val="none"/>
          <w:lang w:val="en-US" w:eastAsia="zh-CN" w:bidi="ar-SA"/>
        </w:rPr>
        <w:t xml:space="preserve">保证金按本须知 </w:t>
      </w:r>
      <w:r>
        <w:rPr>
          <w:rFonts w:hint="eastAsia" w:cs="宋体"/>
          <w:color w:val="auto"/>
          <w:sz w:val="21"/>
          <w:szCs w:val="21"/>
          <w:highlight w:val="none"/>
          <w:lang w:val="en-US" w:eastAsia="zh-CN" w:bidi="ar-SA"/>
        </w:rPr>
        <w:t>（三）17</w:t>
      </w:r>
      <w:r>
        <w:rPr>
          <w:rFonts w:hint="eastAsia" w:ascii="宋体" w:hAnsi="宋体" w:eastAsia="宋体" w:cs="宋体"/>
          <w:color w:val="auto"/>
          <w:sz w:val="21"/>
          <w:szCs w:val="21"/>
          <w:highlight w:val="none"/>
          <w:lang w:val="en-US" w:eastAsia="zh-CN" w:bidi="ar-SA"/>
        </w:rPr>
        <w:t>款的规定退还。</w:t>
      </w:r>
    </w:p>
    <w:p w14:paraId="025579D0">
      <w:pPr>
        <w:widowControl w:val="0"/>
        <w:numPr>
          <w:ilvl w:val="1"/>
          <w:numId w:val="3"/>
        </w:numPr>
        <w:overflowPunct w:val="0"/>
        <w:rPr>
          <w:rFonts w:ascii="宋体" w:hAnsi="宋体" w:cs="宋体"/>
          <w:color w:val="auto"/>
          <w:szCs w:val="21"/>
          <w:highlight w:val="none"/>
        </w:rPr>
      </w:pPr>
      <w:r>
        <w:rPr>
          <w:rFonts w:hint="eastAsia" w:ascii="宋体" w:hAnsi="宋体" w:cs="宋体"/>
          <w:color w:val="auto"/>
          <w:szCs w:val="21"/>
          <w:highlight w:val="none"/>
        </w:rPr>
        <w:t>开标过程应当由采购人或者采购代理机构负责记录，由参加开标的各投标人代表和相关工作人员签字确认。</w:t>
      </w:r>
    </w:p>
    <w:p w14:paraId="7EF5A002">
      <w:pPr>
        <w:widowControl w:val="0"/>
        <w:adjustRightInd/>
        <w:snapToGrid/>
        <w:ind w:left="567"/>
        <w:jc w:val="both"/>
        <w:rPr>
          <w:rFonts w:ascii="宋体" w:hAnsi="宋体" w:cs="宋体"/>
          <w:color w:val="auto"/>
          <w:highlight w:val="none"/>
        </w:rPr>
      </w:pPr>
    </w:p>
    <w:p w14:paraId="21F41DD0">
      <w:pPr>
        <w:pStyle w:val="4"/>
        <w:widowControl w:val="0"/>
        <w:numPr>
          <w:ilvl w:val="0"/>
          <w:numId w:val="3"/>
        </w:numPr>
        <w:overflowPunct w:val="0"/>
        <w:rPr>
          <w:rFonts w:ascii="宋体" w:hAnsi="宋体" w:cs="宋体"/>
          <w:color w:val="auto"/>
          <w:sz w:val="21"/>
          <w:szCs w:val="21"/>
          <w:highlight w:val="none"/>
        </w:rPr>
      </w:pPr>
      <w:bookmarkStart w:id="133" w:name="_Toc3528"/>
      <w:bookmarkStart w:id="134" w:name="_Toc15560"/>
      <w:bookmarkStart w:id="135" w:name="_Toc23175"/>
      <w:r>
        <w:rPr>
          <w:rFonts w:hint="eastAsia" w:ascii="宋体" w:hAnsi="宋体" w:cs="宋体"/>
          <w:color w:val="auto"/>
          <w:sz w:val="21"/>
          <w:szCs w:val="21"/>
          <w:highlight w:val="none"/>
        </w:rPr>
        <w:t>评标委员会及评标方法</w:t>
      </w:r>
      <w:bookmarkEnd w:id="133"/>
      <w:bookmarkEnd w:id="134"/>
      <w:bookmarkEnd w:id="135"/>
    </w:p>
    <w:p w14:paraId="241D82B1">
      <w:pPr>
        <w:pStyle w:val="20"/>
        <w:widowControl w:val="0"/>
        <w:numPr>
          <w:ilvl w:val="0"/>
          <w:numId w:val="4"/>
        </w:numPr>
        <w:adjustRightInd/>
        <w:snapToGrid/>
        <w:ind w:firstLineChars="0"/>
        <w:jc w:val="both"/>
        <w:rPr>
          <w:rFonts w:ascii="宋体" w:hAnsi="宋体" w:cs="宋体"/>
          <w:vanish/>
          <w:color w:val="auto"/>
          <w:szCs w:val="21"/>
          <w:highlight w:val="none"/>
        </w:rPr>
      </w:pPr>
    </w:p>
    <w:p w14:paraId="4D811692">
      <w:pPr>
        <w:widowControl w:val="0"/>
        <w:numPr>
          <w:ilvl w:val="1"/>
          <w:numId w:val="3"/>
        </w:numPr>
        <w:overflowPunct w:val="0"/>
        <w:rPr>
          <w:rFonts w:ascii="宋体" w:hAnsi="宋体" w:cs="宋体"/>
          <w:color w:val="auto"/>
          <w:szCs w:val="21"/>
          <w:highlight w:val="none"/>
        </w:rPr>
      </w:pPr>
      <w:r>
        <w:rPr>
          <w:rFonts w:hint="eastAsia" w:ascii="宋体" w:hAnsi="宋体" w:cs="宋体"/>
          <w:color w:val="auto"/>
          <w:szCs w:val="21"/>
          <w:highlight w:val="none"/>
        </w:rPr>
        <w:t>依法组成评标委员会，评标委员会由采购人和有关技术、经济等方面的专家组成，成员人数为五人或五人以上单数，其中技术、经济等方面的专家不少于成员总数的三分之二，并负责评标工作。</w:t>
      </w:r>
    </w:p>
    <w:p w14:paraId="5C5A7C3D">
      <w:pPr>
        <w:widowControl w:val="0"/>
        <w:numPr>
          <w:ilvl w:val="1"/>
          <w:numId w:val="3"/>
        </w:numPr>
        <w:overflowPunct w:val="0"/>
        <w:rPr>
          <w:rFonts w:ascii="宋体" w:hAnsi="宋体" w:cs="宋体"/>
          <w:color w:val="auto"/>
          <w:szCs w:val="21"/>
          <w:highlight w:val="none"/>
        </w:rPr>
      </w:pPr>
      <w:r>
        <w:rPr>
          <w:rFonts w:hint="eastAsia" w:ascii="宋体" w:hAnsi="宋体" w:cs="宋体"/>
          <w:color w:val="auto"/>
          <w:szCs w:val="21"/>
          <w:highlight w:val="none"/>
        </w:rPr>
        <w:t>评审方法：本次采购的评审方法采用最低评标价法。</w:t>
      </w:r>
    </w:p>
    <w:p w14:paraId="2AFEC705">
      <w:pPr>
        <w:widowControl w:val="0"/>
        <w:numPr>
          <w:ilvl w:val="1"/>
          <w:numId w:val="3"/>
        </w:numPr>
        <w:overflowPunct w:val="0"/>
        <w:rPr>
          <w:rFonts w:ascii="宋体" w:hAnsi="宋体" w:cs="宋体"/>
          <w:color w:val="auto"/>
          <w:szCs w:val="21"/>
          <w:highlight w:val="none"/>
        </w:rPr>
      </w:pPr>
      <w:r>
        <w:rPr>
          <w:rFonts w:hint="eastAsia" w:ascii="宋体" w:hAnsi="宋体" w:cs="宋体"/>
          <w:color w:val="auto"/>
          <w:szCs w:val="21"/>
          <w:highlight w:val="none"/>
        </w:rPr>
        <w:t>定标原则：通过资格性检查和符合性审查且报价不超过预算控制金额并同时具备以下条件的投标人应当确定为中标候选供应商或中标供应商：</w:t>
      </w:r>
    </w:p>
    <w:p w14:paraId="3B9B7A8D">
      <w:pPr>
        <w:widowControl w:val="0"/>
        <w:overflowPunct w:val="0"/>
        <w:ind w:firstLine="420" w:firstLineChars="200"/>
        <w:rPr>
          <w:rFonts w:ascii="宋体" w:hAnsi="宋体" w:cs="宋体"/>
          <w:color w:val="auto"/>
          <w:szCs w:val="21"/>
          <w:highlight w:val="none"/>
        </w:rPr>
      </w:pPr>
      <w:r>
        <w:rPr>
          <w:rFonts w:hint="eastAsia" w:ascii="宋体" w:hAnsi="宋体" w:cs="宋体"/>
          <w:color w:val="auto"/>
          <w:szCs w:val="21"/>
          <w:highlight w:val="none"/>
        </w:rPr>
        <w:t>（一）满足采购文件实质性要求；</w:t>
      </w:r>
    </w:p>
    <w:p w14:paraId="4297F108">
      <w:pPr>
        <w:widowControl w:val="0"/>
        <w:overflowPunct w:val="0"/>
        <w:ind w:firstLine="420" w:firstLineChars="200"/>
        <w:rPr>
          <w:rFonts w:ascii="宋体" w:hAnsi="宋体" w:cs="宋体"/>
          <w:color w:val="auto"/>
          <w:szCs w:val="21"/>
          <w:highlight w:val="none"/>
        </w:rPr>
      </w:pPr>
      <w:r>
        <w:rPr>
          <w:rFonts w:hint="eastAsia" w:ascii="宋体" w:hAnsi="宋体" w:cs="宋体"/>
          <w:color w:val="auto"/>
          <w:szCs w:val="21"/>
          <w:highlight w:val="none"/>
        </w:rPr>
        <w:t>（二）投标的价格最低。</w:t>
      </w:r>
    </w:p>
    <w:p w14:paraId="5D4E5A15">
      <w:pPr>
        <w:widowControl w:val="0"/>
        <w:numPr>
          <w:ilvl w:val="1"/>
          <w:numId w:val="3"/>
        </w:numPr>
        <w:overflowPunct w:val="0"/>
        <w:rPr>
          <w:rFonts w:ascii="宋体" w:hAnsi="宋体" w:cs="宋体"/>
          <w:color w:val="auto"/>
          <w:szCs w:val="21"/>
          <w:highlight w:val="none"/>
        </w:rPr>
      </w:pPr>
      <w:r>
        <w:rPr>
          <w:rFonts w:hint="eastAsia" w:ascii="宋体" w:hAnsi="宋体" w:cs="宋体"/>
          <w:color w:val="auto"/>
          <w:szCs w:val="21"/>
          <w:highlight w:val="none"/>
        </w:rPr>
        <w:t>按投标报价由低到高顺序排列。投标报价相同的，按技术指标优劣顺序排列。采用最低评标价法的采购项目，提供相同品牌产品的不同投标人参加同一合同项下投标的，以其中通过资格审查、符合性审查且报价最低的参加评标；报价相同的，由采购人或者采购人委托评标委员会按照采购文件规定的方式确定一个参加评标的投标人，采购文件未规定的采取随机抽取方式确定，其他投标无效。</w:t>
      </w:r>
    </w:p>
    <w:p w14:paraId="3FE842EC">
      <w:pPr>
        <w:widowControl w:val="0"/>
        <w:numPr>
          <w:ilvl w:val="1"/>
          <w:numId w:val="3"/>
        </w:numPr>
        <w:overflowPunct w:val="0"/>
        <w:rPr>
          <w:rFonts w:ascii="宋体" w:hAnsi="宋体" w:cs="宋体"/>
          <w:color w:val="auto"/>
          <w:szCs w:val="21"/>
          <w:highlight w:val="none"/>
        </w:rPr>
      </w:pPr>
      <w:r>
        <w:rPr>
          <w:rFonts w:hint="eastAsia" w:ascii="宋体" w:hAnsi="宋体"/>
          <w:color w:val="auto"/>
          <w:szCs w:val="21"/>
          <w:highlight w:val="none"/>
        </w:rPr>
        <w:t>评审流程包括符合性检查、澄清问题、推荐中标候选人或确定中标人、编写评标报告等步骤。</w:t>
      </w:r>
    </w:p>
    <w:p w14:paraId="01EB8F73">
      <w:pPr>
        <w:widowControl w:val="0"/>
        <w:numPr>
          <w:ilvl w:val="1"/>
          <w:numId w:val="3"/>
        </w:numPr>
        <w:overflowPunct w:val="0"/>
        <w:rPr>
          <w:rFonts w:ascii="宋体" w:hAnsi="宋体" w:cs="宋体"/>
          <w:color w:val="auto"/>
          <w:szCs w:val="21"/>
          <w:highlight w:val="none"/>
        </w:rPr>
      </w:pPr>
      <w:r>
        <w:rPr>
          <w:rFonts w:hint="eastAsia" w:ascii="宋体" w:hAnsi="宋体" w:cs="宋体"/>
          <w:color w:val="auto"/>
          <w:szCs w:val="21"/>
          <w:highlight w:val="none"/>
        </w:rPr>
        <w:t>在评标期间，评标委员会可要求投标人对其投标文件进行澄清，但不得寻求、提供或允许对投标价格等实质性内容做任何更改。有关澄清的要求和答复均应以纸质版形式提交，如投标人拒绝评标委员会要求对其投标文件进行澄清的要求，所造成的后果由投标人自行承担。</w:t>
      </w:r>
    </w:p>
    <w:p w14:paraId="66DACFCE">
      <w:pPr>
        <w:widowControl w:val="0"/>
        <w:numPr>
          <w:ilvl w:val="1"/>
          <w:numId w:val="3"/>
        </w:numPr>
        <w:overflowPunct w:val="0"/>
        <w:rPr>
          <w:rFonts w:ascii="宋体" w:hAnsi="宋体" w:cs="宋体"/>
          <w:color w:val="auto"/>
          <w:szCs w:val="21"/>
          <w:highlight w:val="none"/>
        </w:rPr>
      </w:pPr>
      <w:r>
        <w:rPr>
          <w:rFonts w:hint="eastAsia" w:ascii="宋体" w:hAnsi="宋体" w:cs="宋体"/>
          <w:color w:val="auto"/>
          <w:szCs w:val="21"/>
          <w:highlight w:val="none"/>
        </w:rPr>
        <w:t>评标委员会和采购人在评审过程中有权核对投标文件中相关材料的原件，投标人在接到通知后应在评标委员会规定的时间内提交原件核查。</w:t>
      </w:r>
    </w:p>
    <w:p w14:paraId="54494AB6">
      <w:pPr>
        <w:rPr>
          <w:rFonts w:ascii="宋体" w:hAnsi="宋体" w:cs="宋体"/>
          <w:color w:val="auto"/>
          <w:highlight w:val="none"/>
        </w:rPr>
      </w:pPr>
    </w:p>
    <w:p w14:paraId="6B3B4913">
      <w:pPr>
        <w:pStyle w:val="4"/>
        <w:widowControl w:val="0"/>
        <w:numPr>
          <w:ilvl w:val="0"/>
          <w:numId w:val="3"/>
        </w:numPr>
        <w:overflowPunct w:val="0"/>
        <w:rPr>
          <w:rFonts w:ascii="宋体" w:hAnsi="宋体" w:cs="宋体"/>
          <w:color w:val="auto"/>
          <w:sz w:val="21"/>
          <w:szCs w:val="21"/>
          <w:highlight w:val="none"/>
        </w:rPr>
      </w:pPr>
      <w:bookmarkStart w:id="136" w:name="_Toc4198"/>
      <w:bookmarkStart w:id="137" w:name="_Toc25045"/>
      <w:bookmarkStart w:id="138" w:name="_Toc22022"/>
      <w:r>
        <w:rPr>
          <w:rFonts w:hint="eastAsia" w:ascii="宋体" w:hAnsi="宋体" w:cs="宋体"/>
          <w:color w:val="auto"/>
          <w:sz w:val="21"/>
          <w:szCs w:val="21"/>
          <w:highlight w:val="none"/>
        </w:rPr>
        <w:t>评审原则及评标过程的保密</w:t>
      </w:r>
      <w:bookmarkEnd w:id="136"/>
      <w:bookmarkEnd w:id="137"/>
      <w:bookmarkEnd w:id="138"/>
    </w:p>
    <w:p w14:paraId="2ADD1737">
      <w:pPr>
        <w:pStyle w:val="20"/>
        <w:widowControl w:val="0"/>
        <w:numPr>
          <w:ilvl w:val="0"/>
          <w:numId w:val="4"/>
        </w:numPr>
        <w:adjustRightInd/>
        <w:snapToGrid/>
        <w:ind w:firstLineChars="0"/>
        <w:jc w:val="both"/>
        <w:rPr>
          <w:rFonts w:ascii="宋体" w:hAnsi="宋体" w:cs="宋体"/>
          <w:vanish/>
          <w:color w:val="auto"/>
          <w:szCs w:val="21"/>
          <w:highlight w:val="none"/>
        </w:rPr>
      </w:pPr>
    </w:p>
    <w:p w14:paraId="76407473">
      <w:pPr>
        <w:widowControl w:val="0"/>
        <w:numPr>
          <w:ilvl w:val="1"/>
          <w:numId w:val="3"/>
        </w:numPr>
        <w:overflowPunct w:val="0"/>
        <w:rPr>
          <w:rFonts w:ascii="宋体" w:hAnsi="宋体" w:cs="宋体"/>
          <w:color w:val="auto"/>
          <w:szCs w:val="21"/>
          <w:highlight w:val="none"/>
        </w:rPr>
      </w:pPr>
      <w:r>
        <w:rPr>
          <w:rFonts w:hint="eastAsia" w:ascii="宋体" w:hAnsi="宋体" w:cs="宋体"/>
          <w:color w:val="auto"/>
          <w:szCs w:val="21"/>
          <w:highlight w:val="none"/>
        </w:rPr>
        <w:t>评审的基本原则：评标委员会将依据采购文件的规定，遵循“公开、公平、公正、择优、信用”的原则进行评审工作。</w:t>
      </w:r>
    </w:p>
    <w:p w14:paraId="08825D09">
      <w:pPr>
        <w:widowControl w:val="0"/>
        <w:numPr>
          <w:ilvl w:val="1"/>
          <w:numId w:val="3"/>
        </w:numPr>
        <w:overflowPunct w:val="0"/>
        <w:rPr>
          <w:rFonts w:ascii="宋体" w:hAnsi="宋体" w:cs="宋体"/>
          <w:color w:val="auto"/>
          <w:szCs w:val="21"/>
          <w:highlight w:val="none"/>
        </w:rPr>
      </w:pPr>
      <w:r>
        <w:rPr>
          <w:rFonts w:hint="eastAsia" w:ascii="宋体" w:hAnsi="宋体" w:cs="宋体"/>
          <w:color w:val="auto"/>
          <w:szCs w:val="21"/>
          <w:highlight w:val="none"/>
        </w:rPr>
        <w:t>从公开开标到签订合同，凡与审查、澄清、评审和投标有关的资料以及定标意见相关的事项，均不得向投标人及与评标无关的其他人透露。</w:t>
      </w:r>
    </w:p>
    <w:p w14:paraId="0AB0EA18">
      <w:pPr>
        <w:widowControl w:val="0"/>
        <w:numPr>
          <w:ilvl w:val="1"/>
          <w:numId w:val="3"/>
        </w:numPr>
        <w:overflowPunct w:val="0"/>
        <w:rPr>
          <w:rFonts w:ascii="宋体" w:hAnsi="宋体" w:cs="宋体"/>
          <w:color w:val="auto"/>
          <w:szCs w:val="21"/>
          <w:highlight w:val="none"/>
        </w:rPr>
      </w:pPr>
      <w:r>
        <w:rPr>
          <w:rFonts w:hint="eastAsia" w:ascii="宋体" w:hAnsi="宋体" w:cs="宋体"/>
          <w:color w:val="auto"/>
          <w:szCs w:val="21"/>
          <w:highlight w:val="none"/>
        </w:rPr>
        <w:t>任何单位和个人不得非法干预、影响评标的过程和结果。</w:t>
      </w:r>
    </w:p>
    <w:p w14:paraId="455B4370">
      <w:pPr>
        <w:rPr>
          <w:rFonts w:ascii="宋体" w:hAnsi="宋体" w:cs="宋体"/>
          <w:color w:val="auto"/>
          <w:highlight w:val="none"/>
        </w:rPr>
      </w:pPr>
    </w:p>
    <w:p w14:paraId="3E65C5AA">
      <w:pPr>
        <w:pStyle w:val="4"/>
        <w:widowControl w:val="0"/>
        <w:numPr>
          <w:ilvl w:val="0"/>
          <w:numId w:val="3"/>
        </w:numPr>
        <w:overflowPunct w:val="0"/>
        <w:rPr>
          <w:rFonts w:ascii="宋体" w:hAnsi="宋体" w:cs="宋体"/>
          <w:color w:val="auto"/>
          <w:sz w:val="21"/>
          <w:szCs w:val="21"/>
          <w:highlight w:val="none"/>
        </w:rPr>
      </w:pPr>
      <w:bookmarkStart w:id="139" w:name="_Toc14506"/>
      <w:bookmarkStart w:id="140" w:name="_Toc9013"/>
      <w:r>
        <w:rPr>
          <w:rFonts w:hint="eastAsia" w:ascii="宋体" w:hAnsi="宋体" w:cs="宋体"/>
          <w:color w:val="auto"/>
          <w:sz w:val="21"/>
          <w:szCs w:val="21"/>
          <w:highlight w:val="none"/>
        </w:rPr>
        <w:t>评标程序</w:t>
      </w:r>
      <w:bookmarkEnd w:id="139"/>
      <w:bookmarkEnd w:id="140"/>
    </w:p>
    <w:p w14:paraId="08DA4584">
      <w:pPr>
        <w:widowControl w:val="0"/>
        <w:numPr>
          <w:ilvl w:val="1"/>
          <w:numId w:val="3"/>
        </w:numPr>
        <w:overflowPunct w:val="0"/>
        <w:rPr>
          <w:rFonts w:ascii="宋体" w:hAnsi="宋体" w:cs="宋体"/>
          <w:b/>
          <w:bCs/>
          <w:color w:val="auto"/>
          <w:szCs w:val="21"/>
          <w:highlight w:val="none"/>
        </w:rPr>
      </w:pPr>
      <w:r>
        <w:rPr>
          <w:rFonts w:hint="eastAsia" w:ascii="宋体" w:hAnsi="宋体" w:cs="宋体"/>
          <w:b/>
          <w:bCs/>
          <w:color w:val="auto"/>
          <w:szCs w:val="21"/>
          <w:highlight w:val="none"/>
        </w:rPr>
        <w:t>资格性检查</w:t>
      </w:r>
    </w:p>
    <w:p w14:paraId="272E64A4">
      <w:pPr>
        <w:widowControl w:val="0"/>
        <w:overflowPunct w:val="0"/>
        <w:ind w:firstLine="420" w:firstLineChars="200"/>
        <w:rPr>
          <w:rFonts w:ascii="宋体" w:hAnsi="宋体" w:cs="宋体"/>
          <w:color w:val="auto"/>
          <w:szCs w:val="21"/>
          <w:highlight w:val="none"/>
        </w:rPr>
      </w:pPr>
      <w:r>
        <w:rPr>
          <w:rFonts w:hint="eastAsia" w:ascii="宋体" w:hAnsi="宋体" w:cs="宋体"/>
          <w:color w:val="auto"/>
          <w:szCs w:val="21"/>
          <w:highlight w:val="none"/>
        </w:rPr>
        <w:t>公开采购项目开标结束后，采购人或者采购代理机构按《资格性审查表》将依法对投标人的资格进行审查。投标人必须严格按照《资格性审查表》的评审内容的要求如实提供证明材料并应加盖投标人公章，对缺漏或不符合项将直接导致无效投标。未通过资格审查的投标人不进入评标阶段的评审。</w:t>
      </w:r>
    </w:p>
    <w:p w14:paraId="0DDA4F03">
      <w:pPr>
        <w:jc w:val="center"/>
        <w:rPr>
          <w:b/>
          <w:bCs/>
          <w:color w:val="auto"/>
          <w:highlight w:val="none"/>
        </w:rPr>
      </w:pPr>
      <w:r>
        <w:rPr>
          <w:b/>
          <w:bCs/>
          <w:color w:val="auto"/>
          <w:highlight w:val="none"/>
        </w:rPr>
        <w:t>《资格性审查表》</w:t>
      </w:r>
    </w:p>
    <w:tbl>
      <w:tblPr>
        <w:tblStyle w:val="16"/>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00"/>
        <w:gridCol w:w="7822"/>
      </w:tblGrid>
      <w:tr w14:paraId="40D181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11" w:type="pct"/>
            <w:tcBorders>
              <w:top w:val="single" w:color="auto" w:sz="4" w:space="0"/>
              <w:left w:val="single" w:color="auto" w:sz="4" w:space="0"/>
              <w:bottom w:val="single" w:color="auto" w:sz="4" w:space="0"/>
              <w:right w:val="single" w:color="auto" w:sz="4" w:space="0"/>
              <w:tl2br w:val="nil"/>
              <w:tr2bl w:val="nil"/>
            </w:tcBorders>
            <w:vAlign w:val="center"/>
          </w:tcPr>
          <w:p w14:paraId="3740FC50">
            <w:pPr>
              <w:jc w:val="center"/>
              <w:rPr>
                <w:rFonts w:ascii="宋体" w:hAnsi="宋体" w:cs="宋体"/>
                <w:b/>
                <w:color w:val="auto"/>
                <w:szCs w:val="21"/>
                <w:highlight w:val="none"/>
              </w:rPr>
            </w:pPr>
            <w:r>
              <w:rPr>
                <w:rFonts w:hint="eastAsia" w:ascii="宋体" w:hAnsi="宋体" w:cs="宋体"/>
                <w:b/>
                <w:color w:val="auto"/>
                <w:szCs w:val="21"/>
                <w:highlight w:val="none"/>
              </w:rPr>
              <w:t>序号</w:t>
            </w:r>
          </w:p>
        </w:tc>
        <w:tc>
          <w:tcPr>
            <w:tcW w:w="4588" w:type="pct"/>
            <w:tcBorders>
              <w:top w:val="single" w:color="auto" w:sz="4" w:space="0"/>
              <w:left w:val="single" w:color="auto" w:sz="4" w:space="0"/>
              <w:bottom w:val="single" w:color="auto" w:sz="4" w:space="0"/>
              <w:right w:val="single" w:color="auto" w:sz="4" w:space="0"/>
              <w:tl2br w:val="nil"/>
              <w:tr2bl w:val="nil"/>
            </w:tcBorders>
            <w:vAlign w:val="center"/>
          </w:tcPr>
          <w:p w14:paraId="2E1C8BCC">
            <w:pPr>
              <w:jc w:val="center"/>
              <w:rPr>
                <w:rFonts w:ascii="宋体" w:hAnsi="宋体" w:cs="宋体"/>
                <w:b/>
                <w:color w:val="auto"/>
                <w:szCs w:val="21"/>
                <w:highlight w:val="none"/>
              </w:rPr>
            </w:pPr>
            <w:r>
              <w:rPr>
                <w:rFonts w:hint="eastAsia" w:ascii="宋体" w:hAnsi="宋体" w:cs="宋体"/>
                <w:b/>
                <w:color w:val="auto"/>
                <w:szCs w:val="21"/>
                <w:highlight w:val="none"/>
              </w:rPr>
              <w:t>评 审 内 容</w:t>
            </w:r>
          </w:p>
        </w:tc>
      </w:tr>
      <w:tr w14:paraId="239013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11" w:type="pct"/>
            <w:tcBorders>
              <w:top w:val="single" w:color="auto" w:sz="4" w:space="0"/>
              <w:left w:val="single" w:color="auto" w:sz="4" w:space="0"/>
              <w:bottom w:val="single" w:color="auto" w:sz="4" w:space="0"/>
              <w:right w:val="single" w:color="auto" w:sz="4" w:space="0"/>
              <w:tl2br w:val="nil"/>
              <w:tr2bl w:val="nil"/>
            </w:tcBorders>
            <w:vAlign w:val="center"/>
          </w:tcPr>
          <w:p w14:paraId="027CE97B">
            <w:pPr>
              <w:numPr>
                <w:ilvl w:val="0"/>
                <w:numId w:val="7"/>
              </w:numPr>
              <w:tabs>
                <w:tab w:val="left" w:pos="176"/>
                <w:tab w:val="left" w:pos="612"/>
              </w:tabs>
              <w:jc w:val="center"/>
              <w:rPr>
                <w:rFonts w:ascii="宋体" w:hAnsi="宋体" w:cs="宋体"/>
                <w:color w:val="auto"/>
                <w:szCs w:val="21"/>
                <w:highlight w:val="none"/>
              </w:rPr>
            </w:pPr>
          </w:p>
        </w:tc>
        <w:tc>
          <w:tcPr>
            <w:tcW w:w="4588" w:type="pct"/>
            <w:tcBorders>
              <w:top w:val="single" w:color="auto" w:sz="4" w:space="0"/>
              <w:left w:val="single" w:color="auto" w:sz="4" w:space="0"/>
              <w:bottom w:val="single" w:color="auto" w:sz="4" w:space="0"/>
              <w:right w:val="single" w:color="auto" w:sz="4" w:space="0"/>
              <w:tl2br w:val="nil"/>
              <w:tr2bl w:val="nil"/>
            </w:tcBorders>
            <w:vAlign w:val="center"/>
          </w:tcPr>
          <w:p w14:paraId="7467B67F">
            <w:pPr>
              <w:rPr>
                <w:rFonts w:ascii="宋体" w:hAnsi="宋体" w:cs="宋体"/>
                <w:color w:val="auto"/>
                <w:szCs w:val="21"/>
                <w:highlight w:val="none"/>
              </w:rPr>
            </w:pPr>
            <w:r>
              <w:rPr>
                <w:rFonts w:hint="eastAsia"/>
                <w:color w:val="auto"/>
                <w:highlight w:val="none"/>
              </w:rPr>
              <w:t>投</w:t>
            </w:r>
            <w:r>
              <w:rPr>
                <w:rFonts w:hint="eastAsia" w:ascii="宋体" w:hAnsi="宋体"/>
                <w:color w:val="auto"/>
                <w:szCs w:val="21"/>
                <w:highlight w:val="none"/>
              </w:rPr>
              <w:t>标人须为在中华人民共和国境内登记注册的法人或其他组织。【提供《营业执照》复印件（加盖公章）或《事业单位法人证书》复印件（加盖公章）或其他主体证书复印件（加盖公章）】；</w:t>
            </w:r>
          </w:p>
        </w:tc>
      </w:tr>
      <w:tr w14:paraId="5CDFCF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11" w:type="pct"/>
            <w:tcBorders>
              <w:top w:val="single" w:color="auto" w:sz="4" w:space="0"/>
              <w:left w:val="single" w:color="auto" w:sz="4" w:space="0"/>
              <w:bottom w:val="single" w:color="auto" w:sz="4" w:space="0"/>
              <w:right w:val="single" w:color="auto" w:sz="4" w:space="0"/>
              <w:tl2br w:val="nil"/>
              <w:tr2bl w:val="nil"/>
            </w:tcBorders>
            <w:vAlign w:val="center"/>
          </w:tcPr>
          <w:p w14:paraId="65765498">
            <w:pPr>
              <w:numPr>
                <w:ilvl w:val="0"/>
                <w:numId w:val="7"/>
              </w:numPr>
              <w:tabs>
                <w:tab w:val="left" w:pos="176"/>
                <w:tab w:val="left" w:pos="612"/>
              </w:tabs>
              <w:jc w:val="center"/>
              <w:rPr>
                <w:rFonts w:ascii="宋体" w:hAnsi="宋体" w:cs="宋体"/>
                <w:color w:val="auto"/>
                <w:szCs w:val="21"/>
                <w:highlight w:val="none"/>
              </w:rPr>
            </w:pPr>
          </w:p>
        </w:tc>
        <w:tc>
          <w:tcPr>
            <w:tcW w:w="4588" w:type="pct"/>
            <w:tcBorders>
              <w:top w:val="single" w:color="auto" w:sz="4" w:space="0"/>
              <w:left w:val="single" w:color="auto" w:sz="4" w:space="0"/>
              <w:bottom w:val="single" w:color="auto" w:sz="4" w:space="0"/>
              <w:right w:val="single" w:color="auto" w:sz="4" w:space="0"/>
              <w:tl2br w:val="nil"/>
              <w:tr2bl w:val="nil"/>
            </w:tcBorders>
            <w:vAlign w:val="center"/>
          </w:tcPr>
          <w:p w14:paraId="208EA269">
            <w:pPr>
              <w:rPr>
                <w:rFonts w:ascii="宋体" w:hAnsi="宋体" w:cs="宋体"/>
                <w:color w:val="auto"/>
                <w:szCs w:val="21"/>
                <w:highlight w:val="none"/>
              </w:rPr>
            </w:pPr>
            <w:r>
              <w:rPr>
                <w:rFonts w:hint="eastAsia" w:ascii="宋体" w:hAnsi="宋体"/>
                <w:color w:val="auto"/>
                <w:szCs w:val="21"/>
                <w:highlight w:val="none"/>
                <w:lang w:eastAsia="zh-CN"/>
              </w:rPr>
              <w:t>参加采购活动前三年内，在经营活动中没有重大违法记录（须提供书面声明）。重大违法记录，是指供应商因违法经营受到刑事处罚或者责令停产停业、吊销许可证或者执照、较大数额罚款等行政处罚。（根据财库〔2022〕3号文，“较大数额罚款”认定为200万元以上的罚款，法律、行政法规以及国务院有关部门明确规定相关领域“较大数额罚款”标准高于200万元的，从其规定，如有最新发文通知，按最新文件执行）</w:t>
            </w:r>
            <w:r>
              <w:rPr>
                <w:rFonts w:hint="eastAsia" w:ascii="宋体" w:hAnsi="宋体"/>
                <w:color w:val="auto"/>
                <w:szCs w:val="21"/>
                <w:highlight w:val="none"/>
              </w:rPr>
              <w:t>；</w:t>
            </w:r>
          </w:p>
        </w:tc>
      </w:tr>
      <w:tr w14:paraId="7E28A3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11" w:type="pct"/>
            <w:tcBorders>
              <w:top w:val="single" w:color="auto" w:sz="4" w:space="0"/>
              <w:left w:val="single" w:color="auto" w:sz="4" w:space="0"/>
              <w:bottom w:val="single" w:color="auto" w:sz="4" w:space="0"/>
              <w:right w:val="single" w:color="auto" w:sz="4" w:space="0"/>
              <w:tl2br w:val="nil"/>
              <w:tr2bl w:val="nil"/>
            </w:tcBorders>
            <w:vAlign w:val="center"/>
          </w:tcPr>
          <w:p w14:paraId="4F8DD28D">
            <w:pPr>
              <w:numPr>
                <w:ilvl w:val="0"/>
                <w:numId w:val="7"/>
              </w:numPr>
              <w:tabs>
                <w:tab w:val="left" w:pos="176"/>
                <w:tab w:val="left" w:pos="612"/>
              </w:tabs>
              <w:jc w:val="center"/>
              <w:rPr>
                <w:rFonts w:ascii="宋体" w:hAnsi="宋体" w:cs="宋体"/>
                <w:color w:val="auto"/>
                <w:szCs w:val="21"/>
                <w:highlight w:val="none"/>
              </w:rPr>
            </w:pPr>
          </w:p>
        </w:tc>
        <w:tc>
          <w:tcPr>
            <w:tcW w:w="4588" w:type="pct"/>
            <w:tcBorders>
              <w:top w:val="single" w:color="auto" w:sz="4" w:space="0"/>
              <w:left w:val="single" w:color="auto" w:sz="4" w:space="0"/>
              <w:bottom w:val="single" w:color="auto" w:sz="4" w:space="0"/>
              <w:right w:val="single" w:color="auto" w:sz="4" w:space="0"/>
              <w:tl2br w:val="nil"/>
              <w:tr2bl w:val="nil"/>
            </w:tcBorders>
            <w:vAlign w:val="center"/>
          </w:tcPr>
          <w:p w14:paraId="0357F958">
            <w:pPr>
              <w:rPr>
                <w:rFonts w:ascii="宋体" w:hAnsi="宋体" w:cs="宋体"/>
                <w:color w:val="auto"/>
                <w:szCs w:val="21"/>
                <w:highlight w:val="none"/>
              </w:rPr>
            </w:pPr>
            <w:r>
              <w:rPr>
                <w:rFonts w:hint="eastAsia" w:ascii="宋体" w:hAnsi="宋体"/>
                <w:color w:val="auto"/>
                <w:szCs w:val="21"/>
                <w:highlight w:val="none"/>
              </w:rPr>
              <w:t>投标人的单位负责人为同一人或者存在直接控股、管理关系的不同投标人，不得参加同一合同项下的采购活动（提供承诺函）；</w:t>
            </w:r>
          </w:p>
        </w:tc>
      </w:tr>
      <w:tr w14:paraId="2F4D99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11" w:type="pct"/>
            <w:tcBorders>
              <w:top w:val="single" w:color="auto" w:sz="4" w:space="0"/>
              <w:left w:val="single" w:color="auto" w:sz="4" w:space="0"/>
              <w:bottom w:val="single" w:color="auto" w:sz="4" w:space="0"/>
              <w:right w:val="single" w:color="auto" w:sz="4" w:space="0"/>
              <w:tl2br w:val="nil"/>
              <w:tr2bl w:val="nil"/>
            </w:tcBorders>
            <w:vAlign w:val="center"/>
          </w:tcPr>
          <w:p w14:paraId="2E71ED65">
            <w:pPr>
              <w:numPr>
                <w:ilvl w:val="0"/>
                <w:numId w:val="7"/>
              </w:numPr>
              <w:tabs>
                <w:tab w:val="left" w:pos="176"/>
                <w:tab w:val="left" w:pos="612"/>
              </w:tabs>
              <w:jc w:val="center"/>
              <w:rPr>
                <w:rFonts w:ascii="宋体" w:hAnsi="宋体" w:cs="宋体"/>
                <w:color w:val="auto"/>
                <w:szCs w:val="21"/>
                <w:highlight w:val="none"/>
              </w:rPr>
            </w:pPr>
          </w:p>
        </w:tc>
        <w:tc>
          <w:tcPr>
            <w:tcW w:w="4588" w:type="pct"/>
            <w:tcBorders>
              <w:top w:val="single" w:color="auto" w:sz="4" w:space="0"/>
              <w:left w:val="single" w:color="auto" w:sz="4" w:space="0"/>
              <w:bottom w:val="single" w:color="auto" w:sz="4" w:space="0"/>
              <w:right w:val="single" w:color="auto" w:sz="4" w:space="0"/>
              <w:tl2br w:val="nil"/>
              <w:tr2bl w:val="nil"/>
            </w:tcBorders>
            <w:vAlign w:val="center"/>
          </w:tcPr>
          <w:p w14:paraId="57A6BF4F">
            <w:pPr>
              <w:rPr>
                <w:rFonts w:ascii="宋体" w:hAnsi="宋体" w:cs="宋体"/>
                <w:color w:val="auto"/>
                <w:szCs w:val="21"/>
                <w:highlight w:val="none"/>
              </w:rPr>
            </w:pPr>
            <w:r>
              <w:rPr>
                <w:rFonts w:hint="eastAsia" w:ascii="宋体" w:hAnsi="宋体"/>
                <w:color w:val="auto"/>
                <w:szCs w:val="21"/>
                <w:highlight w:val="none"/>
              </w:rPr>
              <w:t>未被列入“信用中国”网站(www.creditchina.gov.cn )“记录失信被执行人或重大税收违法失信主体或</w:t>
            </w:r>
            <w:r>
              <w:rPr>
                <w:rFonts w:hint="eastAsia" w:ascii="宋体" w:hAnsi="宋体"/>
                <w:color w:val="auto"/>
                <w:szCs w:val="21"/>
                <w:highlight w:val="none"/>
                <w:lang w:val="en-US" w:eastAsia="zh-CN"/>
              </w:rPr>
              <w:t>严重失信主体</w:t>
            </w:r>
            <w:r>
              <w:rPr>
                <w:rFonts w:hint="eastAsia" w:ascii="宋体" w:hAnsi="宋体"/>
                <w:color w:val="auto"/>
                <w:szCs w:val="21"/>
                <w:highlight w:val="none"/>
              </w:rPr>
              <w:t>”记录名单。以代理机构于投标截止日当天在“信用中国”网站查询结果为准，如相关失信记录已失效，投标人需提供相关证明资料。</w:t>
            </w:r>
          </w:p>
        </w:tc>
      </w:tr>
      <w:tr w14:paraId="52B909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11" w:type="pct"/>
            <w:tcBorders>
              <w:top w:val="single" w:color="auto" w:sz="4" w:space="0"/>
              <w:left w:val="single" w:color="auto" w:sz="4" w:space="0"/>
              <w:bottom w:val="single" w:color="auto" w:sz="4" w:space="0"/>
              <w:right w:val="single" w:color="auto" w:sz="4" w:space="0"/>
              <w:tl2br w:val="nil"/>
              <w:tr2bl w:val="nil"/>
            </w:tcBorders>
            <w:vAlign w:val="center"/>
          </w:tcPr>
          <w:p w14:paraId="67DBFE9C">
            <w:pPr>
              <w:numPr>
                <w:ilvl w:val="0"/>
                <w:numId w:val="7"/>
              </w:numPr>
              <w:tabs>
                <w:tab w:val="left" w:pos="176"/>
                <w:tab w:val="left" w:pos="612"/>
              </w:tabs>
              <w:jc w:val="center"/>
              <w:rPr>
                <w:rFonts w:ascii="宋体" w:hAnsi="宋体" w:cs="宋体"/>
                <w:color w:val="auto"/>
                <w:szCs w:val="21"/>
                <w:highlight w:val="none"/>
              </w:rPr>
            </w:pPr>
          </w:p>
        </w:tc>
        <w:tc>
          <w:tcPr>
            <w:tcW w:w="4588" w:type="pct"/>
            <w:tcBorders>
              <w:top w:val="single" w:color="auto" w:sz="4" w:space="0"/>
              <w:left w:val="single" w:color="auto" w:sz="4" w:space="0"/>
              <w:bottom w:val="single" w:color="auto" w:sz="4" w:space="0"/>
              <w:right w:val="single" w:color="auto" w:sz="4" w:space="0"/>
              <w:tl2br w:val="nil"/>
              <w:tr2bl w:val="nil"/>
            </w:tcBorders>
            <w:vAlign w:val="center"/>
          </w:tcPr>
          <w:p w14:paraId="12DB033D">
            <w:pPr>
              <w:rPr>
                <w:rFonts w:hint="eastAsia" w:ascii="宋体" w:hAnsi="宋体"/>
                <w:color w:val="auto"/>
                <w:szCs w:val="21"/>
                <w:highlight w:val="none"/>
              </w:rPr>
            </w:pPr>
            <w:r>
              <w:rPr>
                <w:rFonts w:hint="eastAsia" w:ascii="宋体" w:hAnsi="宋体"/>
                <w:color w:val="auto"/>
                <w:szCs w:val="21"/>
                <w:highlight w:val="none"/>
              </w:rPr>
              <w:t>未被列入东实环境及下属企业相关领域黑名单。【以东实环境及下属企业最新文件执行。】</w:t>
            </w:r>
          </w:p>
        </w:tc>
      </w:tr>
      <w:tr w14:paraId="406A31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11" w:type="pct"/>
            <w:tcBorders>
              <w:top w:val="single" w:color="auto" w:sz="4" w:space="0"/>
              <w:left w:val="single" w:color="auto" w:sz="4" w:space="0"/>
              <w:bottom w:val="single" w:color="auto" w:sz="4" w:space="0"/>
              <w:right w:val="single" w:color="auto" w:sz="4" w:space="0"/>
              <w:tl2br w:val="nil"/>
              <w:tr2bl w:val="nil"/>
            </w:tcBorders>
            <w:vAlign w:val="center"/>
          </w:tcPr>
          <w:p w14:paraId="11BD4036">
            <w:pPr>
              <w:numPr>
                <w:ilvl w:val="0"/>
                <w:numId w:val="7"/>
              </w:numPr>
              <w:tabs>
                <w:tab w:val="left" w:pos="176"/>
                <w:tab w:val="left" w:pos="612"/>
              </w:tabs>
              <w:jc w:val="center"/>
              <w:rPr>
                <w:rFonts w:ascii="宋体" w:hAnsi="宋体" w:cs="宋体"/>
                <w:color w:val="auto"/>
                <w:szCs w:val="21"/>
                <w:highlight w:val="none"/>
              </w:rPr>
            </w:pPr>
          </w:p>
        </w:tc>
        <w:tc>
          <w:tcPr>
            <w:tcW w:w="4588" w:type="pct"/>
            <w:tcBorders>
              <w:top w:val="single" w:color="auto" w:sz="4" w:space="0"/>
              <w:left w:val="single" w:color="auto" w:sz="4" w:space="0"/>
              <w:bottom w:val="single" w:color="auto" w:sz="4" w:space="0"/>
              <w:right w:val="single" w:color="auto" w:sz="4" w:space="0"/>
              <w:tl2br w:val="nil"/>
              <w:tr2bl w:val="nil"/>
            </w:tcBorders>
            <w:vAlign w:val="center"/>
          </w:tcPr>
          <w:p w14:paraId="015FDC9E">
            <w:pPr>
              <w:tabs>
                <w:tab w:val="left" w:pos="612"/>
              </w:tabs>
              <w:rPr>
                <w:rFonts w:ascii="宋体" w:hAnsi="宋体" w:cs="宋体"/>
                <w:color w:val="auto"/>
                <w:szCs w:val="21"/>
                <w:highlight w:val="none"/>
              </w:rPr>
            </w:pPr>
            <w:r>
              <w:rPr>
                <w:rFonts w:hint="eastAsia" w:ascii="宋体" w:hAnsi="宋体"/>
                <w:color w:val="auto"/>
                <w:szCs w:val="21"/>
                <w:highlight w:val="none"/>
              </w:rPr>
              <w:t>本项目不接受联合体投标。</w:t>
            </w:r>
          </w:p>
        </w:tc>
      </w:tr>
      <w:tr w14:paraId="386310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11" w:type="pct"/>
            <w:tcBorders>
              <w:top w:val="single" w:color="auto" w:sz="4" w:space="0"/>
              <w:left w:val="single" w:color="auto" w:sz="4" w:space="0"/>
              <w:bottom w:val="single" w:color="auto" w:sz="4" w:space="0"/>
              <w:right w:val="single" w:color="auto" w:sz="4" w:space="0"/>
              <w:tl2br w:val="nil"/>
              <w:tr2bl w:val="nil"/>
            </w:tcBorders>
            <w:vAlign w:val="center"/>
          </w:tcPr>
          <w:p w14:paraId="224F60F4">
            <w:pPr>
              <w:numPr>
                <w:ilvl w:val="0"/>
                <w:numId w:val="7"/>
              </w:numPr>
              <w:tabs>
                <w:tab w:val="left" w:pos="176"/>
                <w:tab w:val="left" w:pos="612"/>
              </w:tabs>
              <w:jc w:val="center"/>
              <w:rPr>
                <w:rFonts w:ascii="宋体" w:hAnsi="宋体" w:cs="宋体"/>
                <w:color w:val="auto"/>
                <w:szCs w:val="21"/>
                <w:highlight w:val="none"/>
              </w:rPr>
            </w:pPr>
          </w:p>
        </w:tc>
        <w:tc>
          <w:tcPr>
            <w:tcW w:w="4588" w:type="pct"/>
            <w:tcBorders>
              <w:top w:val="single" w:color="auto" w:sz="4" w:space="0"/>
              <w:left w:val="single" w:color="auto" w:sz="4" w:space="0"/>
              <w:bottom w:val="single" w:color="auto" w:sz="4" w:space="0"/>
              <w:right w:val="single" w:color="auto" w:sz="4" w:space="0"/>
              <w:tl2br w:val="nil"/>
              <w:tr2bl w:val="nil"/>
            </w:tcBorders>
            <w:vAlign w:val="center"/>
          </w:tcPr>
          <w:p w14:paraId="49AD7E67">
            <w:pPr>
              <w:rPr>
                <w:rFonts w:ascii="宋体" w:hAnsi="宋体" w:cs="宋体"/>
                <w:color w:val="auto"/>
                <w:szCs w:val="21"/>
                <w:highlight w:val="none"/>
              </w:rPr>
            </w:pPr>
            <w:r>
              <w:rPr>
                <w:rFonts w:hint="eastAsia" w:ascii="宋体" w:hAnsi="宋体"/>
                <w:color w:val="auto"/>
                <w:szCs w:val="21"/>
                <w:highlight w:val="none"/>
              </w:rPr>
              <w:t>投标人需要在</w:t>
            </w:r>
            <w:r>
              <w:rPr>
                <w:rFonts w:hint="eastAsia" w:ascii="宋体" w:hAnsi="宋体"/>
                <w:color w:val="auto"/>
                <w:szCs w:val="21"/>
                <w:highlight w:val="none"/>
                <w:lang w:val="en-US" w:eastAsia="zh-CN"/>
              </w:rPr>
              <w:t>市级（含）以上</w:t>
            </w:r>
            <w:r>
              <w:rPr>
                <w:rFonts w:hint="eastAsia" w:ascii="宋体" w:hAnsi="宋体"/>
                <w:color w:val="auto"/>
                <w:szCs w:val="21"/>
                <w:highlight w:val="none"/>
              </w:rPr>
              <w:t>交通运输局官方网站最新公示的机动车维修经营备案公示汇总清单中，</w:t>
            </w:r>
            <w:r>
              <w:rPr>
                <w:rFonts w:hint="eastAsia" w:ascii="宋体" w:hAnsi="宋体"/>
                <w:color w:val="auto"/>
                <w:szCs w:val="21"/>
                <w:highlight w:val="none"/>
                <w:lang w:val="en-US" w:eastAsia="zh-CN"/>
              </w:rPr>
              <w:t>并</w:t>
            </w:r>
            <w:r>
              <w:rPr>
                <w:rFonts w:hint="eastAsia" w:ascii="宋体" w:hAnsi="宋体"/>
                <w:color w:val="auto"/>
                <w:szCs w:val="21"/>
                <w:highlight w:val="none"/>
              </w:rPr>
              <w:t>要求投标人在备案信息公示的维修企业资质等级为“二类（含）以上机动车维修”。（以代理机构在开标时登录东莞市交通运输局政府信息公开指南“http://jtj.dg.gov.cn/gkmlpt/guide”下载的最新的“东莞市机动车维修经营备案汇总表”的查询结果为准。）</w:t>
            </w:r>
          </w:p>
        </w:tc>
      </w:tr>
      <w:tr w14:paraId="3A251F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11" w:type="pct"/>
            <w:tcBorders>
              <w:top w:val="single" w:color="auto" w:sz="4" w:space="0"/>
              <w:left w:val="single" w:color="auto" w:sz="4" w:space="0"/>
              <w:bottom w:val="single" w:color="auto" w:sz="4" w:space="0"/>
              <w:right w:val="single" w:color="auto" w:sz="4" w:space="0"/>
              <w:tl2br w:val="nil"/>
              <w:tr2bl w:val="nil"/>
            </w:tcBorders>
            <w:vAlign w:val="center"/>
          </w:tcPr>
          <w:p w14:paraId="3C7AD4C0">
            <w:pPr>
              <w:numPr>
                <w:ilvl w:val="0"/>
                <w:numId w:val="7"/>
              </w:numPr>
              <w:tabs>
                <w:tab w:val="left" w:pos="176"/>
                <w:tab w:val="left" w:pos="612"/>
              </w:tabs>
              <w:jc w:val="center"/>
              <w:rPr>
                <w:rFonts w:ascii="宋体" w:hAnsi="宋体" w:cs="宋体"/>
                <w:color w:val="auto"/>
                <w:szCs w:val="21"/>
                <w:highlight w:val="none"/>
              </w:rPr>
            </w:pPr>
          </w:p>
        </w:tc>
        <w:tc>
          <w:tcPr>
            <w:tcW w:w="4588" w:type="pct"/>
            <w:tcBorders>
              <w:top w:val="single" w:color="auto" w:sz="4" w:space="0"/>
              <w:left w:val="single" w:color="auto" w:sz="4" w:space="0"/>
              <w:bottom w:val="single" w:color="auto" w:sz="4" w:space="0"/>
              <w:right w:val="single" w:color="auto" w:sz="4" w:space="0"/>
              <w:tl2br w:val="nil"/>
              <w:tr2bl w:val="nil"/>
            </w:tcBorders>
            <w:vAlign w:val="center"/>
          </w:tcPr>
          <w:p w14:paraId="0EFA42B1">
            <w:pPr>
              <w:rPr>
                <w:rFonts w:hint="eastAsia" w:ascii="宋体" w:hAnsi="宋体"/>
                <w:color w:val="auto"/>
                <w:szCs w:val="21"/>
                <w:highlight w:val="none"/>
              </w:rPr>
            </w:pPr>
            <w:r>
              <w:rPr>
                <w:rFonts w:hint="eastAsia" w:ascii="宋体" w:hAnsi="宋体"/>
                <w:color w:val="auto"/>
                <w:szCs w:val="21"/>
                <w:highlight w:val="none"/>
              </w:rPr>
              <w:t>投标人须具有2022年1月1日起至今1个环卫车辆或餐厨车辆或特种车辆或其它车辆的维修项目业绩。注：投标人须同时提供合同复印件及合同期内任意一期发票复印件并加盖投标人公章。</w:t>
            </w:r>
          </w:p>
        </w:tc>
      </w:tr>
      <w:tr w14:paraId="05F766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7" w:hRule="atLeast"/>
          <w:jc w:val="center"/>
        </w:trPr>
        <w:tc>
          <w:tcPr>
            <w:tcW w:w="411" w:type="pct"/>
            <w:tcBorders>
              <w:top w:val="single" w:color="auto" w:sz="4" w:space="0"/>
              <w:left w:val="single" w:color="auto" w:sz="4" w:space="0"/>
              <w:bottom w:val="single" w:color="auto" w:sz="4" w:space="0"/>
              <w:right w:val="single" w:color="auto" w:sz="4" w:space="0"/>
              <w:tl2br w:val="nil"/>
              <w:tr2bl w:val="nil"/>
            </w:tcBorders>
            <w:vAlign w:val="center"/>
          </w:tcPr>
          <w:p w14:paraId="5C76C758">
            <w:pPr>
              <w:numPr>
                <w:ilvl w:val="0"/>
                <w:numId w:val="7"/>
              </w:numPr>
              <w:tabs>
                <w:tab w:val="left" w:pos="176"/>
                <w:tab w:val="left" w:pos="612"/>
              </w:tabs>
              <w:jc w:val="center"/>
              <w:rPr>
                <w:rFonts w:ascii="宋体" w:hAnsi="宋体" w:cs="宋体"/>
                <w:color w:val="auto"/>
                <w:szCs w:val="21"/>
                <w:highlight w:val="none"/>
              </w:rPr>
            </w:pPr>
          </w:p>
        </w:tc>
        <w:tc>
          <w:tcPr>
            <w:tcW w:w="4588" w:type="pct"/>
            <w:tcBorders>
              <w:top w:val="single" w:color="auto" w:sz="4" w:space="0"/>
              <w:left w:val="single" w:color="auto" w:sz="4" w:space="0"/>
              <w:bottom w:val="single" w:color="auto" w:sz="4" w:space="0"/>
              <w:right w:val="single" w:color="auto" w:sz="4" w:space="0"/>
              <w:tl2br w:val="nil"/>
              <w:tr2bl w:val="nil"/>
            </w:tcBorders>
            <w:vAlign w:val="center"/>
          </w:tcPr>
          <w:p w14:paraId="2998CC54">
            <w:pPr>
              <w:rPr>
                <w:rFonts w:hint="eastAsia" w:ascii="宋体" w:hAnsi="宋体"/>
                <w:color w:val="auto"/>
                <w:szCs w:val="21"/>
                <w:highlight w:val="none"/>
              </w:rPr>
            </w:pPr>
            <w:r>
              <w:rPr>
                <w:rFonts w:hint="eastAsia" w:ascii="宋体" w:hAnsi="宋体"/>
                <w:color w:val="auto"/>
                <w:szCs w:val="21"/>
                <w:highlight w:val="none"/>
                <w:lang w:val="en-US" w:eastAsia="zh-CN"/>
              </w:rPr>
              <w:t>投标人须提供投标截止日前6个月内任意1个月依法缴纳税收及无欠税的证明材料。如依法免税的，须提供相应证明材料。（证明材料须加盖</w:t>
            </w:r>
            <w:r>
              <w:rPr>
                <w:rFonts w:hint="eastAsia" w:ascii="宋体" w:hAnsi="宋体"/>
                <w:color w:val="auto"/>
                <w:szCs w:val="21"/>
                <w:highlight w:val="none"/>
              </w:rPr>
              <w:t>投标人</w:t>
            </w:r>
            <w:r>
              <w:rPr>
                <w:rFonts w:hint="eastAsia" w:ascii="宋体" w:hAnsi="宋体"/>
                <w:color w:val="auto"/>
                <w:szCs w:val="21"/>
                <w:highlight w:val="none"/>
                <w:lang w:val="en-US" w:eastAsia="zh-CN"/>
              </w:rPr>
              <w:t>公章）。</w:t>
            </w:r>
          </w:p>
        </w:tc>
      </w:tr>
    </w:tbl>
    <w:p w14:paraId="246432B6">
      <w:pPr>
        <w:widowControl w:val="0"/>
        <w:numPr>
          <w:ilvl w:val="1"/>
          <w:numId w:val="3"/>
        </w:numPr>
        <w:overflowPunct w:val="0"/>
        <w:rPr>
          <w:rFonts w:ascii="宋体" w:hAnsi="宋体" w:cs="宋体"/>
          <w:b/>
          <w:bCs/>
          <w:color w:val="auto"/>
          <w:szCs w:val="21"/>
          <w:highlight w:val="none"/>
        </w:rPr>
      </w:pPr>
      <w:r>
        <w:rPr>
          <w:rFonts w:hint="eastAsia" w:ascii="宋体" w:hAnsi="宋体" w:cs="宋体"/>
          <w:b/>
          <w:bCs/>
          <w:color w:val="auto"/>
          <w:szCs w:val="21"/>
          <w:highlight w:val="none"/>
        </w:rPr>
        <w:t>符合性检查</w:t>
      </w:r>
    </w:p>
    <w:p w14:paraId="530793BE">
      <w:pPr>
        <w:widowControl w:val="0"/>
        <w:overflowPunct w:val="0"/>
        <w:ind w:firstLine="420" w:firstLineChars="200"/>
        <w:rPr>
          <w:rFonts w:ascii="宋体" w:hAnsi="宋体" w:cs="宋体"/>
          <w:color w:val="auto"/>
          <w:szCs w:val="21"/>
          <w:highlight w:val="none"/>
        </w:rPr>
      </w:pPr>
      <w:r>
        <w:rPr>
          <w:rFonts w:hint="eastAsia" w:ascii="宋体" w:hAnsi="宋体" w:cs="宋体"/>
          <w:color w:val="auto"/>
          <w:szCs w:val="21"/>
          <w:highlight w:val="none"/>
        </w:rPr>
        <w:t>评标委员会将对符合资格的投标人的投标文件按《符合性审查表》进行符合性审查，以确定其是否满足采购文件的实质性要求。投标人必须严格按照《符合性审查表》的评审内容的要求如实提供证明材料并应加盖投标人公章，对缺漏或不符合项将直接导致无效投标。</w:t>
      </w:r>
    </w:p>
    <w:p w14:paraId="6CDE7E40">
      <w:pPr>
        <w:pStyle w:val="6"/>
        <w:jc w:val="center"/>
        <w:rPr>
          <w:rFonts w:ascii="Tahoma" w:hAnsi="Tahoma" w:cstheme="minorBidi"/>
          <w:b/>
          <w:bCs/>
          <w:color w:val="auto"/>
          <w:sz w:val="21"/>
          <w:highlight w:val="none"/>
          <w:lang w:val="en-US" w:bidi="ar-SA"/>
        </w:rPr>
      </w:pPr>
      <w:r>
        <w:rPr>
          <w:rFonts w:hint="eastAsia" w:ascii="Tahoma" w:hAnsi="Tahoma" w:cstheme="minorBidi"/>
          <w:b/>
          <w:bCs/>
          <w:color w:val="auto"/>
          <w:sz w:val="21"/>
          <w:highlight w:val="none"/>
          <w:lang w:val="en-US" w:bidi="ar-SA"/>
        </w:rPr>
        <w:t>《符合性审查表》</w:t>
      </w:r>
    </w:p>
    <w:tbl>
      <w:tblPr>
        <w:tblStyle w:val="16"/>
        <w:tblW w:w="4999" w:type="pct"/>
        <w:jc w:val="center"/>
        <w:tblLayout w:type="autofit"/>
        <w:tblCellMar>
          <w:top w:w="15" w:type="dxa"/>
          <w:left w:w="15" w:type="dxa"/>
          <w:bottom w:w="15" w:type="dxa"/>
          <w:right w:w="15" w:type="dxa"/>
        </w:tblCellMar>
      </w:tblPr>
      <w:tblGrid>
        <w:gridCol w:w="705"/>
        <w:gridCol w:w="7629"/>
      </w:tblGrid>
      <w:tr w14:paraId="7291B191">
        <w:tblPrEx>
          <w:tblCellMar>
            <w:top w:w="15" w:type="dxa"/>
            <w:left w:w="15" w:type="dxa"/>
            <w:bottom w:w="15" w:type="dxa"/>
            <w:right w:w="15" w:type="dxa"/>
          </w:tblCellMar>
        </w:tblPrEx>
        <w:trPr>
          <w:jc w:val="center"/>
        </w:trPr>
        <w:tc>
          <w:tcPr>
            <w:tcW w:w="423" w:type="pct"/>
            <w:tcBorders>
              <w:top w:val="single" w:color="000000" w:sz="4" w:space="0"/>
              <w:left w:val="single" w:color="000000" w:sz="4" w:space="0"/>
              <w:bottom w:val="single" w:color="000000" w:sz="4" w:space="0"/>
              <w:right w:val="single" w:color="000000" w:sz="4" w:space="0"/>
              <w:tl2br w:val="nil"/>
              <w:tr2bl w:val="nil"/>
            </w:tcBorders>
            <w:vAlign w:val="center"/>
          </w:tcPr>
          <w:p w14:paraId="16638C94">
            <w:pPr>
              <w:jc w:val="center"/>
              <w:textAlignment w:val="center"/>
              <w:rPr>
                <w:rFonts w:ascii="宋体" w:hAnsi="宋体" w:cs="宋体"/>
                <w:b/>
                <w:bCs/>
                <w:color w:val="auto"/>
                <w:szCs w:val="21"/>
                <w:highlight w:val="none"/>
              </w:rPr>
            </w:pPr>
            <w:r>
              <w:rPr>
                <w:rFonts w:hint="eastAsia" w:ascii="宋体" w:hAnsi="宋体" w:cs="宋体"/>
                <w:b/>
                <w:bCs/>
                <w:color w:val="auto"/>
                <w:szCs w:val="21"/>
                <w:highlight w:val="none"/>
              </w:rPr>
              <w:t>序号</w:t>
            </w:r>
          </w:p>
        </w:tc>
        <w:tc>
          <w:tcPr>
            <w:tcW w:w="4576" w:type="pct"/>
            <w:tcBorders>
              <w:top w:val="single" w:color="000000" w:sz="4" w:space="0"/>
              <w:left w:val="single" w:color="000000" w:sz="4" w:space="0"/>
              <w:bottom w:val="single" w:color="000000" w:sz="4" w:space="0"/>
              <w:right w:val="single" w:color="000000" w:sz="4" w:space="0"/>
              <w:tl2br w:val="nil"/>
              <w:tr2bl w:val="nil"/>
            </w:tcBorders>
            <w:vAlign w:val="center"/>
          </w:tcPr>
          <w:p w14:paraId="71B1E37D">
            <w:pPr>
              <w:jc w:val="center"/>
              <w:textAlignment w:val="center"/>
              <w:rPr>
                <w:rFonts w:ascii="宋体" w:hAnsi="宋体" w:cs="宋体"/>
                <w:b/>
                <w:bCs/>
                <w:color w:val="auto"/>
                <w:szCs w:val="21"/>
                <w:highlight w:val="none"/>
              </w:rPr>
            </w:pPr>
            <w:r>
              <w:rPr>
                <w:rFonts w:hint="eastAsia" w:ascii="宋体" w:hAnsi="宋体" w:cs="宋体"/>
                <w:b/>
                <w:bCs/>
                <w:color w:val="auto"/>
                <w:szCs w:val="21"/>
                <w:highlight w:val="none"/>
              </w:rPr>
              <w:t>评 审 内 容</w:t>
            </w:r>
          </w:p>
        </w:tc>
      </w:tr>
      <w:tr w14:paraId="55D37D5A">
        <w:tblPrEx>
          <w:tblCellMar>
            <w:top w:w="15" w:type="dxa"/>
            <w:left w:w="15" w:type="dxa"/>
            <w:bottom w:w="15" w:type="dxa"/>
            <w:right w:w="15" w:type="dxa"/>
          </w:tblCellMar>
        </w:tblPrEx>
        <w:trPr>
          <w:jc w:val="center"/>
        </w:trPr>
        <w:tc>
          <w:tcPr>
            <w:tcW w:w="423" w:type="pct"/>
            <w:tcBorders>
              <w:top w:val="single" w:color="000000" w:sz="4" w:space="0"/>
              <w:left w:val="single" w:color="000000" w:sz="4" w:space="0"/>
              <w:bottom w:val="single" w:color="000000" w:sz="4" w:space="0"/>
              <w:right w:val="single" w:color="000000" w:sz="4" w:space="0"/>
              <w:tl2br w:val="nil"/>
              <w:tr2bl w:val="nil"/>
            </w:tcBorders>
            <w:vAlign w:val="center"/>
          </w:tcPr>
          <w:p w14:paraId="4950811A">
            <w:pPr>
              <w:jc w:val="center"/>
              <w:textAlignment w:val="center"/>
              <w:rPr>
                <w:rFonts w:ascii="宋体" w:hAnsi="宋体" w:cs="宋体"/>
                <w:color w:val="auto"/>
                <w:szCs w:val="21"/>
                <w:highlight w:val="none"/>
                <w:lang w:bidi="ar"/>
              </w:rPr>
            </w:pPr>
            <w:r>
              <w:rPr>
                <w:rFonts w:hint="eastAsia" w:ascii="宋体" w:hAnsi="宋体" w:cs="宋体"/>
                <w:color w:val="auto"/>
                <w:szCs w:val="21"/>
                <w:highlight w:val="none"/>
                <w:lang w:bidi="ar"/>
              </w:rPr>
              <w:t>1</w:t>
            </w:r>
          </w:p>
        </w:tc>
        <w:tc>
          <w:tcPr>
            <w:tcW w:w="4576" w:type="pct"/>
            <w:tcBorders>
              <w:top w:val="single" w:color="000000" w:sz="4" w:space="0"/>
              <w:left w:val="single" w:color="000000" w:sz="4" w:space="0"/>
              <w:bottom w:val="single" w:color="000000" w:sz="4" w:space="0"/>
              <w:right w:val="single" w:color="000000" w:sz="4" w:space="0"/>
              <w:tl2br w:val="nil"/>
              <w:tr2bl w:val="nil"/>
            </w:tcBorders>
            <w:vAlign w:val="center"/>
          </w:tcPr>
          <w:p w14:paraId="1231B258">
            <w:pPr>
              <w:textAlignment w:val="center"/>
              <w:rPr>
                <w:rFonts w:ascii="宋体" w:hAnsi="宋体" w:cs="宋体"/>
                <w:color w:val="auto"/>
                <w:szCs w:val="21"/>
                <w:highlight w:val="none"/>
                <w:lang w:bidi="ar"/>
              </w:rPr>
            </w:pPr>
            <w:r>
              <w:rPr>
                <w:rFonts w:hint="eastAsia" w:ascii="宋体" w:hAnsi="宋体" w:cs="宋体"/>
                <w:color w:val="auto"/>
                <w:szCs w:val="21"/>
                <w:highlight w:val="none"/>
                <w:lang w:bidi="ar"/>
              </w:rPr>
              <w:t>投标人按照采购文件要求提交投标保证金；</w:t>
            </w:r>
          </w:p>
        </w:tc>
      </w:tr>
      <w:tr w14:paraId="1849B53C">
        <w:tblPrEx>
          <w:tblCellMar>
            <w:top w:w="15" w:type="dxa"/>
            <w:left w:w="15" w:type="dxa"/>
            <w:bottom w:w="15" w:type="dxa"/>
            <w:right w:w="15" w:type="dxa"/>
          </w:tblCellMar>
        </w:tblPrEx>
        <w:trPr>
          <w:jc w:val="center"/>
        </w:trPr>
        <w:tc>
          <w:tcPr>
            <w:tcW w:w="423" w:type="pct"/>
            <w:tcBorders>
              <w:top w:val="single" w:color="000000" w:sz="4" w:space="0"/>
              <w:left w:val="single" w:color="000000" w:sz="4" w:space="0"/>
              <w:bottom w:val="single" w:color="000000" w:sz="4" w:space="0"/>
              <w:right w:val="single" w:color="000000" w:sz="4" w:space="0"/>
              <w:tl2br w:val="nil"/>
              <w:tr2bl w:val="nil"/>
            </w:tcBorders>
            <w:vAlign w:val="center"/>
          </w:tcPr>
          <w:p w14:paraId="71CB07D7">
            <w:pPr>
              <w:jc w:val="center"/>
              <w:textAlignment w:val="center"/>
              <w:rPr>
                <w:rFonts w:ascii="宋体" w:hAnsi="宋体" w:cs="宋体"/>
                <w:color w:val="auto"/>
                <w:szCs w:val="21"/>
                <w:highlight w:val="none"/>
              </w:rPr>
            </w:pPr>
            <w:r>
              <w:rPr>
                <w:rFonts w:hint="eastAsia" w:ascii="宋体" w:hAnsi="宋体" w:cs="宋体"/>
                <w:color w:val="auto"/>
                <w:szCs w:val="21"/>
                <w:highlight w:val="none"/>
                <w:lang w:bidi="ar"/>
              </w:rPr>
              <w:t>2</w:t>
            </w:r>
          </w:p>
        </w:tc>
        <w:tc>
          <w:tcPr>
            <w:tcW w:w="4576" w:type="pct"/>
            <w:tcBorders>
              <w:top w:val="single" w:color="000000" w:sz="4" w:space="0"/>
              <w:left w:val="single" w:color="000000" w:sz="4" w:space="0"/>
              <w:bottom w:val="single" w:color="000000" w:sz="4" w:space="0"/>
              <w:right w:val="single" w:color="000000" w:sz="4" w:space="0"/>
              <w:tl2br w:val="nil"/>
              <w:tr2bl w:val="nil"/>
            </w:tcBorders>
            <w:vAlign w:val="center"/>
          </w:tcPr>
          <w:p w14:paraId="649C2DE1">
            <w:pPr>
              <w:textAlignment w:val="center"/>
              <w:rPr>
                <w:rFonts w:ascii="宋体" w:hAnsi="宋体" w:cs="宋体"/>
                <w:color w:val="auto"/>
                <w:szCs w:val="21"/>
                <w:highlight w:val="none"/>
              </w:rPr>
            </w:pPr>
            <w:r>
              <w:rPr>
                <w:rFonts w:hint="eastAsia" w:ascii="宋体" w:hAnsi="宋体" w:cs="宋体"/>
                <w:color w:val="auto"/>
                <w:szCs w:val="21"/>
                <w:highlight w:val="none"/>
                <w:lang w:bidi="ar"/>
              </w:rPr>
              <w:t>投标文件按照采购文件要求签署盖章；</w:t>
            </w:r>
          </w:p>
        </w:tc>
      </w:tr>
      <w:tr w14:paraId="0C9F8F4F">
        <w:tblPrEx>
          <w:tblCellMar>
            <w:top w:w="15" w:type="dxa"/>
            <w:left w:w="15" w:type="dxa"/>
            <w:bottom w:w="15" w:type="dxa"/>
            <w:right w:w="15" w:type="dxa"/>
          </w:tblCellMar>
        </w:tblPrEx>
        <w:trPr>
          <w:jc w:val="center"/>
        </w:trPr>
        <w:tc>
          <w:tcPr>
            <w:tcW w:w="423" w:type="pct"/>
            <w:tcBorders>
              <w:top w:val="single" w:color="000000" w:sz="4" w:space="0"/>
              <w:left w:val="single" w:color="000000" w:sz="4" w:space="0"/>
              <w:bottom w:val="single" w:color="000000" w:sz="4" w:space="0"/>
              <w:right w:val="single" w:color="000000" w:sz="4" w:space="0"/>
              <w:tl2br w:val="nil"/>
              <w:tr2bl w:val="nil"/>
            </w:tcBorders>
            <w:vAlign w:val="center"/>
          </w:tcPr>
          <w:p w14:paraId="2E59E81E">
            <w:pPr>
              <w:jc w:val="center"/>
              <w:textAlignment w:val="center"/>
              <w:rPr>
                <w:rFonts w:ascii="宋体" w:hAnsi="宋体" w:cs="宋体"/>
                <w:color w:val="auto"/>
                <w:szCs w:val="21"/>
                <w:highlight w:val="none"/>
              </w:rPr>
            </w:pPr>
            <w:r>
              <w:rPr>
                <w:rFonts w:hint="eastAsia" w:ascii="宋体" w:hAnsi="宋体" w:cs="宋体"/>
                <w:color w:val="auto"/>
                <w:szCs w:val="21"/>
                <w:highlight w:val="none"/>
                <w:lang w:bidi="ar"/>
              </w:rPr>
              <w:t>3</w:t>
            </w:r>
          </w:p>
        </w:tc>
        <w:tc>
          <w:tcPr>
            <w:tcW w:w="4576" w:type="pct"/>
            <w:tcBorders>
              <w:top w:val="single" w:color="000000" w:sz="4" w:space="0"/>
              <w:left w:val="single" w:color="000000" w:sz="4" w:space="0"/>
              <w:bottom w:val="single" w:color="000000" w:sz="4" w:space="0"/>
              <w:right w:val="single" w:color="000000" w:sz="4" w:space="0"/>
              <w:tl2br w:val="nil"/>
              <w:tr2bl w:val="nil"/>
            </w:tcBorders>
            <w:vAlign w:val="center"/>
          </w:tcPr>
          <w:p w14:paraId="6D1652DE">
            <w:pPr>
              <w:textAlignment w:val="center"/>
              <w:rPr>
                <w:rFonts w:ascii="宋体" w:hAnsi="宋体" w:cs="宋体"/>
                <w:color w:val="auto"/>
                <w:szCs w:val="21"/>
                <w:highlight w:val="none"/>
              </w:rPr>
            </w:pPr>
            <w:r>
              <w:rPr>
                <w:rFonts w:hint="eastAsia" w:ascii="宋体" w:hAnsi="宋体" w:cs="宋体"/>
                <w:color w:val="auto"/>
                <w:szCs w:val="21"/>
                <w:highlight w:val="none"/>
                <w:lang w:bidi="ar"/>
              </w:rPr>
              <w:t>投标总价未超出采购预算或最高限价；</w:t>
            </w:r>
          </w:p>
        </w:tc>
      </w:tr>
      <w:tr w14:paraId="65820196">
        <w:tblPrEx>
          <w:tblCellMar>
            <w:top w:w="15" w:type="dxa"/>
            <w:left w:w="15" w:type="dxa"/>
            <w:bottom w:w="15" w:type="dxa"/>
            <w:right w:w="15" w:type="dxa"/>
          </w:tblCellMar>
        </w:tblPrEx>
        <w:trPr>
          <w:jc w:val="center"/>
        </w:trPr>
        <w:tc>
          <w:tcPr>
            <w:tcW w:w="423" w:type="pct"/>
            <w:tcBorders>
              <w:top w:val="single" w:color="000000" w:sz="4" w:space="0"/>
              <w:left w:val="single" w:color="000000" w:sz="4" w:space="0"/>
              <w:bottom w:val="single" w:color="000000" w:sz="4" w:space="0"/>
              <w:right w:val="single" w:color="000000" w:sz="4" w:space="0"/>
              <w:tl2br w:val="nil"/>
              <w:tr2bl w:val="nil"/>
            </w:tcBorders>
            <w:vAlign w:val="center"/>
          </w:tcPr>
          <w:p w14:paraId="7E673085">
            <w:pPr>
              <w:jc w:val="center"/>
              <w:textAlignment w:val="center"/>
              <w:rPr>
                <w:rFonts w:ascii="宋体" w:hAnsi="宋体" w:cs="宋体"/>
                <w:color w:val="auto"/>
                <w:szCs w:val="21"/>
                <w:highlight w:val="none"/>
                <w:lang w:bidi="ar"/>
              </w:rPr>
            </w:pPr>
            <w:r>
              <w:rPr>
                <w:rFonts w:hint="eastAsia" w:ascii="宋体" w:hAnsi="宋体" w:cs="宋体"/>
                <w:color w:val="auto"/>
                <w:szCs w:val="21"/>
                <w:highlight w:val="none"/>
                <w:lang w:bidi="ar"/>
              </w:rPr>
              <w:t>4</w:t>
            </w:r>
          </w:p>
        </w:tc>
        <w:tc>
          <w:tcPr>
            <w:tcW w:w="4576" w:type="pct"/>
            <w:tcBorders>
              <w:top w:val="single" w:color="000000" w:sz="4" w:space="0"/>
              <w:left w:val="single" w:color="000000" w:sz="4" w:space="0"/>
              <w:bottom w:val="single" w:color="000000" w:sz="4" w:space="0"/>
              <w:right w:val="single" w:color="000000" w:sz="4" w:space="0"/>
              <w:tl2br w:val="nil"/>
              <w:tr2bl w:val="nil"/>
            </w:tcBorders>
            <w:vAlign w:val="center"/>
          </w:tcPr>
          <w:p w14:paraId="6F67D0A7">
            <w:pPr>
              <w:textAlignment w:val="center"/>
              <w:rPr>
                <w:rFonts w:ascii="宋体" w:hAnsi="宋体" w:cs="宋体"/>
                <w:color w:val="auto"/>
                <w:szCs w:val="21"/>
                <w:highlight w:val="none"/>
                <w:lang w:bidi="ar"/>
              </w:rPr>
            </w:pPr>
            <w:r>
              <w:rPr>
                <w:rFonts w:hint="eastAsia" w:ascii="宋体" w:hAnsi="宋体" w:cs="宋体"/>
                <w:color w:val="auto"/>
                <w:szCs w:val="21"/>
                <w:highlight w:val="none"/>
                <w:lang w:bidi="ar"/>
              </w:rPr>
              <w:t>投标文件未含有采购人不能接受的附加条件；</w:t>
            </w:r>
          </w:p>
        </w:tc>
      </w:tr>
      <w:tr w14:paraId="156ECF15">
        <w:tblPrEx>
          <w:tblCellMar>
            <w:top w:w="15" w:type="dxa"/>
            <w:left w:w="15" w:type="dxa"/>
            <w:bottom w:w="15" w:type="dxa"/>
            <w:right w:w="15" w:type="dxa"/>
          </w:tblCellMar>
        </w:tblPrEx>
        <w:trPr>
          <w:jc w:val="center"/>
        </w:trPr>
        <w:tc>
          <w:tcPr>
            <w:tcW w:w="423" w:type="pct"/>
            <w:tcBorders>
              <w:top w:val="single" w:color="000000" w:sz="4" w:space="0"/>
              <w:left w:val="single" w:color="000000" w:sz="4" w:space="0"/>
              <w:bottom w:val="single" w:color="000000" w:sz="4" w:space="0"/>
              <w:right w:val="single" w:color="000000" w:sz="4" w:space="0"/>
              <w:tl2br w:val="nil"/>
              <w:tr2bl w:val="nil"/>
            </w:tcBorders>
            <w:vAlign w:val="center"/>
          </w:tcPr>
          <w:p w14:paraId="2BAFB483">
            <w:pPr>
              <w:jc w:val="center"/>
              <w:textAlignment w:val="center"/>
              <w:rPr>
                <w:rFonts w:ascii="宋体" w:hAnsi="宋体" w:cs="宋体"/>
                <w:color w:val="auto"/>
                <w:szCs w:val="21"/>
                <w:highlight w:val="none"/>
              </w:rPr>
            </w:pPr>
            <w:r>
              <w:rPr>
                <w:rFonts w:hint="eastAsia" w:ascii="宋体" w:hAnsi="宋体" w:cs="宋体"/>
                <w:color w:val="auto"/>
                <w:szCs w:val="21"/>
                <w:highlight w:val="none"/>
                <w:lang w:bidi="ar"/>
              </w:rPr>
              <w:t>5</w:t>
            </w:r>
          </w:p>
        </w:tc>
        <w:tc>
          <w:tcPr>
            <w:tcW w:w="4576" w:type="pct"/>
            <w:tcBorders>
              <w:top w:val="single" w:color="000000" w:sz="4" w:space="0"/>
              <w:left w:val="single" w:color="000000" w:sz="4" w:space="0"/>
              <w:bottom w:val="single" w:color="000000" w:sz="4" w:space="0"/>
              <w:right w:val="single" w:color="000000" w:sz="4" w:space="0"/>
              <w:tl2br w:val="nil"/>
              <w:tr2bl w:val="nil"/>
            </w:tcBorders>
            <w:vAlign w:val="center"/>
          </w:tcPr>
          <w:p w14:paraId="66BCFCD8">
            <w:pPr>
              <w:textAlignment w:val="center"/>
              <w:rPr>
                <w:rFonts w:ascii="宋体" w:hAnsi="宋体" w:cs="宋体"/>
                <w:color w:val="auto"/>
                <w:szCs w:val="21"/>
                <w:highlight w:val="none"/>
              </w:rPr>
            </w:pPr>
            <w:r>
              <w:rPr>
                <w:rFonts w:hint="eastAsia" w:ascii="宋体" w:hAnsi="宋体" w:cs="宋体"/>
                <w:color w:val="auto"/>
                <w:szCs w:val="21"/>
                <w:highlight w:val="none"/>
                <w:lang w:bidi="ar"/>
              </w:rPr>
              <w:t>无负偏离标注“★”符号的条款。</w:t>
            </w:r>
          </w:p>
        </w:tc>
      </w:tr>
      <w:tr w14:paraId="48078557">
        <w:tblPrEx>
          <w:tblCellMar>
            <w:top w:w="15" w:type="dxa"/>
            <w:left w:w="15" w:type="dxa"/>
            <w:bottom w:w="15" w:type="dxa"/>
            <w:right w:w="15" w:type="dxa"/>
          </w:tblCellMar>
        </w:tblPrEx>
        <w:trPr>
          <w:jc w:val="center"/>
        </w:trPr>
        <w:tc>
          <w:tcPr>
            <w:tcW w:w="423" w:type="pct"/>
            <w:tcBorders>
              <w:top w:val="single" w:color="000000" w:sz="4" w:space="0"/>
              <w:left w:val="single" w:color="000000" w:sz="4" w:space="0"/>
              <w:bottom w:val="single" w:color="000000" w:sz="4" w:space="0"/>
              <w:right w:val="single" w:color="000000" w:sz="4" w:space="0"/>
              <w:tl2br w:val="nil"/>
              <w:tr2bl w:val="nil"/>
            </w:tcBorders>
            <w:vAlign w:val="center"/>
          </w:tcPr>
          <w:p w14:paraId="7C07684C">
            <w:pPr>
              <w:jc w:val="center"/>
              <w:textAlignment w:val="center"/>
              <w:rPr>
                <w:rFonts w:ascii="宋体" w:hAnsi="宋体" w:cs="宋体"/>
                <w:color w:val="auto"/>
                <w:szCs w:val="21"/>
                <w:highlight w:val="none"/>
              </w:rPr>
            </w:pPr>
            <w:r>
              <w:rPr>
                <w:rFonts w:hint="eastAsia" w:ascii="宋体" w:hAnsi="宋体" w:cs="宋体"/>
                <w:color w:val="auto"/>
                <w:szCs w:val="21"/>
                <w:highlight w:val="none"/>
              </w:rPr>
              <w:t>6</w:t>
            </w:r>
          </w:p>
        </w:tc>
        <w:tc>
          <w:tcPr>
            <w:tcW w:w="4576" w:type="pct"/>
            <w:tcBorders>
              <w:top w:val="single" w:color="000000" w:sz="4" w:space="0"/>
              <w:left w:val="single" w:color="000000" w:sz="4" w:space="0"/>
              <w:bottom w:val="single" w:color="000000" w:sz="4" w:space="0"/>
              <w:right w:val="single" w:color="000000" w:sz="4" w:space="0"/>
              <w:tl2br w:val="nil"/>
              <w:tr2bl w:val="nil"/>
            </w:tcBorders>
            <w:vAlign w:val="center"/>
          </w:tcPr>
          <w:p w14:paraId="3CD8ED7B">
            <w:pPr>
              <w:textAlignment w:val="center"/>
              <w:rPr>
                <w:rFonts w:ascii="宋体" w:hAnsi="宋体" w:cs="宋体"/>
                <w:color w:val="auto"/>
                <w:szCs w:val="21"/>
                <w:highlight w:val="none"/>
                <w:lang w:bidi="ar"/>
              </w:rPr>
            </w:pPr>
            <w:r>
              <w:rPr>
                <w:rFonts w:hint="eastAsia" w:ascii="宋体" w:hAnsi="宋体" w:cs="宋体"/>
                <w:color w:val="auto"/>
                <w:szCs w:val="21"/>
                <w:highlight w:val="none"/>
              </w:rPr>
              <w:t>未出现</w:t>
            </w:r>
            <w:r>
              <w:rPr>
                <w:rFonts w:hint="eastAsia" w:ascii="宋体" w:hAnsi="宋体" w:cs="宋体"/>
                <w:color w:val="auto"/>
                <w:szCs w:val="21"/>
                <w:highlight w:val="none"/>
                <w:lang w:bidi="ar"/>
              </w:rPr>
              <w:t>法律、法规和采购文件规定的其他无效情形。</w:t>
            </w:r>
          </w:p>
        </w:tc>
      </w:tr>
    </w:tbl>
    <w:p w14:paraId="2CC61839">
      <w:pPr>
        <w:widowControl w:val="0"/>
        <w:overflowPunct w:val="0"/>
        <w:ind w:firstLine="420" w:firstLineChars="200"/>
        <w:rPr>
          <w:rFonts w:ascii="宋体" w:hAnsi="宋体"/>
          <w:color w:val="auto"/>
          <w:szCs w:val="21"/>
          <w:highlight w:val="none"/>
        </w:rPr>
      </w:pPr>
      <w:r>
        <w:rPr>
          <w:rFonts w:hint="eastAsia" w:ascii="宋体" w:hAnsi="宋体"/>
          <w:color w:val="auto"/>
          <w:szCs w:val="21"/>
          <w:highlight w:val="none"/>
        </w:rPr>
        <w:t>以上资格性检查、符合性检查中带有不合格分项的投标文件，将作无效标处理。经评标委员会确认的无效投标文件，采购人和采购代理机构将予以拒绝，并且不允许通过修正或撤消其不符合要求的差异，使之成为具有符合性的投标文件。经评标委员会符合性审查确认具有有效投标文件的投标人不足三家时将重新组织采购。</w:t>
      </w:r>
    </w:p>
    <w:p w14:paraId="161CEDFA">
      <w:pPr>
        <w:widowControl w:val="0"/>
        <w:numPr>
          <w:ilvl w:val="1"/>
          <w:numId w:val="3"/>
        </w:numPr>
        <w:overflowPunct w:val="0"/>
        <w:rPr>
          <w:rFonts w:ascii="宋体" w:hAnsi="宋体" w:cs="宋体"/>
          <w:b/>
          <w:bCs/>
          <w:color w:val="auto"/>
          <w:szCs w:val="21"/>
          <w:highlight w:val="none"/>
        </w:rPr>
      </w:pPr>
      <w:r>
        <w:rPr>
          <w:rFonts w:hint="eastAsia" w:ascii="宋体" w:hAnsi="宋体" w:cs="宋体"/>
          <w:b/>
          <w:bCs/>
          <w:color w:val="auto"/>
          <w:szCs w:val="21"/>
          <w:highlight w:val="none"/>
        </w:rPr>
        <w:t>投标文件报价出现前后不一致的，评标委员会按照下列规定修正：</w:t>
      </w:r>
    </w:p>
    <w:p w14:paraId="4FF62E07">
      <w:pPr>
        <w:widowControl w:val="0"/>
        <w:numPr>
          <w:ilvl w:val="0"/>
          <w:numId w:val="8"/>
        </w:numPr>
        <w:overflowPunct w:val="0"/>
        <w:rPr>
          <w:rFonts w:ascii="宋体" w:hAnsi="宋体" w:cs="宋体"/>
          <w:color w:val="auto"/>
          <w:szCs w:val="21"/>
          <w:highlight w:val="none"/>
        </w:rPr>
      </w:pPr>
      <w:r>
        <w:rPr>
          <w:rFonts w:hint="eastAsia" w:ascii="宋体" w:hAnsi="宋体" w:cs="宋体"/>
          <w:color w:val="auto"/>
          <w:szCs w:val="21"/>
          <w:highlight w:val="none"/>
        </w:rPr>
        <w:t>投标文件中开标一览表（报价表）内容与投标文件中相应内容不一致的，以开标一览表（报价表）为准；</w:t>
      </w:r>
    </w:p>
    <w:p w14:paraId="6028615A">
      <w:pPr>
        <w:widowControl w:val="0"/>
        <w:numPr>
          <w:ilvl w:val="0"/>
          <w:numId w:val="8"/>
        </w:numPr>
        <w:overflowPunct w:val="0"/>
        <w:rPr>
          <w:rFonts w:ascii="宋体" w:hAnsi="宋体" w:cs="宋体"/>
          <w:color w:val="auto"/>
          <w:szCs w:val="21"/>
          <w:highlight w:val="none"/>
        </w:rPr>
      </w:pPr>
      <w:r>
        <w:rPr>
          <w:rFonts w:hint="eastAsia" w:ascii="宋体" w:hAnsi="宋体" w:cs="宋体"/>
          <w:color w:val="auto"/>
          <w:szCs w:val="21"/>
          <w:highlight w:val="none"/>
        </w:rPr>
        <w:t>大写金额和小写金额不一致的，以大写金额为准；</w:t>
      </w:r>
    </w:p>
    <w:p w14:paraId="286AF13A">
      <w:pPr>
        <w:widowControl w:val="0"/>
        <w:numPr>
          <w:ilvl w:val="0"/>
          <w:numId w:val="8"/>
        </w:numPr>
        <w:overflowPunct w:val="0"/>
        <w:rPr>
          <w:rFonts w:ascii="宋体" w:hAnsi="宋体" w:cs="宋体"/>
          <w:color w:val="auto"/>
          <w:szCs w:val="21"/>
          <w:highlight w:val="none"/>
        </w:rPr>
      </w:pPr>
      <w:r>
        <w:rPr>
          <w:rFonts w:hint="eastAsia" w:ascii="宋体" w:hAnsi="宋体" w:cs="宋体"/>
          <w:color w:val="auto"/>
          <w:szCs w:val="21"/>
          <w:highlight w:val="none"/>
        </w:rPr>
        <w:t>单价金额小数点或者百分比有明显错位的，以开标一览表的总价为准，并修改单价；</w:t>
      </w:r>
    </w:p>
    <w:p w14:paraId="3FB44523">
      <w:pPr>
        <w:widowControl w:val="0"/>
        <w:numPr>
          <w:ilvl w:val="0"/>
          <w:numId w:val="8"/>
        </w:numPr>
        <w:overflowPunct w:val="0"/>
        <w:rPr>
          <w:rFonts w:ascii="宋体" w:hAnsi="宋体" w:cs="宋体"/>
          <w:color w:val="auto"/>
          <w:szCs w:val="21"/>
          <w:highlight w:val="none"/>
        </w:rPr>
      </w:pPr>
      <w:r>
        <w:rPr>
          <w:rFonts w:hint="eastAsia" w:ascii="宋体" w:hAnsi="宋体" w:cs="宋体"/>
          <w:color w:val="auto"/>
          <w:szCs w:val="21"/>
          <w:highlight w:val="none"/>
        </w:rPr>
        <w:t>总价金额与按单价汇总金额不一致的，以单价金额计算结果为准。</w:t>
      </w:r>
    </w:p>
    <w:p w14:paraId="5E8F59DE">
      <w:pPr>
        <w:widowControl w:val="0"/>
        <w:numPr>
          <w:ilvl w:val="0"/>
          <w:numId w:val="8"/>
        </w:numPr>
        <w:overflowPunct w:val="0"/>
        <w:rPr>
          <w:rFonts w:ascii="宋体" w:hAnsi="宋体" w:cs="宋体"/>
          <w:color w:val="auto"/>
          <w:szCs w:val="21"/>
          <w:highlight w:val="none"/>
        </w:rPr>
      </w:pPr>
      <w:r>
        <w:rPr>
          <w:rFonts w:hint="eastAsia" w:ascii="宋体" w:hAnsi="宋体" w:cs="宋体"/>
          <w:color w:val="auto"/>
          <w:szCs w:val="21"/>
          <w:highlight w:val="none"/>
        </w:rPr>
        <w:t>同时出现两种以上不一致的，按照前款规定的顺序修正。修正后的报价按照经投标人确认后产生约束力，投标人不确认的，其投标无效。</w:t>
      </w:r>
    </w:p>
    <w:p w14:paraId="362AD8EB">
      <w:pPr>
        <w:widowControl w:val="0"/>
        <w:numPr>
          <w:ilvl w:val="0"/>
          <w:numId w:val="8"/>
        </w:numPr>
        <w:overflowPunct w:val="0"/>
        <w:rPr>
          <w:rFonts w:ascii="宋体" w:hAnsi="宋体" w:cs="宋体"/>
          <w:color w:val="auto"/>
          <w:szCs w:val="21"/>
          <w:highlight w:val="none"/>
        </w:rPr>
      </w:pPr>
      <w:r>
        <w:rPr>
          <w:rFonts w:hint="eastAsia" w:ascii="宋体" w:hAnsi="宋体" w:cs="宋体"/>
          <w:color w:val="auto"/>
          <w:szCs w:val="21"/>
          <w:highlight w:val="none"/>
        </w:rPr>
        <w:t>评标委员会认为投标人的报价明显低于其他通过符合性审查投标人的报价，有可能影响产品质量或者不能诚信履约的，应当要求其在评标现场合理的时间内提供书面说明（以现场通知时间为准），必要时提交相关证明材料；投标人不能证明其报价合理性的，评标委员会应当将其作为无效投标处理。</w:t>
      </w:r>
    </w:p>
    <w:p w14:paraId="0319CAA5">
      <w:pPr>
        <w:widowControl w:val="0"/>
        <w:numPr>
          <w:ilvl w:val="0"/>
          <w:numId w:val="8"/>
        </w:numPr>
        <w:overflowPunct w:val="0"/>
        <w:rPr>
          <w:rFonts w:ascii="宋体" w:hAnsi="宋体" w:cs="宋体"/>
          <w:color w:val="auto"/>
          <w:szCs w:val="21"/>
          <w:highlight w:val="none"/>
        </w:rPr>
      </w:pPr>
      <w:r>
        <w:rPr>
          <w:rFonts w:hint="eastAsia" w:ascii="宋体" w:hAnsi="宋体" w:cs="宋体"/>
          <w:color w:val="auto"/>
          <w:szCs w:val="21"/>
          <w:highlight w:val="none"/>
        </w:rPr>
        <w:t>对于投标文件中不构成实质性偏差的不正规、不一致或不规则，评标委员会可以接受，但这种接受不能损害或影响任何投标人的相对排序。</w:t>
      </w:r>
    </w:p>
    <w:p w14:paraId="6DCF6A9E">
      <w:pPr>
        <w:widowControl w:val="0"/>
        <w:numPr>
          <w:ilvl w:val="0"/>
          <w:numId w:val="8"/>
        </w:numPr>
        <w:overflowPunct w:val="0"/>
        <w:rPr>
          <w:rFonts w:ascii="宋体" w:hAnsi="宋体" w:cs="宋体"/>
          <w:color w:val="auto"/>
          <w:szCs w:val="21"/>
          <w:highlight w:val="none"/>
        </w:rPr>
      </w:pPr>
      <w:r>
        <w:rPr>
          <w:rFonts w:hint="eastAsia" w:ascii="宋体" w:hAnsi="宋体" w:cs="宋体"/>
          <w:color w:val="auto"/>
          <w:szCs w:val="21"/>
          <w:highlight w:val="none"/>
        </w:rPr>
        <w:t>在详细评标之前，评标委员会要审查每份投标文件是否实质上响应了采购文件的要求。实质上响应的投标应该是与采购文件要求的全部主要条款（加“★”号）、条件和规格相符，没有重大偏离的投标。对关键条文的偏离、保留或反对，例如关于投标保证金、合同条款的重大偏离将被认为是实质上的偏离。评标委员会决定投标文件的响应性只根据投标文件本身的内容，而不寻求外部的证据。</w:t>
      </w:r>
    </w:p>
    <w:p w14:paraId="6E09CD20">
      <w:pPr>
        <w:pStyle w:val="6"/>
        <w:rPr>
          <w:color w:val="auto"/>
          <w:highlight w:val="none"/>
        </w:rPr>
      </w:pPr>
    </w:p>
    <w:p w14:paraId="652DD3E7">
      <w:pPr>
        <w:pStyle w:val="4"/>
        <w:widowControl w:val="0"/>
        <w:numPr>
          <w:ilvl w:val="0"/>
          <w:numId w:val="3"/>
        </w:numPr>
        <w:overflowPunct w:val="0"/>
        <w:rPr>
          <w:rFonts w:ascii="宋体" w:hAnsi="宋体" w:cs="宋体"/>
          <w:color w:val="auto"/>
          <w:sz w:val="21"/>
          <w:szCs w:val="21"/>
          <w:highlight w:val="none"/>
        </w:rPr>
      </w:pPr>
      <w:bookmarkStart w:id="141" w:name="_Toc2985"/>
      <w:bookmarkStart w:id="142" w:name="_Toc4799"/>
      <w:bookmarkStart w:id="143" w:name="_Toc11415"/>
      <w:r>
        <w:rPr>
          <w:rFonts w:hint="eastAsia" w:ascii="宋体" w:hAnsi="宋体" w:cs="宋体"/>
          <w:color w:val="auto"/>
          <w:sz w:val="21"/>
          <w:szCs w:val="21"/>
          <w:highlight w:val="none"/>
        </w:rPr>
        <w:t>商务、技术、价格评审（本条款不适用于本项目）</w:t>
      </w:r>
      <w:bookmarkEnd w:id="141"/>
      <w:bookmarkEnd w:id="142"/>
      <w:bookmarkEnd w:id="143"/>
    </w:p>
    <w:p w14:paraId="16238ED6">
      <w:pPr>
        <w:pStyle w:val="20"/>
        <w:widowControl w:val="0"/>
        <w:numPr>
          <w:ilvl w:val="0"/>
          <w:numId w:val="4"/>
        </w:numPr>
        <w:tabs>
          <w:tab w:val="left" w:pos="907"/>
        </w:tabs>
        <w:adjustRightInd/>
        <w:snapToGrid/>
        <w:ind w:firstLineChars="0"/>
        <w:jc w:val="both"/>
        <w:rPr>
          <w:rFonts w:ascii="宋体" w:hAnsi="宋体" w:cs="宋体"/>
          <w:vanish/>
          <w:color w:val="auto"/>
          <w:szCs w:val="21"/>
          <w:highlight w:val="none"/>
        </w:rPr>
      </w:pPr>
    </w:p>
    <w:p w14:paraId="6199145E">
      <w:pPr>
        <w:widowControl w:val="0"/>
        <w:numPr>
          <w:ilvl w:val="1"/>
          <w:numId w:val="3"/>
        </w:numPr>
        <w:overflowPunct w:val="0"/>
        <w:rPr>
          <w:rFonts w:ascii="宋体" w:hAnsi="宋体" w:cs="宋体"/>
          <w:color w:val="auto"/>
          <w:szCs w:val="21"/>
          <w:highlight w:val="none"/>
        </w:rPr>
      </w:pPr>
      <w:r>
        <w:rPr>
          <w:rFonts w:hint="eastAsia" w:ascii="宋体" w:hAnsi="宋体" w:cs="宋体"/>
          <w:color w:val="auto"/>
          <w:szCs w:val="21"/>
          <w:highlight w:val="none"/>
        </w:rPr>
        <w:t xml:space="preserve">对通过资格性和符合性审查的有效供应商方有资格提交最终报价及进入综合评审。采购文件中要求投标人提供的相关资质证书证明材料因国家政策变动导致新旧证书名称不一致，旧证书未取消且新旧证书具有同等效力的，投标人提供新证书与提供在有效期内的旧证书给予同等认可。 </w:t>
      </w:r>
    </w:p>
    <w:p w14:paraId="143B9198">
      <w:pPr>
        <w:widowControl w:val="0"/>
        <w:numPr>
          <w:ilvl w:val="1"/>
          <w:numId w:val="3"/>
        </w:numPr>
        <w:overflowPunct w:val="0"/>
        <w:rPr>
          <w:rFonts w:ascii="宋体" w:hAnsi="宋体" w:cs="宋体"/>
          <w:color w:val="auto"/>
          <w:szCs w:val="21"/>
          <w:highlight w:val="none"/>
        </w:rPr>
      </w:pPr>
      <w:r>
        <w:rPr>
          <w:rFonts w:hint="eastAsia" w:ascii="宋体" w:hAnsi="宋体" w:cs="宋体"/>
          <w:color w:val="auto"/>
          <w:szCs w:val="21"/>
          <w:highlight w:val="none"/>
        </w:rPr>
        <w:t>评标委员会对通过符合性审查的投标文件进行详细评审。评标委员会对每一投标文件进行详细的商务评审、技术评审。按照评审程序的规定和依据评分标准，各位评委就每个投标人的技术、商务状况及其对采购文件要求的响应情况进行评议和比较，评出其技术评分和商务评分。根据采购文件规定评出得分，将价格得分、商务得分、技术得分相加得出最终评标得分。</w:t>
      </w:r>
    </w:p>
    <w:p w14:paraId="2F3158A9">
      <w:pPr>
        <w:widowControl w:val="0"/>
        <w:numPr>
          <w:ilvl w:val="1"/>
          <w:numId w:val="3"/>
        </w:numPr>
        <w:overflowPunct w:val="0"/>
        <w:rPr>
          <w:rFonts w:ascii="宋体" w:hAnsi="宋体" w:cs="宋体"/>
          <w:color w:val="auto"/>
          <w:szCs w:val="21"/>
          <w:highlight w:val="none"/>
        </w:rPr>
      </w:pPr>
      <w:r>
        <w:rPr>
          <w:rFonts w:hint="eastAsia" w:ascii="宋体" w:hAnsi="宋体" w:cs="宋体"/>
          <w:color w:val="auto"/>
          <w:szCs w:val="21"/>
          <w:highlight w:val="none"/>
        </w:rPr>
        <w:t>采用综合评分法的，评标结果按评审后得分由高到低顺序排列。综合得分相同的，按价格评分由高到低顺序排列。综合</w:t>
      </w:r>
      <w:r>
        <w:rPr>
          <w:rFonts w:hint="eastAsia" w:ascii="宋体" w:hAnsi="宋体"/>
          <w:color w:val="auto"/>
          <w:szCs w:val="21"/>
          <w:highlight w:val="none"/>
        </w:rPr>
        <w:t>得分相同且价格评分相同的，按商务评分由高到低顺序排列，得分高的排前，得分低的排后；按上述环节依然存在同分情形而不能确认排名顺序时，由评标委员会进行投票，得票多的排名在先。当第一轮投票结果为投标人得票数相同时，再次进行投票，如此类推，直到能确定排序次序为止</w:t>
      </w:r>
      <w:r>
        <w:rPr>
          <w:rFonts w:hint="eastAsia" w:ascii="宋体" w:hAnsi="宋体" w:cs="宋体"/>
          <w:color w:val="auto"/>
          <w:szCs w:val="21"/>
          <w:highlight w:val="none"/>
        </w:rPr>
        <w:t>。</w:t>
      </w:r>
    </w:p>
    <w:p w14:paraId="3727BCEA">
      <w:pPr>
        <w:widowControl w:val="0"/>
        <w:tabs>
          <w:tab w:val="left" w:pos="907"/>
        </w:tabs>
        <w:adjustRightInd/>
        <w:snapToGrid/>
        <w:ind w:left="567"/>
        <w:jc w:val="both"/>
        <w:rPr>
          <w:rFonts w:ascii="宋体" w:hAnsi="宋体" w:cs="宋体"/>
          <w:color w:val="auto"/>
          <w:szCs w:val="21"/>
          <w:highlight w:val="none"/>
        </w:rPr>
      </w:pPr>
    </w:p>
    <w:p w14:paraId="5D0E3804">
      <w:pPr>
        <w:pStyle w:val="4"/>
        <w:widowControl w:val="0"/>
        <w:numPr>
          <w:ilvl w:val="0"/>
          <w:numId w:val="3"/>
        </w:numPr>
        <w:overflowPunct w:val="0"/>
        <w:rPr>
          <w:rFonts w:ascii="宋体" w:hAnsi="宋体" w:cs="宋体"/>
          <w:color w:val="auto"/>
          <w:sz w:val="21"/>
          <w:szCs w:val="21"/>
          <w:highlight w:val="none"/>
        </w:rPr>
      </w:pPr>
      <w:bookmarkStart w:id="144" w:name="_Toc316375620"/>
      <w:bookmarkStart w:id="145" w:name="_Toc21663"/>
      <w:bookmarkStart w:id="146" w:name="_Toc30020"/>
      <w:bookmarkStart w:id="147" w:name="_Toc18550"/>
      <w:bookmarkStart w:id="148" w:name="_Toc382049120"/>
      <w:bookmarkStart w:id="149" w:name="_Toc20328"/>
      <w:r>
        <w:rPr>
          <w:rFonts w:hint="eastAsia" w:ascii="宋体" w:hAnsi="宋体" w:cs="宋体"/>
          <w:color w:val="auto"/>
          <w:sz w:val="21"/>
          <w:szCs w:val="21"/>
          <w:highlight w:val="none"/>
        </w:rPr>
        <w:t>纪律和保密</w:t>
      </w:r>
      <w:bookmarkEnd w:id="144"/>
      <w:r>
        <w:rPr>
          <w:rFonts w:hint="eastAsia" w:ascii="宋体" w:hAnsi="宋体" w:cs="宋体"/>
          <w:color w:val="auto"/>
          <w:sz w:val="21"/>
          <w:szCs w:val="21"/>
          <w:highlight w:val="none"/>
        </w:rPr>
        <w:t>事项</w:t>
      </w:r>
      <w:bookmarkEnd w:id="145"/>
      <w:bookmarkEnd w:id="146"/>
      <w:bookmarkEnd w:id="147"/>
      <w:bookmarkEnd w:id="148"/>
      <w:bookmarkEnd w:id="149"/>
    </w:p>
    <w:p w14:paraId="1FCBA0C7">
      <w:pPr>
        <w:pStyle w:val="20"/>
        <w:widowControl w:val="0"/>
        <w:numPr>
          <w:ilvl w:val="0"/>
          <w:numId w:val="4"/>
        </w:numPr>
        <w:tabs>
          <w:tab w:val="left" w:pos="907"/>
        </w:tabs>
        <w:adjustRightInd/>
        <w:snapToGrid/>
        <w:ind w:firstLineChars="0"/>
        <w:jc w:val="both"/>
        <w:rPr>
          <w:rFonts w:ascii="宋体" w:hAnsi="宋体" w:cs="宋体"/>
          <w:vanish/>
          <w:color w:val="auto"/>
          <w:szCs w:val="21"/>
          <w:highlight w:val="none"/>
        </w:rPr>
      </w:pPr>
    </w:p>
    <w:p w14:paraId="3235C4EE">
      <w:pPr>
        <w:widowControl w:val="0"/>
        <w:numPr>
          <w:ilvl w:val="1"/>
          <w:numId w:val="3"/>
        </w:numPr>
        <w:overflowPunct w:val="0"/>
        <w:rPr>
          <w:rFonts w:ascii="宋体" w:hAnsi="宋体" w:cs="宋体"/>
          <w:color w:val="auto"/>
          <w:szCs w:val="21"/>
          <w:highlight w:val="none"/>
        </w:rPr>
      </w:pPr>
      <w:r>
        <w:rPr>
          <w:rFonts w:hint="eastAsia" w:ascii="宋体" w:hAnsi="宋体" w:cs="宋体"/>
          <w:color w:val="auto"/>
          <w:szCs w:val="21"/>
          <w:highlight w:val="none"/>
        </w:rPr>
        <w:t>从开标之日起至授予合同期间，在投标文件的审查、澄清、比较和评价阶段，投标人试图对评标委员会和采购代理机构施加任何影响或对采购人的比较及授予合同的决定产生影响，都可能导致其投标文件被拒绝。</w:t>
      </w:r>
    </w:p>
    <w:p w14:paraId="77862E12">
      <w:pPr>
        <w:widowControl w:val="0"/>
        <w:numPr>
          <w:ilvl w:val="1"/>
          <w:numId w:val="3"/>
        </w:numPr>
        <w:overflowPunct w:val="0"/>
        <w:rPr>
          <w:rFonts w:ascii="宋体" w:hAnsi="宋体" w:cs="宋体"/>
          <w:color w:val="auto"/>
          <w:szCs w:val="21"/>
          <w:highlight w:val="none"/>
        </w:rPr>
      </w:pPr>
      <w:r>
        <w:rPr>
          <w:rFonts w:hint="eastAsia" w:ascii="宋体" w:hAnsi="宋体" w:cs="宋体"/>
          <w:color w:val="auto"/>
          <w:szCs w:val="21"/>
          <w:highlight w:val="none"/>
        </w:rPr>
        <w:t>投标人不得串通作弊，以不正当的手段妨碍、排挤其他投标人，扰乱采购市场，破坏公平竞争原则。否则将按相关法律规定严肃处理。</w:t>
      </w:r>
    </w:p>
    <w:p w14:paraId="180EE2E5">
      <w:pPr>
        <w:widowControl w:val="0"/>
        <w:numPr>
          <w:ilvl w:val="1"/>
          <w:numId w:val="3"/>
        </w:numPr>
        <w:overflowPunct w:val="0"/>
        <w:rPr>
          <w:rFonts w:ascii="宋体" w:hAnsi="宋体" w:cs="宋体"/>
          <w:color w:val="auto"/>
          <w:szCs w:val="21"/>
          <w:highlight w:val="none"/>
        </w:rPr>
      </w:pPr>
      <w:r>
        <w:rPr>
          <w:rFonts w:hint="eastAsia" w:ascii="宋体" w:hAnsi="宋体" w:cs="宋体"/>
          <w:color w:val="auto"/>
          <w:szCs w:val="21"/>
          <w:highlight w:val="none"/>
        </w:rPr>
        <w:t>获得本采购文件的投标人，应对文件进行保密，不得用作本次投标以外的任何用途。开标后，投标人应归还采购文件中要求保密的文件和资料。</w:t>
      </w:r>
    </w:p>
    <w:p w14:paraId="7CBD713D">
      <w:pPr>
        <w:rPr>
          <w:rFonts w:ascii="宋体" w:hAnsi="宋体" w:cs="宋体"/>
          <w:color w:val="auto"/>
          <w:highlight w:val="none"/>
        </w:rPr>
      </w:pPr>
    </w:p>
    <w:p w14:paraId="0D80E55A">
      <w:pPr>
        <w:pStyle w:val="3"/>
        <w:numPr>
          <w:ilvl w:val="0"/>
          <w:numId w:val="2"/>
        </w:numPr>
        <w:spacing w:before="0" w:after="0" w:line="360" w:lineRule="auto"/>
        <w:jc w:val="center"/>
        <w:rPr>
          <w:rFonts w:ascii="宋体" w:hAnsi="宋体" w:cs="宋体"/>
          <w:color w:val="auto"/>
          <w:highlight w:val="none"/>
        </w:rPr>
      </w:pPr>
      <w:bookmarkStart w:id="150" w:name="_Toc1109"/>
      <w:bookmarkStart w:id="151" w:name="_Toc5497"/>
      <w:bookmarkStart w:id="152" w:name="_Toc27738"/>
      <w:r>
        <w:rPr>
          <w:rFonts w:hint="eastAsia" w:ascii="宋体" w:hAnsi="宋体" w:cs="宋体"/>
          <w:color w:val="auto"/>
          <w:highlight w:val="none"/>
        </w:rPr>
        <w:t>授予合同</w:t>
      </w:r>
      <w:bookmarkEnd w:id="150"/>
      <w:bookmarkEnd w:id="151"/>
      <w:bookmarkEnd w:id="152"/>
    </w:p>
    <w:p w14:paraId="6BCBAC09">
      <w:pPr>
        <w:pStyle w:val="4"/>
        <w:widowControl w:val="0"/>
        <w:numPr>
          <w:ilvl w:val="0"/>
          <w:numId w:val="3"/>
        </w:numPr>
        <w:overflowPunct w:val="0"/>
        <w:rPr>
          <w:rFonts w:ascii="宋体" w:hAnsi="宋体" w:cs="宋体"/>
          <w:color w:val="auto"/>
          <w:sz w:val="21"/>
          <w:szCs w:val="21"/>
          <w:highlight w:val="none"/>
        </w:rPr>
      </w:pPr>
      <w:bookmarkStart w:id="153" w:name="_Toc3066"/>
      <w:bookmarkStart w:id="154" w:name="_Toc22623"/>
      <w:bookmarkStart w:id="155" w:name="_Toc16090"/>
      <w:bookmarkStart w:id="156" w:name="_Toc508284011"/>
      <w:r>
        <w:rPr>
          <w:rFonts w:hint="eastAsia" w:ascii="宋体" w:hAnsi="宋体" w:cs="宋体"/>
          <w:color w:val="auto"/>
          <w:sz w:val="21"/>
          <w:szCs w:val="21"/>
          <w:highlight w:val="none"/>
        </w:rPr>
        <w:t>合同授予标准</w:t>
      </w:r>
      <w:bookmarkEnd w:id="153"/>
      <w:bookmarkEnd w:id="154"/>
      <w:bookmarkEnd w:id="155"/>
      <w:bookmarkEnd w:id="156"/>
    </w:p>
    <w:p w14:paraId="48114A69">
      <w:pPr>
        <w:pStyle w:val="20"/>
        <w:widowControl w:val="0"/>
        <w:numPr>
          <w:ilvl w:val="0"/>
          <w:numId w:val="4"/>
        </w:numPr>
        <w:tabs>
          <w:tab w:val="left" w:pos="907"/>
        </w:tabs>
        <w:adjustRightInd/>
        <w:snapToGrid/>
        <w:ind w:firstLineChars="0"/>
        <w:jc w:val="both"/>
        <w:rPr>
          <w:rFonts w:ascii="宋体" w:hAnsi="宋体" w:cs="宋体"/>
          <w:vanish/>
          <w:color w:val="auto"/>
          <w:szCs w:val="21"/>
          <w:highlight w:val="none"/>
        </w:rPr>
      </w:pPr>
    </w:p>
    <w:p w14:paraId="47D557EF">
      <w:pPr>
        <w:widowControl w:val="0"/>
        <w:numPr>
          <w:ilvl w:val="1"/>
          <w:numId w:val="3"/>
        </w:numPr>
        <w:overflowPunct w:val="0"/>
        <w:rPr>
          <w:rFonts w:ascii="宋体" w:hAnsi="宋体" w:cs="宋体"/>
          <w:color w:val="auto"/>
          <w:szCs w:val="21"/>
          <w:highlight w:val="none"/>
        </w:rPr>
      </w:pPr>
      <w:r>
        <w:rPr>
          <w:rFonts w:hint="eastAsia" w:ascii="宋体" w:hAnsi="宋体" w:cs="宋体"/>
          <w:color w:val="auto"/>
          <w:szCs w:val="21"/>
          <w:highlight w:val="none"/>
        </w:rPr>
        <w:t>根据评标委员会的评审结果，采购人按照评审报告推荐的中标候选人中按顺序依法确定中标人。</w:t>
      </w:r>
    </w:p>
    <w:p w14:paraId="4FE32CB2">
      <w:pPr>
        <w:rPr>
          <w:rFonts w:ascii="宋体" w:hAnsi="宋体" w:cs="宋体"/>
          <w:color w:val="auto"/>
          <w:highlight w:val="none"/>
        </w:rPr>
      </w:pPr>
    </w:p>
    <w:p w14:paraId="4B7B7BA2">
      <w:pPr>
        <w:pStyle w:val="4"/>
        <w:widowControl w:val="0"/>
        <w:numPr>
          <w:ilvl w:val="0"/>
          <w:numId w:val="3"/>
        </w:numPr>
        <w:overflowPunct w:val="0"/>
        <w:rPr>
          <w:rFonts w:ascii="宋体" w:hAnsi="宋体" w:cs="宋体"/>
          <w:color w:val="auto"/>
          <w:sz w:val="21"/>
          <w:szCs w:val="21"/>
          <w:highlight w:val="none"/>
        </w:rPr>
      </w:pPr>
      <w:bookmarkStart w:id="157" w:name="_Toc24261"/>
      <w:bookmarkStart w:id="158" w:name="_Toc508284013"/>
      <w:bookmarkStart w:id="159" w:name="_Toc6284"/>
      <w:bookmarkStart w:id="160" w:name="_Toc10545"/>
      <w:r>
        <w:rPr>
          <w:rFonts w:hint="eastAsia" w:ascii="宋体" w:hAnsi="宋体" w:cs="宋体"/>
          <w:color w:val="auto"/>
          <w:sz w:val="21"/>
          <w:szCs w:val="21"/>
          <w:highlight w:val="none"/>
        </w:rPr>
        <w:t>发布中标结果</w:t>
      </w:r>
      <w:bookmarkEnd w:id="157"/>
      <w:bookmarkEnd w:id="158"/>
      <w:bookmarkEnd w:id="159"/>
      <w:bookmarkEnd w:id="160"/>
    </w:p>
    <w:p w14:paraId="4DEADF03">
      <w:pPr>
        <w:pStyle w:val="20"/>
        <w:widowControl w:val="0"/>
        <w:numPr>
          <w:ilvl w:val="0"/>
          <w:numId w:val="4"/>
        </w:numPr>
        <w:tabs>
          <w:tab w:val="left" w:pos="907"/>
        </w:tabs>
        <w:adjustRightInd/>
        <w:snapToGrid/>
        <w:ind w:firstLineChars="0"/>
        <w:jc w:val="both"/>
        <w:rPr>
          <w:rFonts w:ascii="宋体" w:hAnsi="宋体" w:cs="宋体"/>
          <w:vanish/>
          <w:color w:val="auto"/>
          <w:szCs w:val="21"/>
          <w:highlight w:val="none"/>
        </w:rPr>
      </w:pPr>
    </w:p>
    <w:p w14:paraId="5DB69782">
      <w:pPr>
        <w:widowControl w:val="0"/>
        <w:numPr>
          <w:ilvl w:val="1"/>
          <w:numId w:val="3"/>
        </w:numPr>
        <w:overflowPunct w:val="0"/>
        <w:rPr>
          <w:rFonts w:ascii="宋体" w:hAnsi="宋体" w:cs="宋体"/>
          <w:color w:val="auto"/>
          <w:szCs w:val="21"/>
          <w:highlight w:val="none"/>
        </w:rPr>
      </w:pPr>
      <w:r>
        <w:rPr>
          <w:rFonts w:hint="eastAsia" w:ascii="宋体" w:hAnsi="宋体" w:cs="宋体"/>
          <w:color w:val="auto"/>
          <w:szCs w:val="21"/>
          <w:highlight w:val="none"/>
        </w:rPr>
        <w:t>评标委员会提出评标书面报告和推荐中标意见报采购人确认后，采购代理机构将在指定的信息发布媒体上发布公告。</w:t>
      </w:r>
    </w:p>
    <w:p w14:paraId="0127B43E">
      <w:pPr>
        <w:widowControl w:val="0"/>
        <w:numPr>
          <w:ilvl w:val="1"/>
          <w:numId w:val="3"/>
        </w:numPr>
        <w:overflowPunct w:val="0"/>
        <w:rPr>
          <w:rFonts w:ascii="宋体" w:hAnsi="宋体" w:cs="宋体"/>
          <w:color w:val="auto"/>
          <w:szCs w:val="21"/>
          <w:highlight w:val="none"/>
        </w:rPr>
      </w:pPr>
      <w:r>
        <w:rPr>
          <w:rFonts w:hint="eastAsia" w:ascii="宋体" w:hAnsi="宋体" w:cs="宋体"/>
          <w:color w:val="auto"/>
          <w:szCs w:val="21"/>
          <w:highlight w:val="none"/>
        </w:rPr>
        <w:t>中标公告期限为3个日历日。</w:t>
      </w:r>
    </w:p>
    <w:p w14:paraId="37A98A8A">
      <w:pPr>
        <w:widowControl w:val="0"/>
        <w:numPr>
          <w:ilvl w:val="1"/>
          <w:numId w:val="3"/>
        </w:numPr>
        <w:overflowPunct w:val="0"/>
        <w:rPr>
          <w:rFonts w:ascii="宋体" w:hAnsi="宋体" w:cs="宋体"/>
          <w:color w:val="auto"/>
          <w:szCs w:val="21"/>
          <w:highlight w:val="none"/>
        </w:rPr>
      </w:pPr>
      <w:r>
        <w:rPr>
          <w:rFonts w:hint="eastAsia" w:ascii="宋体" w:hAnsi="宋体" w:cs="宋体"/>
          <w:color w:val="auto"/>
          <w:szCs w:val="21"/>
          <w:highlight w:val="none"/>
        </w:rPr>
        <w:t>《中标通知书》是合同的一个组成部分，《中标通知书》对采购人和中标人均具有同等法律效力。</w:t>
      </w:r>
    </w:p>
    <w:p w14:paraId="4EF2097B">
      <w:pPr>
        <w:widowControl w:val="0"/>
        <w:tabs>
          <w:tab w:val="left" w:pos="907"/>
        </w:tabs>
        <w:adjustRightInd/>
        <w:snapToGrid/>
        <w:jc w:val="both"/>
        <w:rPr>
          <w:rFonts w:ascii="宋体" w:hAnsi="宋体" w:cs="宋体"/>
          <w:color w:val="auto"/>
          <w:szCs w:val="21"/>
          <w:highlight w:val="none"/>
        </w:rPr>
      </w:pPr>
    </w:p>
    <w:p w14:paraId="17E80844">
      <w:pPr>
        <w:pStyle w:val="4"/>
        <w:widowControl w:val="0"/>
        <w:numPr>
          <w:ilvl w:val="0"/>
          <w:numId w:val="3"/>
        </w:numPr>
        <w:overflowPunct w:val="0"/>
        <w:rPr>
          <w:rFonts w:ascii="宋体" w:hAnsi="宋体" w:cs="宋体"/>
          <w:color w:val="auto"/>
          <w:sz w:val="21"/>
          <w:szCs w:val="21"/>
          <w:highlight w:val="none"/>
        </w:rPr>
      </w:pPr>
      <w:bookmarkStart w:id="161" w:name="_Toc749"/>
      <w:bookmarkStart w:id="162" w:name="_Toc585"/>
      <w:bookmarkStart w:id="163" w:name="_Toc11420"/>
      <w:r>
        <w:rPr>
          <w:rFonts w:hint="eastAsia" w:ascii="宋体" w:hAnsi="宋体" w:cs="宋体"/>
          <w:color w:val="auto"/>
          <w:sz w:val="21"/>
          <w:szCs w:val="21"/>
          <w:highlight w:val="none"/>
        </w:rPr>
        <w:t>资格后审</w:t>
      </w:r>
      <w:bookmarkEnd w:id="161"/>
      <w:bookmarkEnd w:id="162"/>
      <w:bookmarkEnd w:id="163"/>
    </w:p>
    <w:p w14:paraId="41F6018F">
      <w:pPr>
        <w:pStyle w:val="20"/>
        <w:widowControl w:val="0"/>
        <w:numPr>
          <w:ilvl w:val="0"/>
          <w:numId w:val="4"/>
        </w:numPr>
        <w:tabs>
          <w:tab w:val="left" w:pos="567"/>
          <w:tab w:val="left" w:pos="907"/>
        </w:tabs>
        <w:adjustRightInd/>
        <w:snapToGrid/>
        <w:ind w:firstLineChars="0"/>
        <w:jc w:val="both"/>
        <w:rPr>
          <w:rFonts w:ascii="宋体" w:hAnsi="宋体" w:cs="宋体"/>
          <w:vanish/>
          <w:color w:val="auto"/>
          <w:szCs w:val="21"/>
          <w:highlight w:val="none"/>
        </w:rPr>
      </w:pPr>
    </w:p>
    <w:p w14:paraId="6D925243">
      <w:pPr>
        <w:widowControl w:val="0"/>
        <w:numPr>
          <w:ilvl w:val="1"/>
          <w:numId w:val="3"/>
        </w:numPr>
        <w:overflowPunct w:val="0"/>
        <w:rPr>
          <w:rFonts w:ascii="宋体" w:hAnsi="宋体" w:cs="宋体"/>
          <w:color w:val="auto"/>
          <w:szCs w:val="21"/>
          <w:highlight w:val="none"/>
        </w:rPr>
      </w:pPr>
      <w:r>
        <w:rPr>
          <w:rFonts w:hint="eastAsia" w:ascii="宋体" w:hAnsi="宋体" w:cs="宋体"/>
          <w:color w:val="auto"/>
          <w:szCs w:val="21"/>
          <w:highlight w:val="none"/>
        </w:rPr>
        <w:t>采购人将有权根据本文件中的要求，对评委会推荐的中标候选人进行资格后审。</w:t>
      </w:r>
    </w:p>
    <w:p w14:paraId="35C79E1D">
      <w:pPr>
        <w:widowControl w:val="0"/>
        <w:numPr>
          <w:ilvl w:val="1"/>
          <w:numId w:val="3"/>
        </w:numPr>
        <w:overflowPunct w:val="0"/>
        <w:rPr>
          <w:rFonts w:ascii="宋体" w:hAnsi="宋体" w:cs="宋体"/>
          <w:color w:val="auto"/>
          <w:szCs w:val="21"/>
          <w:highlight w:val="none"/>
        </w:rPr>
      </w:pPr>
      <w:r>
        <w:rPr>
          <w:rFonts w:hint="eastAsia" w:ascii="宋体" w:hAnsi="宋体" w:cs="宋体"/>
          <w:color w:val="auto"/>
          <w:szCs w:val="21"/>
          <w:highlight w:val="none"/>
        </w:rPr>
        <w:t>中标候选人须无条件配合资格后审，否则采购人有权取消其中标资格，且投标保证金可不予退还。</w:t>
      </w:r>
    </w:p>
    <w:p w14:paraId="59316A04">
      <w:pPr>
        <w:widowControl w:val="0"/>
        <w:numPr>
          <w:ilvl w:val="1"/>
          <w:numId w:val="3"/>
        </w:numPr>
        <w:overflowPunct w:val="0"/>
        <w:rPr>
          <w:rFonts w:ascii="宋体" w:hAnsi="宋体" w:cs="宋体"/>
          <w:color w:val="auto"/>
          <w:szCs w:val="21"/>
          <w:highlight w:val="none"/>
        </w:rPr>
      </w:pPr>
      <w:r>
        <w:rPr>
          <w:rFonts w:hint="eastAsia" w:ascii="宋体" w:hAnsi="宋体" w:cs="宋体"/>
          <w:color w:val="auto"/>
          <w:szCs w:val="21"/>
          <w:highlight w:val="none"/>
        </w:rPr>
        <w:t>资格后审须提供包括但不限于营业执照、税务登记证和在投标文件中提供的资质证明文件、业绩等重要证明文件的原件进行核对，综合考察中标人的履约能力。如采购人要求还须提供业绩证明的其他材料,中标候选人须配合提供。如授权其分支机构进行项目实施或提供售后服务的，亦应提供其与分支机构关系的法律证明材料。</w:t>
      </w:r>
    </w:p>
    <w:p w14:paraId="3DC6DB04">
      <w:pPr>
        <w:widowControl w:val="0"/>
        <w:numPr>
          <w:ilvl w:val="1"/>
          <w:numId w:val="3"/>
        </w:numPr>
        <w:overflowPunct w:val="0"/>
        <w:rPr>
          <w:rFonts w:ascii="宋体" w:hAnsi="宋体" w:cs="宋体"/>
          <w:color w:val="auto"/>
          <w:szCs w:val="21"/>
          <w:highlight w:val="none"/>
        </w:rPr>
      </w:pPr>
      <w:r>
        <w:rPr>
          <w:rFonts w:hint="eastAsia" w:ascii="宋体" w:hAnsi="宋体" w:cs="宋体"/>
          <w:color w:val="auto"/>
          <w:szCs w:val="21"/>
          <w:highlight w:val="none"/>
        </w:rPr>
        <w:t>如发现中标候选人以他人名义投标或者以其他方式弄虚作假，骗取中标的，采购人有权取消其中标资格，且投标保证金可不予退还；给采购人造成损失的，应依法承担赔偿责任。</w:t>
      </w:r>
    </w:p>
    <w:p w14:paraId="21662C91">
      <w:pPr>
        <w:widowControl w:val="0"/>
        <w:numPr>
          <w:ilvl w:val="1"/>
          <w:numId w:val="3"/>
        </w:numPr>
        <w:overflowPunct w:val="0"/>
        <w:rPr>
          <w:rFonts w:ascii="宋体" w:hAnsi="宋体" w:cs="宋体"/>
          <w:color w:val="auto"/>
          <w:szCs w:val="21"/>
          <w:highlight w:val="none"/>
        </w:rPr>
      </w:pPr>
      <w:r>
        <w:rPr>
          <w:rFonts w:hint="eastAsia" w:ascii="宋体" w:hAnsi="宋体" w:cs="宋体"/>
          <w:color w:val="auto"/>
          <w:szCs w:val="21"/>
          <w:highlight w:val="none"/>
        </w:rPr>
        <w:t>采购人有权审查中标候选人是否具备履行合同的能力，包括但不限于对其规模、人员、场地、生产能力、供货能力等方面的核实或现场考察。如果审查通过，采购人将把合同授予该中标人；如果审查没有通过，采购人有权取消其中标资格，且投标保证金可不予退还，并依次审查下一名中标候选人是否具备履行合同的能力或重新采购。</w:t>
      </w:r>
    </w:p>
    <w:p w14:paraId="131E4A40">
      <w:pPr>
        <w:rPr>
          <w:rFonts w:ascii="宋体" w:hAnsi="宋体" w:cs="宋体"/>
          <w:color w:val="auto"/>
          <w:highlight w:val="none"/>
        </w:rPr>
      </w:pPr>
    </w:p>
    <w:p w14:paraId="0E7ECC52">
      <w:pPr>
        <w:pStyle w:val="4"/>
        <w:widowControl w:val="0"/>
        <w:numPr>
          <w:ilvl w:val="0"/>
          <w:numId w:val="3"/>
        </w:numPr>
        <w:overflowPunct w:val="0"/>
        <w:rPr>
          <w:rFonts w:ascii="宋体" w:hAnsi="宋体" w:cs="宋体"/>
          <w:color w:val="auto"/>
          <w:sz w:val="21"/>
          <w:szCs w:val="21"/>
          <w:highlight w:val="none"/>
        </w:rPr>
      </w:pPr>
      <w:bookmarkStart w:id="164" w:name="_Toc27302"/>
      <w:bookmarkStart w:id="165" w:name="_Toc14246"/>
      <w:bookmarkStart w:id="166" w:name="_Toc27689"/>
      <w:r>
        <w:rPr>
          <w:rFonts w:hint="eastAsia" w:ascii="宋体" w:hAnsi="宋体" w:cs="宋体"/>
          <w:color w:val="auto"/>
          <w:sz w:val="21"/>
          <w:szCs w:val="21"/>
          <w:highlight w:val="none"/>
        </w:rPr>
        <w:t>合同的签订与履行</w:t>
      </w:r>
      <w:bookmarkEnd w:id="164"/>
      <w:bookmarkEnd w:id="165"/>
      <w:bookmarkEnd w:id="166"/>
    </w:p>
    <w:p w14:paraId="7E61AA1A">
      <w:pPr>
        <w:pStyle w:val="20"/>
        <w:widowControl w:val="0"/>
        <w:numPr>
          <w:ilvl w:val="0"/>
          <w:numId w:val="4"/>
        </w:numPr>
        <w:tabs>
          <w:tab w:val="left" w:pos="907"/>
        </w:tabs>
        <w:adjustRightInd/>
        <w:snapToGrid/>
        <w:ind w:firstLineChars="0"/>
        <w:jc w:val="both"/>
        <w:rPr>
          <w:rFonts w:ascii="宋体" w:hAnsi="宋体" w:cs="宋体"/>
          <w:vanish/>
          <w:color w:val="auto"/>
          <w:szCs w:val="21"/>
          <w:highlight w:val="none"/>
        </w:rPr>
      </w:pPr>
    </w:p>
    <w:p w14:paraId="6676F9A3">
      <w:pPr>
        <w:widowControl w:val="0"/>
        <w:numPr>
          <w:ilvl w:val="1"/>
          <w:numId w:val="3"/>
        </w:numPr>
        <w:overflowPunct w:val="0"/>
        <w:rPr>
          <w:rFonts w:ascii="宋体" w:hAnsi="宋体" w:cs="宋体"/>
          <w:color w:val="auto"/>
          <w:szCs w:val="21"/>
          <w:highlight w:val="none"/>
        </w:rPr>
      </w:pPr>
      <w:r>
        <w:rPr>
          <w:rFonts w:hint="eastAsia" w:ascii="宋体" w:hAnsi="宋体" w:cs="宋体"/>
          <w:color w:val="auto"/>
          <w:szCs w:val="21"/>
          <w:highlight w:val="none"/>
        </w:rPr>
        <w:t>中标人应当自采购人发出中标通知书之日起30日内，按照采购文件和中标人投标文件的规定，与采购人签订书面合同，否则采购人有权取消其中标资格。所签订的合同不得对采购文件确定的事项和中标人投标文件作实质性修改。</w:t>
      </w:r>
    </w:p>
    <w:p w14:paraId="0132449D">
      <w:pPr>
        <w:widowControl w:val="0"/>
        <w:numPr>
          <w:ilvl w:val="1"/>
          <w:numId w:val="3"/>
        </w:numPr>
        <w:overflowPunct w:val="0"/>
        <w:rPr>
          <w:rFonts w:ascii="宋体" w:hAnsi="宋体" w:cs="宋体"/>
          <w:color w:val="auto"/>
          <w:szCs w:val="21"/>
          <w:highlight w:val="none"/>
        </w:rPr>
      </w:pPr>
      <w:r>
        <w:rPr>
          <w:rFonts w:hint="eastAsia" w:ascii="宋体" w:hAnsi="宋体" w:cs="宋体"/>
          <w:color w:val="auto"/>
          <w:szCs w:val="21"/>
          <w:highlight w:val="none"/>
        </w:rPr>
        <w:t>采购人与中标人应当根据合同的约定依法履行合同义务。</w:t>
      </w:r>
    </w:p>
    <w:p w14:paraId="329BC2B1">
      <w:pPr>
        <w:widowControl w:val="0"/>
        <w:numPr>
          <w:ilvl w:val="1"/>
          <w:numId w:val="3"/>
        </w:numPr>
        <w:overflowPunct w:val="0"/>
        <w:rPr>
          <w:rFonts w:ascii="宋体" w:hAnsi="宋体" w:cs="宋体"/>
          <w:color w:val="auto"/>
          <w:szCs w:val="21"/>
          <w:highlight w:val="none"/>
        </w:rPr>
      </w:pPr>
      <w:r>
        <w:rPr>
          <w:rFonts w:hint="eastAsia" w:ascii="宋体" w:hAnsi="宋体" w:cs="宋体"/>
          <w:color w:val="auto"/>
          <w:szCs w:val="21"/>
          <w:highlight w:val="none"/>
        </w:rPr>
        <w:t>采购合同的履行、违约责任和解决争议的方法等适用《中华人民共和国民法典》。</w:t>
      </w:r>
    </w:p>
    <w:p w14:paraId="0D721FE2">
      <w:pPr>
        <w:widowControl w:val="0"/>
        <w:numPr>
          <w:ilvl w:val="1"/>
          <w:numId w:val="3"/>
        </w:numPr>
        <w:overflowPunct w:val="0"/>
        <w:rPr>
          <w:rFonts w:ascii="宋体" w:hAnsi="宋体" w:cs="宋体"/>
          <w:color w:val="auto"/>
          <w:szCs w:val="21"/>
          <w:highlight w:val="none"/>
        </w:rPr>
      </w:pPr>
      <w:r>
        <w:rPr>
          <w:rFonts w:hint="eastAsia" w:ascii="宋体" w:hAnsi="宋体" w:cs="宋体"/>
          <w:color w:val="auto"/>
          <w:szCs w:val="21"/>
          <w:highlight w:val="none"/>
        </w:rPr>
        <w:t>中标人在评审结束当天至合同履行结束，若因不可抗力的因素（如国家出台新法律法规等）造成投标人资质的变动，投标人应以纸质版形式通知采购人。若资质变动导致中标人不再具备履行合同资质要求，采购人有权中止合同。</w:t>
      </w:r>
    </w:p>
    <w:p w14:paraId="2FC6A84F">
      <w:pPr>
        <w:widowControl w:val="0"/>
        <w:tabs>
          <w:tab w:val="left" w:pos="907"/>
        </w:tabs>
        <w:adjustRightInd/>
        <w:snapToGrid/>
        <w:jc w:val="both"/>
        <w:rPr>
          <w:rFonts w:ascii="宋体" w:hAnsi="宋体" w:cs="宋体"/>
          <w:color w:val="auto"/>
          <w:highlight w:val="none"/>
        </w:rPr>
      </w:pPr>
    </w:p>
    <w:p w14:paraId="6314BD7E">
      <w:pPr>
        <w:pStyle w:val="4"/>
        <w:widowControl w:val="0"/>
        <w:numPr>
          <w:ilvl w:val="0"/>
          <w:numId w:val="3"/>
        </w:numPr>
        <w:overflowPunct w:val="0"/>
        <w:rPr>
          <w:rFonts w:ascii="宋体" w:hAnsi="宋体" w:cs="宋体"/>
          <w:color w:val="auto"/>
          <w:sz w:val="21"/>
          <w:szCs w:val="21"/>
          <w:highlight w:val="none"/>
        </w:rPr>
      </w:pPr>
      <w:bookmarkStart w:id="167" w:name="_Toc303084277"/>
      <w:bookmarkStart w:id="168" w:name="_Toc29009"/>
      <w:bookmarkStart w:id="169" w:name="_Toc382049124"/>
      <w:bookmarkStart w:id="170" w:name="_Toc6617"/>
      <w:bookmarkStart w:id="171" w:name="_Toc19211"/>
      <w:bookmarkStart w:id="172" w:name="_Toc7424"/>
      <w:r>
        <w:rPr>
          <w:rFonts w:hint="eastAsia" w:ascii="宋体" w:hAnsi="宋体" w:cs="宋体"/>
          <w:color w:val="auto"/>
          <w:sz w:val="21"/>
          <w:szCs w:val="21"/>
          <w:highlight w:val="none"/>
        </w:rPr>
        <w:t>履约</w:t>
      </w:r>
      <w:bookmarkEnd w:id="167"/>
      <w:bookmarkEnd w:id="168"/>
      <w:bookmarkEnd w:id="169"/>
      <w:r>
        <w:rPr>
          <w:rFonts w:hint="eastAsia" w:ascii="宋体" w:hAnsi="宋体" w:cs="宋体"/>
          <w:color w:val="auto"/>
          <w:sz w:val="21"/>
          <w:szCs w:val="21"/>
          <w:highlight w:val="none"/>
        </w:rPr>
        <w:t>担保</w:t>
      </w:r>
      <w:bookmarkEnd w:id="170"/>
      <w:bookmarkEnd w:id="171"/>
      <w:bookmarkEnd w:id="172"/>
    </w:p>
    <w:p w14:paraId="3B03B30E">
      <w:pPr>
        <w:pStyle w:val="20"/>
        <w:widowControl w:val="0"/>
        <w:numPr>
          <w:ilvl w:val="0"/>
          <w:numId w:val="4"/>
        </w:numPr>
        <w:tabs>
          <w:tab w:val="left" w:pos="907"/>
        </w:tabs>
        <w:adjustRightInd/>
        <w:snapToGrid/>
        <w:ind w:firstLineChars="0"/>
        <w:jc w:val="both"/>
        <w:rPr>
          <w:rFonts w:ascii="宋体" w:hAnsi="宋体" w:cs="宋体"/>
          <w:vanish/>
          <w:color w:val="auto"/>
          <w:szCs w:val="21"/>
          <w:highlight w:val="none"/>
        </w:rPr>
      </w:pPr>
    </w:p>
    <w:p w14:paraId="2CAFC110">
      <w:pPr>
        <w:widowControl w:val="0"/>
        <w:numPr>
          <w:ilvl w:val="1"/>
          <w:numId w:val="3"/>
        </w:numPr>
        <w:overflowPunct w:val="0"/>
        <w:jc w:val="left"/>
        <w:rPr>
          <w:rFonts w:ascii="宋体" w:hAnsi="宋体"/>
          <w:color w:val="auto"/>
          <w:szCs w:val="21"/>
          <w:highlight w:val="none"/>
        </w:rPr>
      </w:pPr>
      <w:r>
        <w:rPr>
          <w:rFonts w:hint="eastAsia" w:ascii="宋体" w:hAnsi="宋体" w:cs="宋体"/>
          <w:color w:val="auto"/>
          <w:szCs w:val="21"/>
          <w:highlight w:val="none"/>
        </w:rPr>
        <w:t>中标人在采购（合同签署）时提交履约担保，如果中标人提交的履约保函的有效期先于合同要求的履约保函有效期到达，中标人应在原提交的履约保函有效期满前15天，无条件办理保函延期手续。否则，视中标人违约，采购人可在保函到期前将保函金额转为现金存入履约保证金账户。</w:t>
      </w:r>
    </w:p>
    <w:p w14:paraId="3FF23CCC">
      <w:pPr>
        <w:widowControl w:val="0"/>
        <w:numPr>
          <w:ilvl w:val="1"/>
          <w:numId w:val="3"/>
        </w:numPr>
        <w:overflowPunct w:val="0"/>
        <w:rPr>
          <w:rFonts w:ascii="宋体" w:hAnsi="宋体" w:cs="宋体"/>
          <w:color w:val="auto"/>
          <w:szCs w:val="21"/>
          <w:highlight w:val="none"/>
        </w:rPr>
      </w:pPr>
      <w:r>
        <w:rPr>
          <w:rFonts w:hint="eastAsia" w:ascii="宋体" w:hAnsi="宋体" w:cs="宋体"/>
          <w:color w:val="auto"/>
          <w:szCs w:val="21"/>
          <w:highlight w:val="none"/>
        </w:rPr>
        <w:t>履约担保期限从合同签订之日起至项目服务期结束验收合格并结算完毕后，经双方签字7天内保持有效。</w:t>
      </w:r>
    </w:p>
    <w:p w14:paraId="02528638">
      <w:pPr>
        <w:widowControl w:val="0"/>
        <w:numPr>
          <w:ilvl w:val="1"/>
          <w:numId w:val="3"/>
        </w:numPr>
        <w:overflowPunct w:val="0"/>
        <w:rPr>
          <w:rFonts w:ascii="宋体" w:hAnsi="宋体" w:cs="宋体"/>
          <w:color w:val="auto"/>
          <w:szCs w:val="21"/>
          <w:highlight w:val="none"/>
        </w:rPr>
      </w:pPr>
      <w:r>
        <w:rPr>
          <w:rFonts w:hint="eastAsia" w:ascii="宋体" w:hAnsi="宋体" w:cs="宋体"/>
          <w:color w:val="auto"/>
          <w:szCs w:val="21"/>
          <w:highlight w:val="none"/>
        </w:rPr>
        <w:t>履约担保可以采用下列任何一种形式：</w:t>
      </w:r>
    </w:p>
    <w:p w14:paraId="60281AE9">
      <w:pPr>
        <w:widowControl w:val="0"/>
        <w:tabs>
          <w:tab w:val="left" w:pos="907"/>
        </w:tabs>
        <w:adjustRightInd/>
        <w:snapToGrid/>
        <w:ind w:left="567"/>
        <w:jc w:val="both"/>
        <w:rPr>
          <w:rFonts w:ascii="宋体" w:hAnsi="宋体" w:cs="宋体"/>
          <w:color w:val="auto"/>
          <w:szCs w:val="21"/>
          <w:highlight w:val="none"/>
        </w:rPr>
      </w:pPr>
      <w:r>
        <w:rPr>
          <w:rFonts w:hint="eastAsia" w:ascii="宋体" w:hAnsi="宋体" w:cs="宋体"/>
          <w:color w:val="auto"/>
          <w:szCs w:val="21"/>
          <w:highlight w:val="none"/>
        </w:rPr>
        <w:t>（1）履约保函。如果中标人的履约担保是以银行保函形式提供的，则该银行保函应：</w:t>
      </w:r>
    </w:p>
    <w:p w14:paraId="53D66FDB">
      <w:pPr>
        <w:widowControl w:val="0"/>
        <w:tabs>
          <w:tab w:val="left" w:pos="907"/>
        </w:tabs>
        <w:adjustRightInd/>
        <w:snapToGrid/>
        <w:ind w:left="567"/>
        <w:jc w:val="both"/>
        <w:rPr>
          <w:rFonts w:hint="eastAsia" w:ascii="宋体" w:hAnsi="宋体" w:cs="宋体"/>
          <w:color w:val="auto"/>
          <w:szCs w:val="21"/>
          <w:highlight w:val="none"/>
        </w:rPr>
      </w:pPr>
      <w:r>
        <w:rPr>
          <w:rFonts w:hint="eastAsia" w:ascii="宋体" w:hAnsi="宋体" w:cs="宋体"/>
          <w:color w:val="auto"/>
          <w:szCs w:val="21"/>
          <w:highlight w:val="none"/>
        </w:rPr>
        <w:t>①保函应由银行支行或以上银行机构开具</w:t>
      </w:r>
    </w:p>
    <w:p w14:paraId="35990DAB">
      <w:pPr>
        <w:widowControl w:val="0"/>
        <w:tabs>
          <w:tab w:val="left" w:pos="907"/>
        </w:tabs>
        <w:adjustRightInd/>
        <w:snapToGrid/>
        <w:ind w:left="567"/>
        <w:jc w:val="both"/>
        <w:rPr>
          <w:rFonts w:ascii="宋体" w:hAnsi="宋体" w:cs="宋体"/>
          <w:color w:val="auto"/>
          <w:szCs w:val="21"/>
          <w:highlight w:val="none"/>
        </w:rPr>
      </w:pPr>
      <w:r>
        <w:rPr>
          <w:rFonts w:hint="eastAsia" w:ascii="宋体" w:hAnsi="宋体" w:cs="宋体"/>
          <w:color w:val="auto"/>
          <w:szCs w:val="21"/>
          <w:highlight w:val="none"/>
        </w:rPr>
        <w:t>②保函的格式参考投标文件附件中提供的无条件不可撤销履约保函格式，保函担保期内若项目未能按期竣工，保函必须延期，办理延期手续时在银行方面所产生费用由中标人负责。</w:t>
      </w:r>
    </w:p>
    <w:p w14:paraId="6E4393DD">
      <w:pPr>
        <w:widowControl w:val="0"/>
        <w:tabs>
          <w:tab w:val="left" w:pos="907"/>
        </w:tabs>
        <w:adjustRightInd/>
        <w:snapToGrid/>
        <w:ind w:left="567"/>
        <w:jc w:val="both"/>
        <w:rPr>
          <w:rFonts w:ascii="宋体" w:hAnsi="宋体" w:cs="宋体"/>
          <w:color w:val="auto"/>
          <w:szCs w:val="21"/>
          <w:highlight w:val="none"/>
        </w:rPr>
      </w:pPr>
      <w:r>
        <w:rPr>
          <w:rFonts w:hint="eastAsia" w:ascii="宋体" w:hAnsi="宋体" w:cs="宋体"/>
          <w:color w:val="auto"/>
          <w:szCs w:val="21"/>
          <w:highlight w:val="none"/>
        </w:rPr>
        <w:t>③履约保函必须打印，手写、涂改无效。</w:t>
      </w:r>
    </w:p>
    <w:p w14:paraId="19A582E6">
      <w:pPr>
        <w:widowControl w:val="0"/>
        <w:tabs>
          <w:tab w:val="left" w:pos="907"/>
        </w:tabs>
        <w:adjustRightInd/>
        <w:snapToGrid/>
        <w:ind w:left="567"/>
        <w:jc w:val="both"/>
        <w:rPr>
          <w:rFonts w:ascii="宋体" w:hAnsi="宋体" w:cs="宋体"/>
          <w:color w:val="auto"/>
          <w:szCs w:val="21"/>
          <w:highlight w:val="none"/>
        </w:rPr>
      </w:pPr>
      <w:r>
        <w:rPr>
          <w:rFonts w:hint="eastAsia" w:ascii="宋体" w:hAnsi="宋体" w:cs="宋体"/>
          <w:color w:val="auto"/>
          <w:szCs w:val="21"/>
          <w:highlight w:val="none"/>
        </w:rPr>
        <w:t>（2）履约保证金。</w:t>
      </w:r>
      <w:r>
        <w:rPr>
          <w:rFonts w:hint="eastAsia" w:ascii="宋体" w:hAnsi="宋体" w:cs="宋体"/>
          <w:color w:val="auto"/>
          <w:szCs w:val="21"/>
        </w:rPr>
        <w:t>可采用电汇、银行汇票等银行转账方式提交，但不可以采用现金方式提交</w:t>
      </w:r>
      <w:r>
        <w:rPr>
          <w:rFonts w:hint="eastAsia" w:ascii="宋体" w:hAnsi="宋体" w:cs="宋体"/>
          <w:color w:val="auto"/>
          <w:szCs w:val="21"/>
          <w:highlight w:val="none"/>
        </w:rPr>
        <w:t>。履约保证金金额</w:t>
      </w:r>
      <w:r>
        <w:rPr>
          <w:rFonts w:hint="eastAsia" w:ascii="宋体" w:hAnsi="宋体" w:cs="宋体"/>
          <w:color w:val="auto"/>
          <w:szCs w:val="21"/>
          <w:highlight w:val="none"/>
          <w:lang w:val="en-US" w:eastAsia="zh-CN"/>
        </w:rPr>
        <w:t>按采购文件要求</w:t>
      </w:r>
      <w:r>
        <w:rPr>
          <w:rFonts w:hint="eastAsia" w:ascii="宋体" w:hAnsi="宋体" w:cs="宋体"/>
          <w:color w:val="auto"/>
          <w:szCs w:val="21"/>
          <w:highlight w:val="none"/>
        </w:rPr>
        <w:t>。中标人人必须保证履约保证金以中标人的名称在（合同约定的日期）前提交至采购人指定账户。</w:t>
      </w:r>
    </w:p>
    <w:p w14:paraId="130B5287">
      <w:pPr>
        <w:widowControl w:val="0"/>
        <w:numPr>
          <w:ilvl w:val="1"/>
          <w:numId w:val="3"/>
        </w:numPr>
        <w:overflowPunct w:val="0"/>
        <w:rPr>
          <w:rFonts w:ascii="宋体" w:hAnsi="宋体" w:cs="宋体"/>
          <w:color w:val="auto"/>
          <w:szCs w:val="21"/>
          <w:highlight w:val="none"/>
        </w:rPr>
      </w:pPr>
      <w:r>
        <w:rPr>
          <w:rFonts w:hint="eastAsia" w:ascii="宋体" w:hAnsi="宋体" w:cs="宋体"/>
          <w:color w:val="auto"/>
          <w:szCs w:val="21"/>
          <w:highlight w:val="none"/>
        </w:rPr>
        <w:t>若中标人不能按本采购文件（33.1至33.3）的规定提交履约担保的，采购人将有权</w:t>
      </w:r>
      <w:r>
        <w:rPr>
          <w:rFonts w:ascii="宋体" w:hAnsi="宋体" w:cs="宋体"/>
          <w:color w:val="auto"/>
          <w:szCs w:val="21"/>
          <w:highlight w:val="none"/>
        </w:rPr>
        <w:t>取消中标人的中标资格</w:t>
      </w:r>
      <w:r>
        <w:rPr>
          <w:rFonts w:hint="eastAsia" w:ascii="宋体" w:hAnsi="宋体" w:cs="宋体"/>
          <w:color w:val="auto"/>
          <w:szCs w:val="21"/>
          <w:highlight w:val="none"/>
        </w:rPr>
        <w:t>（采购人可以按照评标委员会提出的中标候选人名单排序依次确定其他中标候选人为中标人，也可以重新采购），投标保证金不予退还</w:t>
      </w:r>
      <w:r>
        <w:rPr>
          <w:rFonts w:hint="eastAsia"/>
          <w:color w:val="auto"/>
          <w:highlight w:val="none"/>
        </w:rPr>
        <w:t>。</w:t>
      </w:r>
      <w:r>
        <w:rPr>
          <w:rFonts w:hint="eastAsia" w:ascii="宋体" w:hAnsi="宋体" w:cs="宋体"/>
          <w:color w:val="auto"/>
          <w:szCs w:val="21"/>
          <w:highlight w:val="none"/>
        </w:rPr>
        <w:t>给采购人造成的损失如果超过投标保证金数额的，还应当对超过部分予以赔偿。</w:t>
      </w:r>
    </w:p>
    <w:p w14:paraId="33F5F56D">
      <w:pPr>
        <w:widowControl w:val="0"/>
        <w:numPr>
          <w:ilvl w:val="1"/>
          <w:numId w:val="3"/>
        </w:numPr>
        <w:overflowPunct w:val="0"/>
        <w:rPr>
          <w:rFonts w:ascii="宋体" w:hAnsi="宋体" w:cs="宋体"/>
          <w:color w:val="auto"/>
          <w:szCs w:val="21"/>
          <w:highlight w:val="none"/>
        </w:rPr>
      </w:pPr>
      <w:r>
        <w:rPr>
          <w:rFonts w:hint="eastAsia" w:ascii="宋体" w:hAnsi="宋体" w:cs="宋体"/>
          <w:color w:val="auto"/>
          <w:szCs w:val="21"/>
          <w:highlight w:val="none"/>
        </w:rPr>
        <w:t>为取得履约担保所需的费用，由中标人承担；若履约担保时间延长，延长费用由中标人承担。</w:t>
      </w:r>
    </w:p>
    <w:p w14:paraId="5874FC02">
      <w:pPr>
        <w:widowControl w:val="0"/>
        <w:numPr>
          <w:ilvl w:val="1"/>
          <w:numId w:val="3"/>
        </w:numPr>
        <w:overflowPunct w:val="0"/>
        <w:rPr>
          <w:rFonts w:ascii="宋体" w:hAnsi="宋体" w:cs="宋体"/>
          <w:color w:val="auto"/>
          <w:szCs w:val="21"/>
          <w:highlight w:val="none"/>
        </w:rPr>
      </w:pPr>
      <w:r>
        <w:rPr>
          <w:rFonts w:hint="eastAsia" w:ascii="宋体" w:hAnsi="宋体" w:cs="宋体"/>
          <w:color w:val="auto"/>
          <w:szCs w:val="21"/>
          <w:highlight w:val="none"/>
        </w:rPr>
        <w:t>若中标人在合同履行过程中出现项目质量事故、服务拖延、欠付工人工资、欠付材料款等情况，采购人在经核查属实后，有权将履约保函金额转为现金存入履约保证金账户；中标人造成采购人损失的，采购人有权立即没收其履约担保，若造成损失超过履约担保的，还应当对超过部分予以赔偿。</w:t>
      </w:r>
    </w:p>
    <w:p w14:paraId="7590E9EC">
      <w:pPr>
        <w:widowControl w:val="0"/>
        <w:numPr>
          <w:ilvl w:val="1"/>
          <w:numId w:val="3"/>
        </w:numPr>
        <w:overflowPunct w:val="0"/>
        <w:rPr>
          <w:rFonts w:ascii="宋体" w:hAnsi="宋体" w:cs="宋体"/>
          <w:color w:val="auto"/>
          <w:szCs w:val="21"/>
          <w:highlight w:val="none"/>
        </w:rPr>
      </w:pPr>
      <w:r>
        <w:rPr>
          <w:rFonts w:hint="eastAsia" w:ascii="宋体" w:hAnsi="宋体" w:cs="宋体"/>
          <w:color w:val="auto"/>
          <w:szCs w:val="21"/>
          <w:highlight w:val="none"/>
        </w:rPr>
        <w:t>下列任何情况发生时，采购人有权行使享有的担保权利，采购人有权立即没收其履约担保，若造成损失超过履约担保的，还应当对超过部分予以赔偿：</w:t>
      </w:r>
    </w:p>
    <w:p w14:paraId="2C185C73">
      <w:pPr>
        <w:widowControl w:val="0"/>
        <w:tabs>
          <w:tab w:val="left" w:pos="907"/>
        </w:tabs>
        <w:adjustRightInd/>
        <w:snapToGrid/>
        <w:ind w:left="567"/>
        <w:jc w:val="both"/>
        <w:rPr>
          <w:rFonts w:ascii="宋体" w:hAnsi="宋体" w:cs="宋体"/>
          <w:color w:val="auto"/>
          <w:szCs w:val="21"/>
          <w:highlight w:val="none"/>
        </w:rPr>
      </w:pPr>
      <w:r>
        <w:rPr>
          <w:rFonts w:hint="eastAsia" w:ascii="宋体" w:hAnsi="宋体" w:cs="宋体"/>
          <w:color w:val="auto"/>
          <w:szCs w:val="21"/>
          <w:highlight w:val="none"/>
        </w:rPr>
        <w:t>（1）中标人将本项目转让给他人，或者在投标文件中未说明，且未经采购人同意，将中标项目分包给他人的；</w:t>
      </w:r>
    </w:p>
    <w:p w14:paraId="3B0C1272">
      <w:pPr>
        <w:widowControl w:val="0"/>
        <w:tabs>
          <w:tab w:val="left" w:pos="907"/>
        </w:tabs>
        <w:adjustRightInd/>
        <w:snapToGrid/>
        <w:ind w:left="567"/>
        <w:jc w:val="both"/>
        <w:rPr>
          <w:rFonts w:ascii="宋体" w:hAnsi="宋体" w:cs="宋体"/>
          <w:color w:val="auto"/>
          <w:szCs w:val="21"/>
          <w:highlight w:val="none"/>
        </w:rPr>
      </w:pPr>
      <w:r>
        <w:rPr>
          <w:rFonts w:hint="eastAsia" w:ascii="宋体" w:hAnsi="宋体" w:cs="宋体"/>
          <w:color w:val="auto"/>
          <w:szCs w:val="21"/>
          <w:highlight w:val="none"/>
        </w:rPr>
        <w:t>（2）中标人在履行采购合同期间，违反有关法律法规的规定及合同约定的条款，损害了采购人的利益。</w:t>
      </w:r>
    </w:p>
    <w:p w14:paraId="54921EC0">
      <w:pPr>
        <w:widowControl w:val="0"/>
        <w:numPr>
          <w:ilvl w:val="1"/>
          <w:numId w:val="3"/>
        </w:numPr>
        <w:overflowPunct w:val="0"/>
        <w:rPr>
          <w:rFonts w:ascii="宋体" w:hAnsi="宋体" w:cs="宋体"/>
          <w:color w:val="auto"/>
          <w:szCs w:val="21"/>
          <w:highlight w:val="none"/>
        </w:rPr>
      </w:pPr>
      <w:r>
        <w:rPr>
          <w:rFonts w:hint="eastAsia" w:ascii="宋体" w:hAnsi="宋体" w:cs="宋体"/>
          <w:color w:val="auto"/>
          <w:szCs w:val="21"/>
          <w:highlight w:val="none"/>
        </w:rPr>
        <w:t>在整个项目验收合格后，中标人向采购人提交退回履约担保的申请，采购人办理履约担保退还手续。</w:t>
      </w:r>
    </w:p>
    <w:p w14:paraId="26EE2102">
      <w:pPr>
        <w:widowControl w:val="0"/>
        <w:tabs>
          <w:tab w:val="left" w:pos="907"/>
        </w:tabs>
        <w:adjustRightInd/>
        <w:snapToGrid/>
        <w:jc w:val="both"/>
        <w:rPr>
          <w:rFonts w:ascii="宋体" w:hAnsi="宋体" w:cs="宋体"/>
          <w:color w:val="auto"/>
          <w:highlight w:val="none"/>
        </w:rPr>
      </w:pPr>
    </w:p>
    <w:p w14:paraId="1B2A03B2">
      <w:pPr>
        <w:pStyle w:val="4"/>
        <w:widowControl w:val="0"/>
        <w:numPr>
          <w:ilvl w:val="0"/>
          <w:numId w:val="3"/>
        </w:numPr>
        <w:overflowPunct w:val="0"/>
        <w:rPr>
          <w:rFonts w:ascii="宋体" w:hAnsi="宋体" w:cs="宋体"/>
          <w:color w:val="auto"/>
          <w:sz w:val="21"/>
          <w:szCs w:val="21"/>
          <w:highlight w:val="none"/>
        </w:rPr>
      </w:pPr>
      <w:bookmarkStart w:id="173" w:name="_Toc1300"/>
      <w:bookmarkStart w:id="174" w:name="_Toc19347"/>
      <w:bookmarkStart w:id="175" w:name="_Toc18880"/>
      <w:r>
        <w:rPr>
          <w:rFonts w:hint="eastAsia" w:ascii="宋体" w:hAnsi="宋体" w:cs="宋体"/>
          <w:color w:val="auto"/>
          <w:sz w:val="21"/>
          <w:szCs w:val="21"/>
          <w:highlight w:val="none"/>
        </w:rPr>
        <w:t>预付款保函（适用于预付款支付）</w:t>
      </w:r>
      <w:bookmarkEnd w:id="173"/>
      <w:bookmarkEnd w:id="174"/>
      <w:bookmarkEnd w:id="175"/>
    </w:p>
    <w:p w14:paraId="46C50D30">
      <w:pPr>
        <w:pStyle w:val="20"/>
        <w:widowControl w:val="0"/>
        <w:numPr>
          <w:ilvl w:val="0"/>
          <w:numId w:val="4"/>
        </w:numPr>
        <w:tabs>
          <w:tab w:val="left" w:pos="567"/>
          <w:tab w:val="left" w:pos="907"/>
        </w:tabs>
        <w:adjustRightInd/>
        <w:snapToGrid/>
        <w:ind w:firstLineChars="0"/>
        <w:jc w:val="both"/>
        <w:rPr>
          <w:rFonts w:ascii="宋体" w:hAnsi="宋体" w:cs="宋体"/>
          <w:vanish/>
          <w:color w:val="auto"/>
          <w:szCs w:val="21"/>
          <w:highlight w:val="none"/>
        </w:rPr>
      </w:pPr>
    </w:p>
    <w:p w14:paraId="70CE6A36">
      <w:pPr>
        <w:widowControl w:val="0"/>
        <w:numPr>
          <w:ilvl w:val="1"/>
          <w:numId w:val="3"/>
        </w:numPr>
        <w:overflowPunct w:val="0"/>
        <w:rPr>
          <w:rFonts w:ascii="宋体" w:hAnsi="宋体" w:cs="宋体"/>
          <w:color w:val="auto"/>
          <w:szCs w:val="21"/>
          <w:highlight w:val="none"/>
        </w:rPr>
      </w:pPr>
      <w:r>
        <w:rPr>
          <w:rFonts w:hint="eastAsia" w:ascii="宋体" w:hAnsi="宋体" w:cs="宋体"/>
          <w:color w:val="auto"/>
          <w:szCs w:val="21"/>
          <w:highlight w:val="none"/>
        </w:rPr>
        <w:t>在签订合同时，中标人应按本须知规定向采购人提交一份有效的预付款保函。预付款保函有效期从保函开立之日起至采购人向中标人抵扣完所有预付款之日止。如果中标人提交的预付款保函的有效期先于采购文件要求的预付款保函有效期到达，中标人应在原提交的预付款保函有效期前15日内，无条件办理预付款保函延期手续。否则视为中标人违约，采购人可在预付款保函到期前将未抵扣的预付款转为现金存入采购人账户</w:t>
      </w:r>
    </w:p>
    <w:p w14:paraId="57986E8D">
      <w:pPr>
        <w:widowControl w:val="0"/>
        <w:numPr>
          <w:ilvl w:val="1"/>
          <w:numId w:val="3"/>
        </w:numPr>
        <w:overflowPunct w:val="0"/>
        <w:rPr>
          <w:rFonts w:ascii="宋体" w:hAnsi="宋体" w:cs="宋体"/>
          <w:color w:val="auto"/>
          <w:szCs w:val="21"/>
          <w:highlight w:val="none"/>
        </w:rPr>
      </w:pPr>
      <w:r>
        <w:rPr>
          <w:rFonts w:hint="eastAsia" w:ascii="宋体" w:hAnsi="宋体" w:cs="宋体"/>
          <w:color w:val="auto"/>
          <w:szCs w:val="21"/>
          <w:highlight w:val="none"/>
        </w:rPr>
        <w:t>预付款保函应：</w:t>
      </w:r>
    </w:p>
    <w:p w14:paraId="5FAA90A0">
      <w:pPr>
        <w:widowControl w:val="0"/>
        <w:tabs>
          <w:tab w:val="left" w:pos="907"/>
        </w:tabs>
        <w:adjustRightInd/>
        <w:snapToGrid/>
        <w:ind w:left="567"/>
        <w:jc w:val="both"/>
        <w:rPr>
          <w:rFonts w:ascii="宋体" w:hAnsi="宋体" w:cs="宋体"/>
          <w:color w:val="auto"/>
          <w:szCs w:val="21"/>
          <w:highlight w:val="none"/>
        </w:rPr>
      </w:pPr>
      <w:r>
        <w:rPr>
          <w:rFonts w:hint="eastAsia" w:ascii="宋体" w:hAnsi="宋体" w:cs="宋体"/>
          <w:color w:val="auto"/>
          <w:szCs w:val="21"/>
          <w:highlight w:val="none"/>
        </w:rPr>
        <w:t>（1）由东莞市行政区域内的银行支行及以上银行机构开具。非东莞市行政区内的银行开具的保函要由银行所在地公证部门出具的公证书。</w:t>
      </w:r>
    </w:p>
    <w:p w14:paraId="57EB545C">
      <w:pPr>
        <w:widowControl w:val="0"/>
        <w:tabs>
          <w:tab w:val="left" w:pos="907"/>
        </w:tabs>
        <w:adjustRightInd/>
        <w:snapToGrid/>
        <w:ind w:left="567"/>
        <w:jc w:val="both"/>
        <w:rPr>
          <w:rFonts w:ascii="宋体" w:hAnsi="宋体" w:cs="宋体"/>
          <w:color w:val="auto"/>
          <w:szCs w:val="21"/>
          <w:highlight w:val="none"/>
        </w:rPr>
      </w:pPr>
      <w:r>
        <w:rPr>
          <w:rFonts w:hint="eastAsia" w:ascii="宋体" w:hAnsi="宋体" w:cs="宋体"/>
          <w:color w:val="auto"/>
          <w:szCs w:val="21"/>
          <w:highlight w:val="none"/>
        </w:rPr>
        <w:t>（2）须使用采购文件中提供的预付款保函的格式。</w:t>
      </w:r>
    </w:p>
    <w:p w14:paraId="3FB6A736">
      <w:pPr>
        <w:widowControl w:val="0"/>
        <w:tabs>
          <w:tab w:val="left" w:pos="907"/>
        </w:tabs>
        <w:adjustRightInd/>
        <w:snapToGrid/>
        <w:ind w:left="567"/>
        <w:jc w:val="both"/>
        <w:rPr>
          <w:rFonts w:ascii="宋体" w:hAnsi="宋体" w:cs="宋体"/>
          <w:color w:val="auto"/>
          <w:szCs w:val="21"/>
          <w:highlight w:val="none"/>
        </w:rPr>
      </w:pPr>
      <w:r>
        <w:rPr>
          <w:rFonts w:hint="eastAsia" w:ascii="宋体" w:hAnsi="宋体" w:cs="宋体"/>
          <w:color w:val="auto"/>
          <w:szCs w:val="21"/>
          <w:highlight w:val="none"/>
        </w:rPr>
        <w:t>（3）必须打印，手写、涂改无效</w:t>
      </w:r>
    </w:p>
    <w:p w14:paraId="6FE9B736">
      <w:pPr>
        <w:widowControl w:val="0"/>
        <w:numPr>
          <w:ilvl w:val="1"/>
          <w:numId w:val="3"/>
        </w:numPr>
        <w:overflowPunct w:val="0"/>
        <w:rPr>
          <w:rFonts w:ascii="宋体" w:hAnsi="宋体" w:cs="宋体"/>
          <w:color w:val="auto"/>
          <w:szCs w:val="21"/>
          <w:highlight w:val="none"/>
        </w:rPr>
      </w:pPr>
      <w:r>
        <w:rPr>
          <w:rFonts w:hint="eastAsia" w:ascii="宋体" w:hAnsi="宋体" w:cs="宋体"/>
          <w:color w:val="auto"/>
          <w:szCs w:val="21"/>
          <w:highlight w:val="none"/>
        </w:rPr>
        <w:t>若中标人不能按本须知（34.1至34.2）的规定执行，采购人将不予支付预付款。</w:t>
      </w:r>
    </w:p>
    <w:p w14:paraId="10DCAF89">
      <w:pPr>
        <w:widowControl w:val="0"/>
        <w:numPr>
          <w:ilvl w:val="1"/>
          <w:numId w:val="3"/>
        </w:numPr>
        <w:overflowPunct w:val="0"/>
        <w:rPr>
          <w:rFonts w:ascii="宋体" w:hAnsi="宋体" w:cs="宋体"/>
          <w:color w:val="auto"/>
          <w:szCs w:val="21"/>
          <w:highlight w:val="none"/>
        </w:rPr>
      </w:pPr>
      <w:r>
        <w:rPr>
          <w:rFonts w:hint="eastAsia" w:ascii="宋体" w:hAnsi="宋体" w:cs="宋体"/>
          <w:color w:val="auto"/>
          <w:szCs w:val="21"/>
          <w:highlight w:val="none"/>
        </w:rPr>
        <w:t>如果中标人提交的预付款保函的有效期先于采购文件要求的预付款保函有效期到达，中标人应在原提交的预付款保函有效期满前15天内，无条件办理预付款保函延期手续。否则视为中标人违约，采购人可在预付款保函到期前将未抵扣的预付款金额转为现金存入采购人账户。</w:t>
      </w:r>
    </w:p>
    <w:p w14:paraId="606C5C5C">
      <w:pPr>
        <w:rPr>
          <w:rFonts w:ascii="宋体" w:hAnsi="宋体" w:cs="宋体"/>
          <w:color w:val="auto"/>
          <w:highlight w:val="none"/>
        </w:rPr>
      </w:pPr>
    </w:p>
    <w:p w14:paraId="7E8AE6E9">
      <w:pPr>
        <w:pStyle w:val="3"/>
        <w:numPr>
          <w:ilvl w:val="0"/>
          <w:numId w:val="2"/>
        </w:numPr>
        <w:spacing w:before="0" w:after="0" w:line="360" w:lineRule="auto"/>
        <w:jc w:val="center"/>
        <w:rPr>
          <w:rFonts w:ascii="宋体" w:hAnsi="宋体" w:cs="宋体"/>
          <w:color w:val="auto"/>
          <w:highlight w:val="none"/>
        </w:rPr>
      </w:pPr>
      <w:bookmarkStart w:id="176" w:name="_Toc21814"/>
      <w:bookmarkStart w:id="177" w:name="_Toc19234"/>
      <w:bookmarkStart w:id="178" w:name="_Toc27556"/>
      <w:r>
        <w:rPr>
          <w:rFonts w:hint="eastAsia" w:ascii="宋体" w:hAnsi="宋体" w:cs="宋体"/>
          <w:color w:val="auto"/>
          <w:highlight w:val="none"/>
        </w:rPr>
        <w:t>异议</w:t>
      </w:r>
      <w:bookmarkEnd w:id="176"/>
      <w:bookmarkEnd w:id="177"/>
      <w:bookmarkEnd w:id="178"/>
    </w:p>
    <w:p w14:paraId="169CC36B">
      <w:pPr>
        <w:pStyle w:val="4"/>
        <w:widowControl w:val="0"/>
        <w:numPr>
          <w:ilvl w:val="0"/>
          <w:numId w:val="3"/>
        </w:numPr>
        <w:overflowPunct w:val="0"/>
        <w:rPr>
          <w:rFonts w:ascii="宋体" w:hAnsi="宋体" w:cs="宋体"/>
          <w:color w:val="auto"/>
          <w:sz w:val="21"/>
          <w:szCs w:val="21"/>
          <w:highlight w:val="none"/>
        </w:rPr>
      </w:pPr>
      <w:bookmarkStart w:id="179" w:name="_Toc31457"/>
      <w:bookmarkStart w:id="180" w:name="_Toc27146"/>
      <w:bookmarkStart w:id="181" w:name="_Toc9791"/>
      <w:r>
        <w:rPr>
          <w:rFonts w:hint="eastAsia" w:ascii="宋体" w:hAnsi="宋体" w:cs="宋体"/>
          <w:color w:val="auto"/>
          <w:sz w:val="21"/>
          <w:szCs w:val="21"/>
          <w:highlight w:val="none"/>
        </w:rPr>
        <w:t>异议</w:t>
      </w:r>
      <w:bookmarkEnd w:id="179"/>
      <w:bookmarkEnd w:id="180"/>
      <w:bookmarkEnd w:id="181"/>
    </w:p>
    <w:p w14:paraId="2C0B54AA">
      <w:pPr>
        <w:pStyle w:val="20"/>
        <w:widowControl w:val="0"/>
        <w:numPr>
          <w:ilvl w:val="0"/>
          <w:numId w:val="4"/>
        </w:numPr>
        <w:tabs>
          <w:tab w:val="left" w:pos="907"/>
        </w:tabs>
        <w:adjustRightInd/>
        <w:snapToGrid/>
        <w:ind w:firstLineChars="0"/>
        <w:jc w:val="both"/>
        <w:rPr>
          <w:rFonts w:ascii="宋体" w:hAnsi="宋体" w:cs="宋体"/>
          <w:vanish/>
          <w:color w:val="auto"/>
          <w:szCs w:val="21"/>
          <w:highlight w:val="none"/>
        </w:rPr>
      </w:pPr>
    </w:p>
    <w:p w14:paraId="097D7063">
      <w:pPr>
        <w:widowControl w:val="0"/>
        <w:numPr>
          <w:ilvl w:val="1"/>
          <w:numId w:val="3"/>
        </w:numPr>
        <w:overflowPunct w:val="0"/>
        <w:rPr>
          <w:rFonts w:ascii="宋体" w:hAnsi="宋体" w:cs="宋体"/>
          <w:color w:val="auto"/>
          <w:szCs w:val="21"/>
          <w:highlight w:val="none"/>
        </w:rPr>
      </w:pPr>
      <w:r>
        <w:rPr>
          <w:rFonts w:hint="eastAsia" w:ascii="宋体" w:hAnsi="宋体" w:cs="宋体"/>
          <w:color w:val="auto"/>
          <w:szCs w:val="21"/>
          <w:highlight w:val="none"/>
          <w:lang w:val="zh-CN"/>
        </w:rPr>
        <w:t>采购文件的异议</w:t>
      </w:r>
      <w:r>
        <w:rPr>
          <w:rFonts w:hint="eastAsia" w:ascii="宋体" w:hAnsi="宋体" w:cs="宋体"/>
          <w:color w:val="auto"/>
          <w:szCs w:val="21"/>
          <w:highlight w:val="none"/>
        </w:rPr>
        <w:t xml:space="preserve">  </w:t>
      </w:r>
    </w:p>
    <w:p w14:paraId="5ACF5321">
      <w:pPr>
        <w:widowControl w:val="0"/>
        <w:tabs>
          <w:tab w:val="left" w:pos="907"/>
        </w:tabs>
        <w:adjustRightInd/>
        <w:snapToGrid/>
        <w:ind w:firstLine="420" w:firstLineChars="200"/>
        <w:jc w:val="both"/>
        <w:rPr>
          <w:rFonts w:ascii="宋体" w:hAnsi="宋体" w:cs="宋体"/>
          <w:color w:val="auto"/>
          <w:szCs w:val="21"/>
          <w:highlight w:val="none"/>
        </w:rPr>
      </w:pPr>
      <w:r>
        <w:rPr>
          <w:rFonts w:hint="eastAsia" w:ascii="宋体" w:hAnsi="宋体" w:cs="宋体"/>
          <w:bCs/>
          <w:color w:val="auto"/>
          <w:kern w:val="2"/>
          <w:szCs w:val="21"/>
          <w:highlight w:val="none"/>
          <w:lang w:val="zh-CN"/>
        </w:rPr>
        <w:t>投标人或者其他利害关系人对采购文件有异议的，应当在投标截止时间10日前</w:t>
      </w:r>
      <w:r>
        <w:rPr>
          <w:rFonts w:hint="eastAsia" w:ascii="宋体" w:hAnsi="宋体" w:cs="宋体"/>
          <w:color w:val="auto"/>
          <w:kern w:val="2"/>
          <w:szCs w:val="21"/>
          <w:highlight w:val="none"/>
          <w:lang w:val="zh-CN"/>
        </w:rPr>
        <w:t>以书面形式向采购代理机构提出，并将材料原件送达采购代理机构，逾期则视为对采购文件所有内容无异议。</w:t>
      </w:r>
      <w:r>
        <w:rPr>
          <w:rFonts w:hint="eastAsia" w:ascii="宋体" w:hAnsi="宋体" w:cs="宋体"/>
          <w:bCs/>
          <w:color w:val="auto"/>
          <w:kern w:val="2"/>
          <w:szCs w:val="21"/>
          <w:highlight w:val="none"/>
          <w:lang w:val="zh-CN"/>
        </w:rPr>
        <w:t>异议</w:t>
      </w:r>
      <w:r>
        <w:rPr>
          <w:rFonts w:hint="eastAsia" w:ascii="宋体" w:hAnsi="宋体" w:cs="宋体"/>
          <w:color w:val="auto"/>
          <w:kern w:val="2"/>
          <w:szCs w:val="21"/>
          <w:highlight w:val="none"/>
          <w:lang w:val="zh-CN"/>
        </w:rPr>
        <w:t>书面材料必须加盖投标人法人公章，并注明联系人、联系电话、联系地址。</w:t>
      </w:r>
      <w:r>
        <w:rPr>
          <w:rFonts w:hint="eastAsia" w:ascii="宋体" w:hAnsi="宋体" w:cs="宋体"/>
          <w:bCs/>
          <w:color w:val="auto"/>
          <w:kern w:val="2"/>
          <w:szCs w:val="21"/>
          <w:highlight w:val="none"/>
          <w:lang w:val="zh-CN"/>
        </w:rPr>
        <w:t>超出</w:t>
      </w:r>
      <w:r>
        <w:rPr>
          <w:rFonts w:hint="eastAsia" w:ascii="宋体" w:hAnsi="宋体" w:cs="宋体"/>
          <w:color w:val="auto"/>
          <w:kern w:val="2"/>
          <w:szCs w:val="21"/>
          <w:highlight w:val="none"/>
          <w:lang w:val="zh-CN"/>
        </w:rPr>
        <w:t>提交接收异议截止时间而</w:t>
      </w:r>
      <w:r>
        <w:rPr>
          <w:rFonts w:hint="eastAsia" w:ascii="宋体" w:hAnsi="宋体" w:cs="宋体"/>
          <w:bCs/>
          <w:color w:val="auto"/>
          <w:kern w:val="2"/>
          <w:szCs w:val="21"/>
          <w:highlight w:val="none"/>
          <w:lang w:val="zh-CN"/>
        </w:rPr>
        <w:t>提出的任何疑问，</w:t>
      </w:r>
      <w:r>
        <w:rPr>
          <w:rFonts w:hint="eastAsia" w:ascii="宋体" w:hAnsi="宋体" w:cs="宋体"/>
          <w:bCs/>
          <w:color w:val="auto"/>
          <w:kern w:val="2"/>
          <w:szCs w:val="21"/>
          <w:highlight w:val="none"/>
        </w:rPr>
        <w:t>采购人或</w:t>
      </w:r>
      <w:r>
        <w:rPr>
          <w:rFonts w:hint="eastAsia" w:ascii="宋体" w:hAnsi="宋体" w:cs="宋体"/>
          <w:bCs/>
          <w:color w:val="auto"/>
          <w:kern w:val="2"/>
          <w:szCs w:val="21"/>
          <w:highlight w:val="none"/>
          <w:lang w:val="zh-CN"/>
        </w:rPr>
        <w:t>采购代理机构可不予答复。</w:t>
      </w:r>
    </w:p>
    <w:p w14:paraId="4F947486">
      <w:pPr>
        <w:widowControl w:val="0"/>
        <w:numPr>
          <w:ilvl w:val="1"/>
          <w:numId w:val="3"/>
        </w:numPr>
        <w:overflowPunct w:val="0"/>
        <w:rPr>
          <w:rFonts w:ascii="宋体" w:hAnsi="宋体" w:cs="宋体"/>
          <w:color w:val="auto"/>
          <w:szCs w:val="21"/>
          <w:highlight w:val="none"/>
        </w:rPr>
      </w:pPr>
      <w:r>
        <w:rPr>
          <w:rFonts w:hint="eastAsia" w:ascii="宋体" w:hAnsi="宋体" w:cs="宋体"/>
          <w:color w:val="auto"/>
          <w:szCs w:val="21"/>
          <w:highlight w:val="none"/>
          <w:lang w:val="zh-CN"/>
        </w:rPr>
        <w:t>评标结果异议</w:t>
      </w:r>
      <w:r>
        <w:rPr>
          <w:rFonts w:hint="eastAsia" w:ascii="宋体" w:hAnsi="宋体" w:cs="宋体"/>
          <w:color w:val="auto"/>
          <w:szCs w:val="21"/>
          <w:highlight w:val="none"/>
        </w:rPr>
        <w:t xml:space="preserve">   </w:t>
      </w:r>
    </w:p>
    <w:p w14:paraId="1D243F2C">
      <w:pPr>
        <w:widowControl w:val="0"/>
        <w:tabs>
          <w:tab w:val="left" w:pos="907"/>
        </w:tabs>
        <w:adjustRightInd/>
        <w:snapToGrid/>
        <w:ind w:firstLine="420" w:firstLineChars="200"/>
        <w:jc w:val="both"/>
        <w:rPr>
          <w:rFonts w:ascii="宋体" w:hAnsi="宋体" w:cs="宋体"/>
          <w:color w:val="auto"/>
          <w:kern w:val="2"/>
          <w:szCs w:val="21"/>
          <w:highlight w:val="none"/>
          <w:lang w:val="zh-CN"/>
        </w:rPr>
      </w:pPr>
      <w:r>
        <w:rPr>
          <w:rFonts w:hint="eastAsia" w:ascii="宋体" w:hAnsi="宋体" w:cs="宋体"/>
          <w:color w:val="auto"/>
          <w:kern w:val="2"/>
          <w:szCs w:val="21"/>
          <w:highlight w:val="none"/>
          <w:lang w:val="zh-CN"/>
        </w:rPr>
        <w:t>投标人或者其他利害关系人对评标结果有异议的，应当在中标候选人公示期间向采购代理机构以书面的形式提出，并将完整的异议书面材料原件送达采购代理机构，逾期则视为对评标结果无异议。超出提交异议截止时间而提出的任何疑问，采购代理机构可不予答复。</w:t>
      </w:r>
    </w:p>
    <w:p w14:paraId="5E06EDA3">
      <w:pPr>
        <w:widowControl w:val="0"/>
        <w:tabs>
          <w:tab w:val="left" w:pos="907"/>
        </w:tabs>
        <w:adjustRightInd/>
        <w:snapToGrid/>
        <w:ind w:firstLine="420" w:firstLineChars="200"/>
        <w:jc w:val="both"/>
        <w:rPr>
          <w:rFonts w:ascii="宋体" w:hAnsi="宋体" w:cs="宋体"/>
          <w:color w:val="auto"/>
          <w:kern w:val="2"/>
          <w:szCs w:val="21"/>
          <w:highlight w:val="none"/>
          <w:lang w:val="zh-CN"/>
        </w:rPr>
      </w:pPr>
      <w:r>
        <w:rPr>
          <w:rFonts w:hint="eastAsia" w:ascii="宋体" w:hAnsi="宋体" w:cs="宋体"/>
          <w:color w:val="auto"/>
          <w:kern w:val="2"/>
          <w:szCs w:val="21"/>
          <w:highlight w:val="none"/>
          <w:lang w:val="zh-CN"/>
        </w:rPr>
        <w:t>采购代理机构将拒收未能提供完整异议书面材料的异议，完整的异议书面材料必须同时包含：异议书（加盖法人公章，并注明联系人、联系电话、联系地址）、授权提交异议的法定代表人授权书原件、反映异议人主体资格的营业执照复印件（加盖法人公章）、以及合法来源的证据证明材料。</w:t>
      </w:r>
    </w:p>
    <w:p w14:paraId="0A0181FE">
      <w:pPr>
        <w:widowControl w:val="0"/>
        <w:numPr>
          <w:ilvl w:val="1"/>
          <w:numId w:val="3"/>
        </w:numPr>
        <w:overflowPunct w:val="0"/>
        <w:rPr>
          <w:rFonts w:ascii="宋体" w:hAnsi="宋体" w:cs="宋体"/>
          <w:color w:val="auto"/>
          <w:szCs w:val="21"/>
          <w:highlight w:val="none"/>
        </w:rPr>
      </w:pPr>
      <w:r>
        <w:rPr>
          <w:rFonts w:hint="eastAsia" w:ascii="宋体" w:hAnsi="宋体" w:cs="宋体"/>
          <w:color w:val="auto"/>
          <w:szCs w:val="21"/>
          <w:highlight w:val="none"/>
        </w:rPr>
        <w:t>以联合体形式参加采购活动的，其异议应当由组成联合体的所有投标人共同提出。</w:t>
      </w:r>
    </w:p>
    <w:p w14:paraId="583FCAB4">
      <w:pPr>
        <w:rPr>
          <w:rFonts w:ascii="宋体" w:hAnsi="宋体" w:cs="宋体"/>
          <w:color w:val="auto"/>
          <w:highlight w:val="none"/>
        </w:rPr>
      </w:pPr>
    </w:p>
    <w:p w14:paraId="0B031895">
      <w:pPr>
        <w:pStyle w:val="3"/>
        <w:numPr>
          <w:ilvl w:val="0"/>
          <w:numId w:val="2"/>
        </w:numPr>
        <w:spacing w:before="0" w:after="0" w:line="360" w:lineRule="auto"/>
        <w:jc w:val="center"/>
        <w:rPr>
          <w:rFonts w:ascii="宋体" w:hAnsi="宋体" w:cs="宋体"/>
          <w:color w:val="auto"/>
          <w:highlight w:val="none"/>
        </w:rPr>
      </w:pPr>
      <w:bookmarkStart w:id="182" w:name="_Toc16776"/>
      <w:bookmarkStart w:id="183" w:name="_Toc18965"/>
      <w:bookmarkStart w:id="184" w:name="_Toc13901"/>
      <w:r>
        <w:rPr>
          <w:rFonts w:hint="eastAsia" w:ascii="宋体" w:hAnsi="宋体" w:cs="宋体"/>
          <w:color w:val="auto"/>
          <w:highlight w:val="none"/>
        </w:rPr>
        <w:t>其他</w:t>
      </w:r>
      <w:bookmarkEnd w:id="182"/>
      <w:bookmarkEnd w:id="183"/>
      <w:bookmarkEnd w:id="184"/>
    </w:p>
    <w:p w14:paraId="32EDEC5D">
      <w:pPr>
        <w:pStyle w:val="4"/>
        <w:widowControl w:val="0"/>
        <w:numPr>
          <w:ilvl w:val="0"/>
          <w:numId w:val="3"/>
        </w:numPr>
        <w:overflowPunct w:val="0"/>
        <w:rPr>
          <w:rFonts w:ascii="宋体" w:hAnsi="宋体" w:cs="宋体"/>
          <w:color w:val="auto"/>
          <w:sz w:val="21"/>
          <w:szCs w:val="21"/>
          <w:highlight w:val="none"/>
        </w:rPr>
      </w:pPr>
      <w:bookmarkStart w:id="185" w:name="_Toc2155"/>
      <w:bookmarkStart w:id="186" w:name="_Toc8704"/>
      <w:bookmarkStart w:id="187" w:name="_Toc1587"/>
      <w:r>
        <w:rPr>
          <w:rFonts w:hint="eastAsia" w:ascii="宋体" w:hAnsi="宋体" w:cs="宋体"/>
          <w:color w:val="auto"/>
          <w:sz w:val="21"/>
          <w:szCs w:val="21"/>
          <w:highlight w:val="none"/>
        </w:rPr>
        <w:t>采购文件的解释权</w:t>
      </w:r>
      <w:bookmarkEnd w:id="185"/>
      <w:bookmarkEnd w:id="186"/>
      <w:bookmarkEnd w:id="187"/>
    </w:p>
    <w:p w14:paraId="652D96DB">
      <w:pPr>
        <w:pStyle w:val="20"/>
        <w:widowControl w:val="0"/>
        <w:numPr>
          <w:ilvl w:val="0"/>
          <w:numId w:val="4"/>
        </w:numPr>
        <w:tabs>
          <w:tab w:val="left" w:pos="907"/>
        </w:tabs>
        <w:adjustRightInd/>
        <w:snapToGrid/>
        <w:ind w:firstLineChars="0"/>
        <w:jc w:val="both"/>
        <w:rPr>
          <w:rFonts w:ascii="宋体" w:hAnsi="宋体" w:cs="宋体"/>
          <w:vanish/>
          <w:color w:val="auto"/>
          <w:szCs w:val="21"/>
          <w:highlight w:val="none"/>
        </w:rPr>
      </w:pPr>
    </w:p>
    <w:p w14:paraId="64639FDD">
      <w:pPr>
        <w:widowControl w:val="0"/>
        <w:numPr>
          <w:ilvl w:val="1"/>
          <w:numId w:val="3"/>
        </w:numPr>
        <w:overflowPunct w:val="0"/>
        <w:rPr>
          <w:rFonts w:ascii="宋体" w:hAnsi="宋体" w:cs="宋体"/>
          <w:color w:val="auto"/>
          <w:szCs w:val="21"/>
          <w:highlight w:val="none"/>
        </w:rPr>
      </w:pPr>
      <w:r>
        <w:rPr>
          <w:rFonts w:hint="eastAsia" w:ascii="宋体" w:hAnsi="宋体" w:cs="宋体"/>
          <w:color w:val="auto"/>
          <w:szCs w:val="21"/>
          <w:highlight w:val="none"/>
        </w:rPr>
        <w:t>本采购文件是根据国家有关法律、法规以及采购管理有关规定和参照国际惯例编制，解释权属本采购代理机构。</w:t>
      </w:r>
    </w:p>
    <w:p w14:paraId="356B7934">
      <w:pPr>
        <w:widowControl w:val="0"/>
        <w:numPr>
          <w:ilvl w:val="1"/>
          <w:numId w:val="9"/>
        </w:numPr>
        <w:tabs>
          <w:tab w:val="left" w:pos="907"/>
        </w:tabs>
        <w:adjustRightInd/>
        <w:snapToGrid/>
        <w:spacing w:line="360" w:lineRule="exact"/>
        <w:jc w:val="both"/>
        <w:rPr>
          <w:rFonts w:ascii="宋体" w:hAnsi="宋体"/>
          <w:color w:val="auto"/>
          <w:szCs w:val="21"/>
          <w:highlight w:val="none"/>
        </w:rPr>
      </w:pPr>
      <w:r>
        <w:rPr>
          <w:rFonts w:hint="eastAsia" w:ascii="宋体" w:hAnsi="宋体"/>
          <w:color w:val="auto"/>
          <w:szCs w:val="21"/>
          <w:highlight w:val="none"/>
        </w:rPr>
        <w:br w:type="page"/>
      </w:r>
    </w:p>
    <w:p w14:paraId="747084A8">
      <w:pPr>
        <w:pStyle w:val="2"/>
        <w:numPr>
          <w:ilvl w:val="0"/>
          <w:numId w:val="10"/>
        </w:numPr>
        <w:spacing w:before="0" w:after="0" w:line="240" w:lineRule="auto"/>
        <w:rPr>
          <w:rFonts w:hint="eastAsia"/>
          <w:color w:val="auto"/>
          <w:sz w:val="28"/>
          <w:szCs w:val="28"/>
          <w:highlight w:val="none"/>
        </w:rPr>
      </w:pPr>
      <w:bookmarkStart w:id="188" w:name="_Toc15211"/>
      <w:r>
        <w:rPr>
          <w:rFonts w:hint="eastAsia"/>
          <w:color w:val="auto"/>
          <w:sz w:val="28"/>
          <w:szCs w:val="28"/>
          <w:highlight w:val="none"/>
        </w:rPr>
        <w:t xml:space="preserve"> </w:t>
      </w:r>
      <w:bookmarkStart w:id="189" w:name="_Toc19235"/>
      <w:r>
        <w:rPr>
          <w:rFonts w:hint="eastAsia"/>
          <w:color w:val="auto"/>
          <w:sz w:val="28"/>
          <w:szCs w:val="28"/>
          <w:highlight w:val="none"/>
        </w:rPr>
        <w:t>合同条款格式</w:t>
      </w:r>
      <w:bookmarkEnd w:id="188"/>
      <w:bookmarkEnd w:id="189"/>
      <w:bookmarkStart w:id="190" w:name="_Toc15636"/>
    </w:p>
    <w:p w14:paraId="15B833D5">
      <w:pPr>
        <w:numPr>
          <w:ilvl w:val="-1"/>
          <w:numId w:val="0"/>
        </w:numPr>
        <w:rPr>
          <w:rFonts w:hint="eastAsia"/>
          <w:color w:val="auto"/>
          <w:sz w:val="28"/>
          <w:szCs w:val="28"/>
          <w:highlight w:val="none"/>
        </w:rPr>
      </w:pPr>
    </w:p>
    <w:p w14:paraId="5191EF3E">
      <w:pPr>
        <w:ind w:firstLine="420" w:firstLineChars="200"/>
        <w:rPr>
          <w:rFonts w:ascii="宋体" w:hAnsi="宋体" w:cs="宋体"/>
          <w:color w:val="auto"/>
          <w:szCs w:val="21"/>
          <w:highlight w:val="none"/>
        </w:rPr>
      </w:pPr>
      <w:bookmarkStart w:id="191" w:name="_Toc30736"/>
      <w:bookmarkStart w:id="192" w:name="_Toc19734"/>
      <w:bookmarkStart w:id="193" w:name="_Toc25909"/>
      <w:bookmarkStart w:id="194" w:name="_Toc2825"/>
      <w:bookmarkStart w:id="195" w:name="_Toc4917"/>
      <w:bookmarkStart w:id="196" w:name="_Toc6739"/>
      <w:bookmarkStart w:id="197" w:name="_Toc31539"/>
      <w:r>
        <w:rPr>
          <w:rFonts w:hint="eastAsia" w:ascii="宋体" w:hAnsi="宋体" w:cs="宋体"/>
          <w:color w:val="auto"/>
          <w:szCs w:val="21"/>
          <w:highlight w:val="none"/>
        </w:rPr>
        <w:t>甲方合同编号：</w:t>
      </w:r>
    </w:p>
    <w:p w14:paraId="0CB81279">
      <w:pPr>
        <w:ind w:firstLine="420" w:firstLineChars="200"/>
        <w:rPr>
          <w:rFonts w:ascii="宋体" w:hAnsi="宋体" w:cs="宋体"/>
          <w:color w:val="auto"/>
          <w:szCs w:val="21"/>
          <w:highlight w:val="none"/>
        </w:rPr>
      </w:pPr>
      <w:r>
        <w:rPr>
          <w:rFonts w:hint="eastAsia" w:ascii="宋体" w:hAnsi="宋体" w:cs="宋体"/>
          <w:color w:val="auto"/>
          <w:szCs w:val="21"/>
          <w:highlight w:val="none"/>
        </w:rPr>
        <w:t>乙方合同编号：</w:t>
      </w:r>
    </w:p>
    <w:p w14:paraId="7293C7A8">
      <w:pPr>
        <w:jc w:val="center"/>
        <w:rPr>
          <w:rFonts w:ascii="宋体" w:hAnsi="宋体" w:cs="宋体"/>
          <w:b/>
          <w:color w:val="auto"/>
          <w:szCs w:val="21"/>
          <w:highlight w:val="none"/>
        </w:rPr>
      </w:pPr>
    </w:p>
    <w:p w14:paraId="213945D7">
      <w:pPr>
        <w:jc w:val="center"/>
        <w:rPr>
          <w:rFonts w:ascii="宋体" w:hAnsi="宋体" w:cs="宋体"/>
          <w:b/>
          <w:color w:val="auto"/>
          <w:szCs w:val="21"/>
          <w:highlight w:val="none"/>
        </w:rPr>
      </w:pPr>
    </w:p>
    <w:p w14:paraId="4903033F">
      <w:pPr>
        <w:jc w:val="center"/>
        <w:rPr>
          <w:rFonts w:ascii="宋体" w:hAnsi="宋体" w:cs="宋体"/>
          <w:b/>
          <w:bCs/>
          <w:color w:val="auto"/>
          <w:sz w:val="30"/>
          <w:szCs w:val="30"/>
          <w:highlight w:val="none"/>
        </w:rPr>
      </w:pPr>
      <w:r>
        <w:rPr>
          <w:rFonts w:hint="eastAsia" w:ascii="宋体" w:hAnsi="宋体" w:cs="宋体"/>
          <w:b/>
          <w:bCs/>
          <w:color w:val="auto"/>
          <w:sz w:val="30"/>
          <w:szCs w:val="30"/>
          <w:highlight w:val="none"/>
          <w:lang w:val="en-US" w:eastAsia="zh-CN"/>
        </w:rPr>
        <w:t>餐厨项目</w:t>
      </w:r>
      <w:r>
        <w:rPr>
          <w:rFonts w:hint="eastAsia" w:ascii="宋体" w:hAnsi="宋体" w:cs="宋体"/>
          <w:b/>
          <w:bCs/>
          <w:color w:val="auto"/>
          <w:sz w:val="30"/>
          <w:szCs w:val="30"/>
          <w:highlight w:val="none"/>
          <w:lang w:eastAsia="zh-CN"/>
        </w:rPr>
        <w:t>202</w:t>
      </w:r>
      <w:r>
        <w:rPr>
          <w:rFonts w:hint="eastAsia" w:ascii="宋体" w:hAnsi="宋体" w:cs="宋体"/>
          <w:b/>
          <w:bCs/>
          <w:color w:val="auto"/>
          <w:sz w:val="30"/>
          <w:szCs w:val="30"/>
          <w:highlight w:val="none"/>
          <w:lang w:val="en-US" w:eastAsia="zh-CN"/>
        </w:rPr>
        <w:t>5</w:t>
      </w:r>
      <w:r>
        <w:rPr>
          <w:rFonts w:hint="eastAsia" w:ascii="宋体" w:hAnsi="宋体" w:cs="宋体"/>
          <w:b/>
          <w:bCs/>
          <w:color w:val="auto"/>
          <w:sz w:val="30"/>
          <w:szCs w:val="30"/>
          <w:highlight w:val="none"/>
          <w:lang w:eastAsia="zh-CN"/>
        </w:rPr>
        <w:t>年度定点维修服务项目</w:t>
      </w:r>
      <w:r>
        <w:rPr>
          <w:rFonts w:hint="eastAsia" w:ascii="宋体" w:hAnsi="宋体" w:cs="宋体"/>
          <w:b/>
          <w:bCs/>
          <w:color w:val="auto"/>
          <w:sz w:val="30"/>
          <w:szCs w:val="30"/>
          <w:highlight w:val="none"/>
        </w:rPr>
        <w:t>合同</w:t>
      </w:r>
    </w:p>
    <w:p w14:paraId="4589DB36">
      <w:pPr>
        <w:jc w:val="center"/>
        <w:rPr>
          <w:rFonts w:ascii="宋体" w:hAnsi="宋体" w:cs="宋体"/>
          <w:b/>
          <w:bCs/>
          <w:color w:val="auto"/>
          <w:szCs w:val="21"/>
          <w:highlight w:val="none"/>
        </w:rPr>
      </w:pPr>
    </w:p>
    <w:p w14:paraId="73A77104">
      <w:pPr>
        <w:ind w:firstLine="420" w:firstLineChars="200"/>
        <w:rPr>
          <w:rFonts w:ascii="宋体" w:hAnsi="宋体" w:cs="宋体"/>
          <w:color w:val="auto"/>
          <w:szCs w:val="21"/>
          <w:highlight w:val="none"/>
        </w:rPr>
      </w:pPr>
      <w:r>
        <w:rPr>
          <w:rFonts w:hint="eastAsia" w:ascii="宋体" w:hAnsi="宋体" w:cs="宋体"/>
          <w:color w:val="auto"/>
          <w:szCs w:val="21"/>
          <w:highlight w:val="none"/>
        </w:rPr>
        <w:t xml:space="preserve">甲方： </w:t>
      </w:r>
    </w:p>
    <w:p w14:paraId="707D14CA">
      <w:pPr>
        <w:ind w:firstLine="420" w:firstLineChars="200"/>
        <w:rPr>
          <w:rFonts w:ascii="宋体" w:hAnsi="宋体" w:cs="宋体"/>
          <w:bCs/>
          <w:color w:val="auto"/>
          <w:szCs w:val="21"/>
          <w:highlight w:val="none"/>
        </w:rPr>
      </w:pPr>
      <w:r>
        <w:rPr>
          <w:rFonts w:hint="eastAsia" w:ascii="宋体" w:hAnsi="宋体" w:cs="宋体"/>
          <w:bCs/>
          <w:color w:val="auto"/>
          <w:szCs w:val="21"/>
          <w:highlight w:val="none"/>
        </w:rPr>
        <w:t>统一社会信用代码：</w:t>
      </w:r>
    </w:p>
    <w:p w14:paraId="2AFEC40F">
      <w:pPr>
        <w:ind w:firstLine="420" w:firstLineChars="200"/>
        <w:rPr>
          <w:rFonts w:ascii="宋体" w:hAnsi="宋体" w:cs="宋体"/>
          <w:color w:val="auto"/>
          <w:szCs w:val="21"/>
          <w:highlight w:val="none"/>
        </w:rPr>
      </w:pPr>
    </w:p>
    <w:p w14:paraId="3DC4AE8F">
      <w:pPr>
        <w:ind w:firstLine="420" w:firstLineChars="200"/>
        <w:rPr>
          <w:rFonts w:hint="eastAsia" w:ascii="宋体" w:hAnsi="宋体" w:eastAsia="宋体" w:cs="宋体"/>
          <w:color w:val="auto"/>
          <w:szCs w:val="21"/>
          <w:highlight w:val="none"/>
          <w:lang w:eastAsia="zh-CN"/>
        </w:rPr>
      </w:pPr>
      <w:r>
        <w:rPr>
          <w:rFonts w:hint="eastAsia" w:ascii="宋体" w:hAnsi="宋体" w:cs="宋体"/>
          <w:color w:val="auto"/>
          <w:szCs w:val="21"/>
          <w:highlight w:val="none"/>
        </w:rPr>
        <w:t>乙方：</w:t>
      </w:r>
    </w:p>
    <w:p w14:paraId="454963DA">
      <w:pPr>
        <w:ind w:firstLine="420" w:firstLineChars="200"/>
        <w:rPr>
          <w:rFonts w:ascii="宋体" w:hAnsi="宋体" w:cs="宋体"/>
          <w:bCs/>
          <w:color w:val="auto"/>
          <w:szCs w:val="21"/>
          <w:highlight w:val="none"/>
        </w:rPr>
      </w:pPr>
      <w:r>
        <w:rPr>
          <w:rFonts w:hint="eastAsia" w:ascii="宋体" w:hAnsi="宋体" w:cs="宋体"/>
          <w:bCs/>
          <w:color w:val="auto"/>
          <w:szCs w:val="21"/>
          <w:highlight w:val="none"/>
        </w:rPr>
        <w:t>统一社会信用代码：</w:t>
      </w:r>
    </w:p>
    <w:p w14:paraId="60C1F28B">
      <w:pPr>
        <w:ind w:firstLine="420" w:firstLineChars="200"/>
        <w:rPr>
          <w:rFonts w:ascii="宋体" w:hAnsi="宋体" w:cs="宋体"/>
          <w:color w:val="auto"/>
          <w:szCs w:val="21"/>
          <w:highlight w:val="none"/>
        </w:rPr>
      </w:pPr>
    </w:p>
    <w:p w14:paraId="5898369E">
      <w:pPr>
        <w:ind w:firstLine="420" w:firstLineChars="200"/>
        <w:rPr>
          <w:rFonts w:ascii="宋体" w:hAnsi="宋体" w:cs="宋体"/>
          <w:color w:val="auto"/>
          <w:szCs w:val="21"/>
          <w:highlight w:val="none"/>
        </w:rPr>
      </w:pPr>
      <w:r>
        <w:rPr>
          <w:rFonts w:hint="eastAsia" w:ascii="宋体" w:hAnsi="宋体" w:cs="宋体"/>
          <w:color w:val="auto"/>
          <w:szCs w:val="21"/>
          <w:highlight w:val="none"/>
        </w:rPr>
        <w:t>根据《中华人民共和国民法典》及其他有关法律、法规，遵循平等、自愿、公平和诚实信用的原则，甲、乙双方就</w:t>
      </w:r>
      <w:r>
        <w:rPr>
          <w:rFonts w:hint="eastAsia" w:ascii="宋体" w:hAnsi="宋体" w:cs="宋体"/>
          <w:color w:val="auto"/>
          <w:szCs w:val="21"/>
          <w:highlight w:val="none"/>
          <w:u w:val="single"/>
          <w:lang w:val="en-US" w:eastAsia="zh-CN"/>
        </w:rPr>
        <w:t>餐厨项目</w:t>
      </w:r>
      <w:r>
        <w:rPr>
          <w:rFonts w:hint="eastAsia" w:ascii="宋体" w:hAnsi="宋体" w:cs="宋体"/>
          <w:color w:val="auto"/>
          <w:szCs w:val="21"/>
          <w:highlight w:val="none"/>
          <w:u w:val="single"/>
        </w:rPr>
        <w:t>202</w:t>
      </w:r>
      <w:r>
        <w:rPr>
          <w:rFonts w:hint="eastAsia" w:ascii="宋体" w:hAnsi="宋体" w:cs="宋体"/>
          <w:color w:val="auto"/>
          <w:szCs w:val="21"/>
          <w:highlight w:val="none"/>
          <w:u w:val="single"/>
          <w:lang w:val="en-US" w:eastAsia="zh-CN"/>
        </w:rPr>
        <w:t>5</w:t>
      </w:r>
      <w:r>
        <w:rPr>
          <w:rFonts w:hint="eastAsia" w:ascii="宋体" w:hAnsi="宋体" w:cs="宋体"/>
          <w:color w:val="auto"/>
          <w:szCs w:val="21"/>
          <w:highlight w:val="none"/>
          <w:u w:val="single"/>
        </w:rPr>
        <w:t>年度定点维修服务项目</w:t>
      </w:r>
      <w:r>
        <w:rPr>
          <w:rFonts w:hint="eastAsia" w:ascii="宋体" w:hAnsi="宋体" w:cs="宋体"/>
          <w:color w:val="auto"/>
          <w:szCs w:val="21"/>
          <w:highlight w:val="none"/>
        </w:rPr>
        <w:t>的相关服务事宜协商一致，特订立本合同，由甲乙双方共同遵守履行。</w:t>
      </w:r>
    </w:p>
    <w:p w14:paraId="50A70F09">
      <w:pPr>
        <w:ind w:firstLine="420" w:firstLineChars="200"/>
        <w:rPr>
          <w:rFonts w:ascii="宋体" w:hAnsi="宋体" w:cs="宋体"/>
          <w:color w:val="auto"/>
          <w:szCs w:val="21"/>
          <w:highlight w:val="none"/>
        </w:rPr>
      </w:pPr>
    </w:p>
    <w:p w14:paraId="3595AB21">
      <w:pPr>
        <w:ind w:firstLine="422" w:firstLineChars="200"/>
        <w:rPr>
          <w:rFonts w:ascii="宋体" w:hAnsi="宋体" w:cs="宋体"/>
          <w:b/>
          <w:color w:val="auto"/>
          <w:szCs w:val="21"/>
          <w:highlight w:val="none"/>
        </w:rPr>
      </w:pPr>
      <w:r>
        <w:rPr>
          <w:rFonts w:hint="eastAsia" w:ascii="宋体" w:hAnsi="宋体" w:cs="宋体"/>
          <w:b/>
          <w:color w:val="auto"/>
          <w:szCs w:val="21"/>
          <w:highlight w:val="none"/>
        </w:rPr>
        <w:t>一、服务片区、内容及要求</w:t>
      </w:r>
    </w:p>
    <w:p w14:paraId="18ECCF09">
      <w:pPr>
        <w:ind w:firstLine="420" w:firstLineChars="200"/>
        <w:rPr>
          <w:rFonts w:ascii="宋体" w:hAnsi="宋体" w:cs="宋体"/>
          <w:color w:val="auto"/>
          <w:szCs w:val="21"/>
          <w:highlight w:val="none"/>
        </w:rPr>
      </w:pPr>
      <w:r>
        <w:rPr>
          <w:rFonts w:hint="eastAsia" w:ascii="宋体" w:hAnsi="宋体" w:cs="宋体"/>
          <w:color w:val="auto"/>
          <w:szCs w:val="21"/>
          <w:highlight w:val="none"/>
        </w:rPr>
        <w:t>1、服务内容</w:t>
      </w:r>
    </w:p>
    <w:p w14:paraId="38AF7704">
      <w:pPr>
        <w:ind w:firstLine="420" w:firstLineChars="200"/>
        <w:rPr>
          <w:rFonts w:ascii="宋体" w:hAnsi="宋体" w:cs="宋体"/>
          <w:color w:val="auto"/>
          <w:szCs w:val="21"/>
          <w:highlight w:val="none"/>
        </w:rPr>
      </w:pPr>
      <w:r>
        <w:rPr>
          <w:rFonts w:hint="eastAsia" w:ascii="宋体" w:hAnsi="宋体" w:cs="宋体"/>
          <w:color w:val="auto"/>
          <w:szCs w:val="21"/>
          <w:highlight w:val="none"/>
          <w:lang w:val="en-US" w:eastAsia="zh-CN"/>
        </w:rPr>
        <w:t>1.1</w:t>
      </w:r>
      <w:r>
        <w:rPr>
          <w:rFonts w:hint="eastAsia" w:ascii="宋体" w:hAnsi="宋体" w:cs="宋体"/>
          <w:color w:val="auto"/>
          <w:szCs w:val="21"/>
          <w:highlight w:val="none"/>
        </w:rPr>
        <w:t>乙方为甲方使用、管理的车辆【下称设备】提供定期的日常维护、保养、维修服务，保障相关设备的良好运行</w:t>
      </w:r>
      <w:r>
        <w:rPr>
          <w:rFonts w:hint="eastAsia" w:ascii="宋体" w:hAnsi="宋体" w:cs="宋体"/>
          <w:color w:val="auto"/>
          <w:szCs w:val="21"/>
          <w:highlight w:val="none"/>
          <w:lang w:eastAsia="zh-CN"/>
        </w:rPr>
        <w:t>。</w:t>
      </w:r>
      <w:r>
        <w:rPr>
          <w:rFonts w:hint="eastAsia" w:ascii="宋体" w:hAnsi="宋体" w:cs="宋体"/>
          <w:color w:val="auto"/>
          <w:szCs w:val="21"/>
          <w:highlight w:val="none"/>
          <w:lang w:val="en-US" w:eastAsia="zh-CN"/>
        </w:rPr>
        <w:t>服务期</w:t>
      </w:r>
      <w:r>
        <w:rPr>
          <w:rFonts w:hint="eastAsia" w:ascii="宋体" w:hAnsi="宋体" w:cs="宋体"/>
          <w:color w:val="auto"/>
          <w:szCs w:val="21"/>
          <w:highlight w:val="none"/>
        </w:rPr>
        <w:t>以中标通知书发出之日</w:t>
      </w:r>
      <w:r>
        <w:rPr>
          <w:rFonts w:hint="eastAsia" w:ascii="宋体" w:hAnsi="宋体" w:cs="宋体"/>
          <w:color w:val="auto"/>
          <w:szCs w:val="21"/>
          <w:highlight w:val="none"/>
          <w:lang w:val="en-US" w:eastAsia="zh-CN"/>
        </w:rPr>
        <w:t>（</w:t>
      </w:r>
      <w:r>
        <w:rPr>
          <w:rFonts w:hint="eastAsia" w:ascii="宋体" w:hAnsi="宋体" w:cs="宋体"/>
          <w:color w:val="auto"/>
          <w:szCs w:val="21"/>
          <w:highlight w:val="none"/>
        </w:rPr>
        <w:t>202</w:t>
      </w:r>
      <w:r>
        <w:rPr>
          <w:rFonts w:hint="eastAsia" w:ascii="宋体" w:hAnsi="宋体" w:cs="宋体"/>
          <w:color w:val="auto"/>
          <w:szCs w:val="21"/>
          <w:highlight w:val="none"/>
          <w:lang w:val="en-US" w:eastAsia="zh-CN"/>
        </w:rPr>
        <w:t>5</w:t>
      </w:r>
      <w:r>
        <w:rPr>
          <w:rFonts w:hint="eastAsia" w:ascii="宋体" w:hAnsi="宋体" w:cs="宋体"/>
          <w:color w:val="auto"/>
          <w:szCs w:val="21"/>
          <w:highlight w:val="none"/>
        </w:rPr>
        <w:t>年  月   日</w:t>
      </w:r>
      <w:r>
        <w:rPr>
          <w:rFonts w:hint="eastAsia" w:ascii="宋体" w:hAnsi="宋体" w:cs="宋体"/>
          <w:color w:val="auto"/>
          <w:szCs w:val="21"/>
          <w:highlight w:val="none"/>
          <w:lang w:eastAsia="zh-CN"/>
        </w:rPr>
        <w:t>）</w:t>
      </w:r>
      <w:r>
        <w:rPr>
          <w:rFonts w:hint="eastAsia" w:ascii="宋体" w:hAnsi="宋体" w:cs="宋体"/>
          <w:color w:val="auto"/>
          <w:szCs w:val="21"/>
          <w:highlight w:val="none"/>
        </w:rPr>
        <w:t>起</w:t>
      </w:r>
      <w:r>
        <w:rPr>
          <w:rFonts w:hint="eastAsia" w:ascii="宋体" w:hAnsi="宋体" w:cs="宋体"/>
          <w:color w:val="auto"/>
          <w:szCs w:val="21"/>
          <w:highlight w:val="none"/>
          <w:lang w:val="en-US" w:eastAsia="zh-CN"/>
        </w:rPr>
        <w:t>一年或</w:t>
      </w:r>
      <w:r>
        <w:rPr>
          <w:rFonts w:hint="eastAsia" w:ascii="宋体" w:hAnsi="宋体" w:cs="宋体"/>
          <w:color w:val="auto"/>
          <w:szCs w:val="21"/>
          <w:highlight w:val="none"/>
        </w:rPr>
        <w:t>甲方维修车辆实际发生的费用达到预算金额</w:t>
      </w:r>
      <w:r>
        <w:rPr>
          <w:rFonts w:ascii="宋体" w:hAnsi="宋体" w:cs="宋体"/>
          <w:color w:val="auto"/>
          <w:szCs w:val="21"/>
          <w:highlight w:val="none"/>
          <w:u w:val="single"/>
        </w:rPr>
        <w:t xml:space="preserve">      </w:t>
      </w:r>
      <w:r>
        <w:rPr>
          <w:rFonts w:hint="eastAsia" w:ascii="宋体" w:hAnsi="宋体" w:cs="宋体"/>
          <w:color w:val="auto"/>
          <w:szCs w:val="21"/>
          <w:highlight w:val="none"/>
        </w:rPr>
        <w:t>元</w:t>
      </w:r>
      <w:r>
        <w:rPr>
          <w:rFonts w:hint="eastAsia" w:ascii="宋体" w:hAnsi="宋体" w:cs="宋体"/>
          <w:color w:val="auto"/>
          <w:szCs w:val="21"/>
          <w:highlight w:val="none"/>
          <w:lang w:val="en-US" w:eastAsia="zh-CN"/>
        </w:rPr>
        <w:t>止</w:t>
      </w:r>
      <w:r>
        <w:rPr>
          <w:rFonts w:hint="eastAsia" w:ascii="宋体" w:hAnsi="宋体" w:cs="宋体"/>
          <w:color w:val="auto"/>
          <w:szCs w:val="21"/>
          <w:highlight w:val="none"/>
        </w:rPr>
        <w:t>，</w:t>
      </w:r>
      <w:r>
        <w:rPr>
          <w:rFonts w:hint="eastAsia" w:ascii="宋体" w:hAnsi="宋体" w:cs="宋体"/>
          <w:color w:val="auto"/>
          <w:szCs w:val="21"/>
          <w:highlight w:val="none"/>
          <w:lang w:val="en-US" w:eastAsia="zh-CN"/>
        </w:rPr>
        <w:t>两者以先到为准</w:t>
      </w:r>
      <w:r>
        <w:rPr>
          <w:rFonts w:hint="eastAsia" w:ascii="宋体" w:hAnsi="宋体" w:cs="宋体"/>
          <w:color w:val="auto"/>
          <w:szCs w:val="21"/>
          <w:highlight w:val="none"/>
        </w:rPr>
        <w:t>。</w:t>
      </w:r>
    </w:p>
    <w:p w14:paraId="54EBE3AB">
      <w:pPr>
        <w:ind w:firstLine="420" w:firstLineChars="200"/>
        <w:rPr>
          <w:rFonts w:ascii="宋体" w:hAnsi="宋体" w:cs="宋体"/>
          <w:color w:val="auto"/>
          <w:szCs w:val="21"/>
          <w:highlight w:val="none"/>
        </w:rPr>
      </w:pPr>
      <w:r>
        <w:rPr>
          <w:rFonts w:hint="eastAsia" w:ascii="宋体" w:hAnsi="宋体" w:cs="宋体"/>
          <w:color w:val="auto"/>
          <w:szCs w:val="21"/>
          <w:highlight w:val="none"/>
        </w:rPr>
        <w:t>乙方需提供以下车辆维护、保养、维修服务：</w:t>
      </w:r>
    </w:p>
    <w:tbl>
      <w:tblPr>
        <w:tblStyle w:val="1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955"/>
        <w:gridCol w:w="6567"/>
      </w:tblGrid>
      <w:tr w14:paraId="3F906C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55" w:type="dxa"/>
            <w:vAlign w:val="center"/>
          </w:tcPr>
          <w:p w14:paraId="12216E69">
            <w:pPr>
              <w:spacing w:line="500" w:lineRule="exact"/>
              <w:jc w:val="center"/>
              <w:rPr>
                <w:rFonts w:hint="eastAsia" w:ascii="宋体" w:hAnsi="宋体" w:eastAsia="宋体" w:cs="宋体"/>
                <w:color w:val="auto"/>
                <w:sz w:val="21"/>
                <w:szCs w:val="21"/>
              </w:rPr>
            </w:pPr>
            <w:r>
              <w:rPr>
                <w:rFonts w:hint="eastAsia" w:ascii="宋体" w:hAnsi="宋体" w:eastAsia="宋体" w:cs="宋体"/>
                <w:color w:val="auto"/>
                <w:sz w:val="21"/>
                <w:szCs w:val="21"/>
              </w:rPr>
              <w:t>分类</w:t>
            </w:r>
          </w:p>
        </w:tc>
        <w:tc>
          <w:tcPr>
            <w:tcW w:w="6567" w:type="dxa"/>
            <w:vAlign w:val="center"/>
          </w:tcPr>
          <w:p w14:paraId="5FB99C02">
            <w:pPr>
              <w:spacing w:line="500" w:lineRule="exact"/>
              <w:jc w:val="center"/>
              <w:rPr>
                <w:rFonts w:hint="eastAsia" w:ascii="宋体" w:hAnsi="宋体" w:eastAsia="宋体" w:cs="宋体"/>
                <w:color w:val="auto"/>
                <w:sz w:val="21"/>
                <w:szCs w:val="21"/>
              </w:rPr>
            </w:pPr>
            <w:r>
              <w:rPr>
                <w:rFonts w:hint="eastAsia" w:ascii="宋体" w:hAnsi="宋体" w:eastAsia="宋体" w:cs="宋体"/>
                <w:color w:val="auto"/>
                <w:sz w:val="21"/>
                <w:szCs w:val="21"/>
              </w:rPr>
              <w:t>具体设备类型</w:t>
            </w:r>
          </w:p>
        </w:tc>
      </w:tr>
      <w:tr w14:paraId="703BFB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9" w:hRule="atLeast"/>
        </w:trPr>
        <w:tc>
          <w:tcPr>
            <w:tcW w:w="1955" w:type="dxa"/>
            <w:vAlign w:val="center"/>
          </w:tcPr>
          <w:p w14:paraId="432B9F82">
            <w:pPr>
              <w:spacing w:line="500" w:lineRule="exact"/>
              <w:jc w:val="center"/>
              <w:rPr>
                <w:rFonts w:hint="eastAsia" w:ascii="宋体" w:hAnsi="宋体" w:eastAsia="宋体" w:cs="宋体"/>
                <w:color w:val="auto"/>
                <w:sz w:val="21"/>
                <w:szCs w:val="21"/>
              </w:rPr>
            </w:pPr>
            <w:r>
              <w:rPr>
                <w:rFonts w:hint="eastAsia" w:ascii="宋体" w:hAnsi="宋体" w:eastAsia="宋体" w:cs="宋体"/>
                <w:color w:val="auto"/>
                <w:sz w:val="21"/>
                <w:szCs w:val="21"/>
              </w:rPr>
              <w:t>餐厨作业车（一）</w:t>
            </w:r>
          </w:p>
        </w:tc>
        <w:tc>
          <w:tcPr>
            <w:tcW w:w="6567" w:type="dxa"/>
            <w:vAlign w:val="center"/>
          </w:tcPr>
          <w:p w14:paraId="4242C8B9">
            <w:pPr>
              <w:tabs>
                <w:tab w:val="left" w:pos="320"/>
              </w:tabs>
              <w:spacing w:line="500" w:lineRule="exact"/>
              <w:jc w:val="center"/>
              <w:rPr>
                <w:rFonts w:hint="eastAsia" w:ascii="宋体" w:hAnsi="宋体" w:eastAsia="宋体" w:cs="宋体"/>
                <w:color w:val="auto"/>
                <w:sz w:val="21"/>
                <w:szCs w:val="21"/>
              </w:rPr>
            </w:pPr>
            <w:r>
              <w:rPr>
                <w:rFonts w:hint="eastAsia" w:ascii="宋体" w:hAnsi="宋体" w:eastAsia="宋体" w:cs="宋体"/>
                <w:color w:val="auto"/>
                <w:sz w:val="21"/>
                <w:szCs w:val="21"/>
              </w:rPr>
              <w:t>5吨餐厨车、8吨餐厨车、3吨餐厨车、吸污车、厢式货车</w:t>
            </w:r>
          </w:p>
        </w:tc>
      </w:tr>
      <w:tr w14:paraId="14F46E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trPr>
        <w:tc>
          <w:tcPr>
            <w:tcW w:w="1955" w:type="dxa"/>
            <w:vAlign w:val="center"/>
          </w:tcPr>
          <w:p w14:paraId="5522962A">
            <w:pPr>
              <w:spacing w:line="500" w:lineRule="exact"/>
              <w:jc w:val="center"/>
              <w:rPr>
                <w:rFonts w:hint="eastAsia" w:ascii="宋体" w:hAnsi="宋体" w:eastAsia="宋体" w:cs="宋体"/>
                <w:color w:val="auto"/>
                <w:sz w:val="21"/>
                <w:szCs w:val="21"/>
              </w:rPr>
            </w:pPr>
            <w:r>
              <w:rPr>
                <w:rFonts w:hint="eastAsia" w:ascii="宋体" w:hAnsi="宋体" w:eastAsia="宋体" w:cs="宋体"/>
                <w:color w:val="auto"/>
                <w:sz w:val="21"/>
                <w:szCs w:val="21"/>
              </w:rPr>
              <w:t>餐厨作业车（二）</w:t>
            </w:r>
          </w:p>
        </w:tc>
        <w:tc>
          <w:tcPr>
            <w:tcW w:w="6567" w:type="dxa"/>
            <w:vAlign w:val="center"/>
          </w:tcPr>
          <w:p w14:paraId="412949E1">
            <w:pPr>
              <w:tabs>
                <w:tab w:val="left" w:pos="320"/>
              </w:tabs>
              <w:spacing w:line="500" w:lineRule="exact"/>
              <w:jc w:val="center"/>
              <w:rPr>
                <w:rFonts w:hint="eastAsia" w:ascii="宋体" w:hAnsi="宋体" w:eastAsia="宋体" w:cs="宋体"/>
                <w:color w:val="auto"/>
                <w:sz w:val="21"/>
                <w:szCs w:val="21"/>
              </w:rPr>
            </w:pPr>
            <w:r>
              <w:rPr>
                <w:rFonts w:hint="eastAsia" w:ascii="宋体" w:hAnsi="宋体" w:eastAsia="宋体" w:cs="宋体"/>
                <w:color w:val="auto"/>
                <w:sz w:val="21"/>
                <w:szCs w:val="21"/>
              </w:rPr>
              <w:t>皮卡车、可卸式垃圾车、</w:t>
            </w:r>
          </w:p>
        </w:tc>
      </w:tr>
    </w:tbl>
    <w:p w14:paraId="21DDFD60">
      <w:pPr>
        <w:ind w:firstLine="420" w:firstLineChars="200"/>
        <w:rPr>
          <w:rFonts w:hint="eastAsia" w:ascii="宋体" w:hAnsi="宋体" w:cs="宋体"/>
          <w:color w:val="auto"/>
          <w:szCs w:val="21"/>
          <w:highlight w:val="none"/>
        </w:rPr>
      </w:pPr>
      <w:r>
        <w:rPr>
          <w:rFonts w:hint="eastAsia" w:ascii="宋体" w:hAnsi="宋体" w:eastAsia="宋体" w:cs="宋体"/>
          <w:color w:val="auto"/>
          <w:sz w:val="21"/>
          <w:szCs w:val="21"/>
        </w:rPr>
        <w:t>注：除上述提及的服务车辆设备类型之外，包括后续</w:t>
      </w:r>
      <w:r>
        <w:rPr>
          <w:rFonts w:hint="eastAsia" w:ascii="宋体" w:hAnsi="宋体" w:eastAsia="宋体" w:cs="宋体"/>
          <w:color w:val="auto"/>
          <w:sz w:val="21"/>
          <w:szCs w:val="21"/>
          <w:lang w:val="en-US" w:eastAsia="zh-CN"/>
        </w:rPr>
        <w:t>甲方</w:t>
      </w:r>
      <w:r>
        <w:rPr>
          <w:rFonts w:hint="eastAsia" w:ascii="宋体" w:hAnsi="宋体" w:eastAsia="宋体" w:cs="宋体"/>
          <w:color w:val="auto"/>
          <w:sz w:val="21"/>
          <w:szCs w:val="21"/>
        </w:rPr>
        <w:t>增添的其他车辆设备类型。车辆设备类型根据</w:t>
      </w:r>
      <w:r>
        <w:rPr>
          <w:rFonts w:hint="eastAsia" w:ascii="宋体" w:hAnsi="宋体" w:eastAsia="宋体" w:cs="宋体"/>
          <w:color w:val="auto"/>
          <w:sz w:val="21"/>
          <w:szCs w:val="21"/>
          <w:lang w:val="en-US" w:eastAsia="zh-CN"/>
        </w:rPr>
        <w:t>甲方</w:t>
      </w:r>
      <w:r>
        <w:rPr>
          <w:rFonts w:hint="eastAsia" w:ascii="宋体" w:hAnsi="宋体" w:eastAsia="宋体" w:cs="宋体"/>
          <w:color w:val="auto"/>
          <w:sz w:val="21"/>
          <w:szCs w:val="21"/>
        </w:rPr>
        <w:t>项目实际情况而定。</w:t>
      </w:r>
    </w:p>
    <w:p w14:paraId="0D377C2B">
      <w:pPr>
        <w:ind w:firstLine="420" w:firstLineChars="200"/>
        <w:rPr>
          <w:rFonts w:ascii="宋体" w:hAnsi="宋体" w:cs="宋体"/>
          <w:color w:val="auto"/>
          <w:szCs w:val="21"/>
          <w:highlight w:val="none"/>
        </w:rPr>
      </w:pPr>
      <w:r>
        <w:rPr>
          <w:rFonts w:hint="eastAsia" w:ascii="宋体" w:hAnsi="宋体" w:cs="宋体"/>
          <w:color w:val="auto"/>
          <w:szCs w:val="21"/>
          <w:highlight w:val="none"/>
          <w:lang w:val="en-US" w:eastAsia="zh-CN"/>
        </w:rPr>
        <w:t>1.2结算价格：</w:t>
      </w:r>
      <w:r>
        <w:rPr>
          <w:rFonts w:hint="eastAsia" w:ascii="宋体" w:hAnsi="宋体" w:cs="宋体"/>
          <w:color w:val="auto"/>
          <w:szCs w:val="21"/>
          <w:highlight w:val="none"/>
        </w:rPr>
        <w:t>具体详见附件1</w:t>
      </w:r>
      <w:r>
        <w:rPr>
          <w:rFonts w:hint="eastAsia" w:ascii="宋体" w:hAnsi="宋体" w:cs="宋体"/>
          <w:color w:val="auto"/>
          <w:szCs w:val="21"/>
          <w:highlight w:val="none"/>
          <w:lang w:eastAsia="zh-CN"/>
        </w:rPr>
        <w:t>《</w:t>
      </w:r>
      <w:r>
        <w:rPr>
          <w:rFonts w:hint="eastAsia" w:ascii="宋体" w:hAnsi="宋体" w:cs="宋体"/>
          <w:color w:val="auto"/>
          <w:szCs w:val="21"/>
          <w:highlight w:val="none"/>
        </w:rPr>
        <w:t>车辆维修保养清单及单价结算表</w:t>
      </w:r>
      <w:r>
        <w:rPr>
          <w:rFonts w:hint="eastAsia" w:ascii="宋体" w:hAnsi="宋体" w:cs="宋体"/>
          <w:color w:val="auto"/>
          <w:szCs w:val="21"/>
          <w:highlight w:val="none"/>
          <w:lang w:eastAsia="zh-CN"/>
        </w:rPr>
        <w:t>》</w:t>
      </w:r>
      <w:r>
        <w:rPr>
          <w:rFonts w:hint="eastAsia" w:ascii="宋体" w:hAnsi="宋体" w:cs="宋体"/>
          <w:color w:val="auto"/>
          <w:szCs w:val="21"/>
          <w:highlight w:val="none"/>
        </w:rPr>
        <w:t>。</w:t>
      </w:r>
    </w:p>
    <w:p w14:paraId="6DF73703">
      <w:pPr>
        <w:ind w:firstLine="420" w:firstLineChars="200"/>
        <w:rPr>
          <w:rFonts w:ascii="宋体" w:hAnsi="宋体" w:cs="宋体"/>
          <w:color w:val="auto"/>
          <w:szCs w:val="21"/>
          <w:highlight w:val="none"/>
        </w:rPr>
      </w:pPr>
      <w:r>
        <w:rPr>
          <w:rFonts w:hint="eastAsia" w:ascii="宋体" w:hAnsi="宋体" w:cs="宋体"/>
          <w:color w:val="auto"/>
          <w:szCs w:val="21"/>
          <w:highlight w:val="none"/>
          <w:lang w:val="en-US" w:eastAsia="zh-CN"/>
        </w:rPr>
        <w:t>2</w:t>
      </w:r>
      <w:r>
        <w:rPr>
          <w:rFonts w:hint="eastAsia" w:ascii="宋体" w:hAnsi="宋体" w:cs="宋体"/>
          <w:color w:val="auto"/>
          <w:szCs w:val="21"/>
          <w:highlight w:val="none"/>
        </w:rPr>
        <w:t>、服务要求：</w:t>
      </w:r>
    </w:p>
    <w:p w14:paraId="1632D65F">
      <w:pPr>
        <w:ind w:firstLine="420" w:firstLineChars="200"/>
        <w:rPr>
          <w:rFonts w:ascii="宋体" w:hAnsi="宋体" w:cs="宋体"/>
          <w:color w:val="auto"/>
          <w:szCs w:val="21"/>
          <w:highlight w:val="none"/>
        </w:rPr>
      </w:pPr>
      <w:r>
        <w:rPr>
          <w:rFonts w:hint="eastAsia" w:ascii="宋体" w:hAnsi="宋体" w:cs="宋体"/>
          <w:color w:val="auto"/>
          <w:szCs w:val="21"/>
          <w:highlight w:val="none"/>
        </w:rPr>
        <w:t>2.1质量要求</w:t>
      </w:r>
    </w:p>
    <w:p w14:paraId="27199A9C">
      <w:pPr>
        <w:ind w:firstLine="420" w:firstLineChars="200"/>
        <w:rPr>
          <w:rFonts w:ascii="宋体" w:hAnsi="宋体" w:cs="宋体"/>
          <w:color w:val="auto"/>
          <w:szCs w:val="21"/>
          <w:highlight w:val="none"/>
        </w:rPr>
      </w:pPr>
      <w:r>
        <w:rPr>
          <w:rFonts w:hint="eastAsia" w:ascii="宋体" w:hAnsi="宋体" w:cs="宋体"/>
          <w:color w:val="auto"/>
          <w:szCs w:val="21"/>
          <w:highlight w:val="none"/>
        </w:rPr>
        <w:t>2.1.1所采用的零部件、配件等材料必须符合国家或部颁标准和行业标准以及汽车维修相关标准。必须有合法的进货渠道，不得使用假冒伪劣产品或以次充好。经甲方书面同意，可以用替代件的，乙方必须在材料清单中加以注明，否则不得使用代替件；</w:t>
      </w:r>
    </w:p>
    <w:p w14:paraId="44468748">
      <w:pPr>
        <w:ind w:firstLine="420" w:firstLineChars="200"/>
        <w:rPr>
          <w:rFonts w:ascii="宋体" w:hAnsi="宋体" w:cs="宋体"/>
          <w:color w:val="auto"/>
          <w:szCs w:val="21"/>
          <w:highlight w:val="none"/>
        </w:rPr>
      </w:pPr>
      <w:r>
        <w:rPr>
          <w:rFonts w:hint="eastAsia" w:ascii="宋体" w:hAnsi="宋体" w:cs="宋体"/>
          <w:color w:val="auto"/>
          <w:szCs w:val="21"/>
          <w:highlight w:val="none"/>
        </w:rPr>
        <w:t>2.1.2被修车辆达不到规定的质量标准和技术要求的，返修不得再计价收费。车辆维修竣工出厂执行质量保证期制度，不能低于中华人民共和国运输部最新修订的《机动车维修管理规定》（2021年第18号令）第三十六条规定的标准（</w:t>
      </w:r>
      <w:r>
        <w:rPr>
          <w:rFonts w:hint="eastAsia" w:ascii="宋体" w:hAnsi="宋体" w:cs="宋体"/>
          <w:color w:val="auto"/>
          <w:szCs w:val="21"/>
          <w:highlight w:val="none"/>
          <w:lang w:val="en-US" w:eastAsia="zh-CN"/>
        </w:rPr>
        <w:t>乙方</w:t>
      </w:r>
      <w:r>
        <w:rPr>
          <w:rFonts w:hint="eastAsia" w:ascii="宋体" w:hAnsi="宋体" w:cs="宋体"/>
          <w:color w:val="auto"/>
          <w:szCs w:val="21"/>
          <w:highlight w:val="none"/>
        </w:rPr>
        <w:t>可对此提供更优的方案）；</w:t>
      </w:r>
    </w:p>
    <w:p w14:paraId="4A9EC5A4">
      <w:pPr>
        <w:adjustRightInd/>
        <w:snapToGrid/>
        <w:spacing w:line="360" w:lineRule="exact"/>
        <w:ind w:firstLine="420" w:firstLineChars="200"/>
        <w:rPr>
          <w:rFonts w:ascii="宋体" w:hAnsi="宋体" w:cs="宋体"/>
          <w:color w:val="auto"/>
          <w:sz w:val="21"/>
          <w:szCs w:val="21"/>
          <w:highlight w:val="none"/>
        </w:rPr>
      </w:pPr>
      <w:r>
        <w:rPr>
          <w:rFonts w:hint="eastAsia" w:ascii="宋体" w:hAnsi="宋体" w:cs="宋体"/>
          <w:color w:val="auto"/>
          <w:szCs w:val="21"/>
          <w:highlight w:val="none"/>
        </w:rPr>
        <w:t>2.1.3</w:t>
      </w:r>
      <w:bookmarkStart w:id="198" w:name="OLE_LINK2"/>
      <w:r>
        <w:rPr>
          <w:rFonts w:hint="eastAsia" w:ascii="宋体" w:hAnsi="宋体" w:cs="宋体"/>
          <w:color w:val="auto"/>
          <w:szCs w:val="21"/>
          <w:highlight w:val="none"/>
        </w:rPr>
        <w:t>机动车维修竣工出厂前应当经质量检验，质量检验合格</w:t>
      </w:r>
      <w:r>
        <w:rPr>
          <w:rFonts w:hint="eastAsia" w:ascii="宋体" w:hAnsi="宋体" w:cs="宋体"/>
          <w:color w:val="auto"/>
          <w:szCs w:val="21"/>
          <w:highlight w:val="none"/>
          <w:lang w:val="en-US" w:eastAsia="zh-CN"/>
        </w:rPr>
        <w:t>才能出厂</w:t>
      </w:r>
      <w:r>
        <w:rPr>
          <w:rFonts w:hint="eastAsia" w:ascii="宋体" w:hAnsi="宋体" w:cs="宋体"/>
          <w:color w:val="auto"/>
          <w:szCs w:val="21"/>
          <w:highlight w:val="none"/>
        </w:rPr>
        <w:t>。</w:t>
      </w:r>
      <w:bookmarkEnd w:id="198"/>
      <w:r>
        <w:rPr>
          <w:rFonts w:hint="eastAsia" w:ascii="宋体" w:hAnsi="宋体" w:cs="宋体"/>
          <w:color w:val="auto"/>
          <w:szCs w:val="21"/>
          <w:highlight w:val="none"/>
        </w:rPr>
        <w:t>车辆</w:t>
      </w:r>
      <w:r>
        <w:rPr>
          <w:rFonts w:hint="eastAsia" w:ascii="宋体" w:hAnsi="宋体" w:cs="宋体"/>
          <w:color w:val="auto"/>
          <w:szCs w:val="21"/>
          <w:highlight w:val="none"/>
          <w:lang w:val="en-US" w:eastAsia="zh-CN"/>
        </w:rPr>
        <w:t>维修</w:t>
      </w:r>
      <w:r>
        <w:rPr>
          <w:rFonts w:hint="eastAsia" w:ascii="宋体" w:hAnsi="宋体" w:cs="宋体"/>
          <w:color w:val="auto"/>
          <w:szCs w:val="21"/>
          <w:highlight w:val="none"/>
        </w:rPr>
        <w:t>竣工出厂</w:t>
      </w:r>
      <w:r>
        <w:rPr>
          <w:rFonts w:hint="eastAsia" w:ascii="宋体" w:hAnsi="宋体" w:cs="宋体"/>
          <w:color w:val="auto"/>
          <w:szCs w:val="21"/>
          <w:highlight w:val="none"/>
          <w:lang w:val="en-US" w:eastAsia="zh-CN"/>
        </w:rPr>
        <w:t>后</w:t>
      </w:r>
      <w:r>
        <w:rPr>
          <w:rFonts w:hint="eastAsia" w:ascii="宋体" w:hAnsi="宋体" w:cs="宋体"/>
          <w:color w:val="auto"/>
          <w:szCs w:val="21"/>
          <w:highlight w:val="none"/>
        </w:rPr>
        <w:t>，在质量保证期内，经修车辆仍反复出现同一问题的，返修不得再计价收费。车辆维修的质量保证期及质量保障按照《机动车维修管理规定》（交通运输部2021年8月11日修正）要求执行，如法律未明确要求的则按照配件厂家三包要求执行。在质量保证期内，因维修质量</w:t>
      </w:r>
      <w:r>
        <w:rPr>
          <w:rFonts w:hint="eastAsia" w:ascii="宋体" w:hAnsi="宋体" w:cs="宋体"/>
          <w:color w:val="auto"/>
          <w:szCs w:val="21"/>
          <w:highlight w:val="none"/>
          <w:lang w:val="en-US" w:eastAsia="zh-CN"/>
        </w:rPr>
        <w:t>给甲方</w:t>
      </w:r>
      <w:r>
        <w:rPr>
          <w:rFonts w:hint="eastAsia" w:ascii="宋体" w:hAnsi="宋体" w:cs="宋体"/>
          <w:color w:val="auto"/>
          <w:szCs w:val="21"/>
          <w:highlight w:val="none"/>
        </w:rPr>
        <w:t>造成的直接经济损失，由</w:t>
      </w:r>
      <w:r>
        <w:rPr>
          <w:rFonts w:hint="eastAsia" w:ascii="宋体" w:hAnsi="宋体" w:cs="宋体"/>
          <w:color w:val="auto"/>
          <w:szCs w:val="21"/>
          <w:highlight w:val="none"/>
          <w:lang w:val="en-US" w:eastAsia="zh-CN"/>
        </w:rPr>
        <w:t>乙方</w:t>
      </w:r>
      <w:r>
        <w:rPr>
          <w:rFonts w:hint="eastAsia" w:ascii="宋体" w:hAnsi="宋体" w:cs="宋体"/>
          <w:color w:val="auto"/>
          <w:szCs w:val="21"/>
          <w:highlight w:val="none"/>
        </w:rPr>
        <w:t>负责。</w:t>
      </w:r>
    </w:p>
    <w:p w14:paraId="67890B56">
      <w:pPr>
        <w:ind w:firstLine="420" w:firstLineChars="200"/>
        <w:rPr>
          <w:rFonts w:ascii="宋体" w:hAnsi="宋体" w:cs="宋体"/>
          <w:color w:val="auto"/>
          <w:szCs w:val="21"/>
          <w:highlight w:val="none"/>
        </w:rPr>
      </w:pPr>
      <w:r>
        <w:rPr>
          <w:rFonts w:hint="eastAsia" w:ascii="宋体" w:hAnsi="宋体" w:cs="宋体"/>
          <w:color w:val="auto"/>
          <w:szCs w:val="21"/>
          <w:highlight w:val="none"/>
        </w:rPr>
        <w:t>2.1.4</w:t>
      </w:r>
      <w:r>
        <w:rPr>
          <w:rFonts w:hint="eastAsia" w:ascii="宋体" w:hAnsi="宋体" w:cs="宋体"/>
          <w:color w:val="auto"/>
          <w:szCs w:val="21"/>
          <w:highlight w:val="none"/>
          <w:lang w:val="en-US" w:eastAsia="zh-CN"/>
        </w:rPr>
        <w:t>乙方</w:t>
      </w:r>
      <w:r>
        <w:rPr>
          <w:rFonts w:hint="eastAsia" w:ascii="宋体" w:hAnsi="宋体" w:cs="宋体"/>
          <w:color w:val="auto"/>
          <w:szCs w:val="21"/>
          <w:highlight w:val="none"/>
        </w:rPr>
        <w:t>必须严格执行汽车维修技术控验制度，车辆返修率要控制在3%以内，并建立汽车维修档案，并实行档案电子化管理，认真记录车辆维修情况。维修档案应当包括：维修合同（托修单）、维修项目、维修人员及维修结算清单等。对车辆进行二级维护、总成修理、整车修理的，维修档案还应当包括：质量检验单、质量检验人员等。</w:t>
      </w:r>
      <w:r>
        <w:rPr>
          <w:rFonts w:hint="eastAsia" w:ascii="宋体" w:hAnsi="宋体" w:cs="宋体"/>
          <w:color w:val="auto"/>
          <w:szCs w:val="21"/>
          <w:highlight w:val="none"/>
          <w:lang w:val="en-US" w:eastAsia="zh-CN"/>
        </w:rPr>
        <w:t>甲方</w:t>
      </w:r>
      <w:r>
        <w:rPr>
          <w:rFonts w:hint="eastAsia" w:ascii="宋体" w:hAnsi="宋体" w:cs="宋体"/>
          <w:color w:val="auto"/>
          <w:szCs w:val="21"/>
          <w:highlight w:val="none"/>
        </w:rPr>
        <w:t>有权查阅机动车维修档案。</w:t>
      </w:r>
    </w:p>
    <w:p w14:paraId="19A66FBC">
      <w:pPr>
        <w:ind w:firstLine="420" w:firstLineChars="200"/>
        <w:rPr>
          <w:rFonts w:ascii="宋体" w:hAnsi="宋体" w:cs="宋体"/>
          <w:color w:val="auto"/>
          <w:szCs w:val="21"/>
          <w:highlight w:val="none"/>
        </w:rPr>
      </w:pPr>
      <w:r>
        <w:rPr>
          <w:rFonts w:hint="eastAsia" w:ascii="宋体" w:hAnsi="宋体" w:cs="宋体"/>
          <w:color w:val="auto"/>
          <w:szCs w:val="21"/>
          <w:highlight w:val="none"/>
        </w:rPr>
        <w:t>2.1.5乙方提供维修服务时，其服务质量应按照不低《机动车维修管理规定》及其他国家和省、市有关主管部门颁发的相关质量标准和技术要求执行；</w:t>
      </w:r>
    </w:p>
    <w:p w14:paraId="45B7D78A">
      <w:pPr>
        <w:ind w:firstLine="420" w:firstLineChars="200"/>
        <w:rPr>
          <w:rFonts w:ascii="宋体" w:hAnsi="宋体" w:cs="宋体"/>
          <w:color w:val="auto"/>
          <w:szCs w:val="21"/>
          <w:highlight w:val="none"/>
        </w:rPr>
      </w:pPr>
      <w:r>
        <w:rPr>
          <w:rFonts w:hint="eastAsia" w:ascii="宋体" w:hAnsi="宋体" w:cs="宋体"/>
          <w:color w:val="auto"/>
          <w:szCs w:val="21"/>
          <w:highlight w:val="none"/>
        </w:rPr>
        <w:t>2.1.6因维修需更换新配件的，易损件质保期一个月，非易损件质保期三个月，如厂家或国家有制定更高标准则按更高标准执行。当同时出现大小修项时，小修项工时费用应包含在大修项工时费中。</w:t>
      </w:r>
    </w:p>
    <w:p w14:paraId="19FD2EE3">
      <w:pPr>
        <w:ind w:firstLine="420" w:firstLineChars="200"/>
        <w:rPr>
          <w:rFonts w:ascii="宋体" w:hAnsi="宋体" w:cs="宋体"/>
          <w:color w:val="auto"/>
          <w:szCs w:val="21"/>
          <w:highlight w:val="none"/>
        </w:rPr>
      </w:pPr>
      <w:r>
        <w:rPr>
          <w:rFonts w:hint="eastAsia" w:ascii="宋体" w:hAnsi="宋体" w:cs="宋体"/>
          <w:color w:val="auto"/>
          <w:szCs w:val="21"/>
          <w:highlight w:val="none"/>
        </w:rPr>
        <w:t>2.1.7乙方应保证维修所用零件、材料是未使用过的原厂生产的合格正品，并完全符合合同规定的质量和性能的要求。乙方应保证使用的配件材料在正确安装、正常使用和保养条件下，在其使用寿命期内具有满意的性能；</w:t>
      </w:r>
    </w:p>
    <w:p w14:paraId="36133262">
      <w:pPr>
        <w:ind w:firstLine="420" w:firstLineChars="200"/>
        <w:rPr>
          <w:rFonts w:ascii="宋体" w:hAnsi="宋体" w:cs="宋体"/>
          <w:color w:val="auto"/>
          <w:szCs w:val="21"/>
          <w:highlight w:val="none"/>
        </w:rPr>
      </w:pPr>
      <w:r>
        <w:rPr>
          <w:rFonts w:hint="eastAsia" w:ascii="宋体" w:hAnsi="宋体" w:cs="宋体"/>
          <w:color w:val="auto"/>
          <w:szCs w:val="21"/>
          <w:highlight w:val="none"/>
        </w:rPr>
        <w:t>2.1.8对质量保证期内因维修质量导致的返修车辆，乙方必须优先修理并承担由此产生的一切费用。返修完成后，质量保证期从返修出厂并移交甲方之日起重新计算；</w:t>
      </w:r>
    </w:p>
    <w:p w14:paraId="1354B0E0">
      <w:pPr>
        <w:ind w:firstLine="420" w:firstLineChars="200"/>
        <w:rPr>
          <w:rFonts w:ascii="宋体" w:hAnsi="宋体" w:cs="宋体"/>
          <w:color w:val="auto"/>
          <w:szCs w:val="21"/>
          <w:highlight w:val="none"/>
        </w:rPr>
      </w:pPr>
      <w:r>
        <w:rPr>
          <w:rFonts w:hint="eastAsia" w:ascii="宋体" w:hAnsi="宋体" w:cs="宋体"/>
          <w:color w:val="auto"/>
          <w:szCs w:val="21"/>
          <w:highlight w:val="none"/>
        </w:rPr>
        <w:t>2.2执行标准</w:t>
      </w:r>
    </w:p>
    <w:p w14:paraId="4FB7C5F0">
      <w:pPr>
        <w:ind w:firstLine="420" w:firstLineChars="200"/>
        <w:rPr>
          <w:rFonts w:ascii="宋体" w:hAnsi="宋体" w:cs="宋体"/>
          <w:color w:val="auto"/>
          <w:szCs w:val="21"/>
          <w:highlight w:val="none"/>
        </w:rPr>
      </w:pPr>
      <w:r>
        <w:rPr>
          <w:rFonts w:hint="eastAsia" w:ascii="宋体" w:hAnsi="宋体" w:cs="宋体"/>
          <w:color w:val="auto"/>
          <w:szCs w:val="21"/>
          <w:highlight w:val="none"/>
        </w:rPr>
        <w:t>所有维修车辆出厂时必须达到《机动车运行安全技术条件》GB7258-2017等国家安全技术标准及车辆维修标准。</w:t>
      </w:r>
    </w:p>
    <w:p w14:paraId="029D8372">
      <w:pPr>
        <w:ind w:firstLine="420" w:firstLineChars="200"/>
        <w:rPr>
          <w:rFonts w:ascii="宋体" w:hAnsi="宋体" w:cs="宋体"/>
          <w:color w:val="auto"/>
          <w:szCs w:val="21"/>
          <w:highlight w:val="none"/>
        </w:rPr>
      </w:pPr>
      <w:r>
        <w:rPr>
          <w:rFonts w:hint="eastAsia" w:ascii="宋体" w:hAnsi="宋体" w:cs="宋体"/>
          <w:color w:val="auto"/>
          <w:szCs w:val="21"/>
          <w:highlight w:val="none"/>
        </w:rPr>
        <w:t>2.3服务要求</w:t>
      </w:r>
    </w:p>
    <w:p w14:paraId="1CF97943">
      <w:pPr>
        <w:ind w:firstLine="420" w:firstLineChars="200"/>
        <w:rPr>
          <w:rFonts w:ascii="宋体" w:hAnsi="宋体" w:cs="宋体"/>
          <w:color w:val="auto"/>
          <w:szCs w:val="21"/>
          <w:highlight w:val="none"/>
        </w:rPr>
      </w:pPr>
      <w:r>
        <w:rPr>
          <w:rFonts w:hint="eastAsia" w:ascii="宋体" w:hAnsi="宋体" w:cs="宋体"/>
          <w:color w:val="auto"/>
          <w:szCs w:val="21"/>
          <w:highlight w:val="none"/>
        </w:rPr>
        <w:t>2.3.1由乙方安排专人提供从接车到验车出厂的全过程服务。为甲方用车提供优先服务，确保在规定的时限内完成维修服务，保障甲方用车需要；</w:t>
      </w:r>
    </w:p>
    <w:p w14:paraId="3A4ED947">
      <w:pPr>
        <w:ind w:firstLine="420" w:firstLineChars="200"/>
        <w:rPr>
          <w:rFonts w:ascii="宋体" w:hAnsi="宋体" w:cs="宋体"/>
          <w:color w:val="auto"/>
          <w:szCs w:val="21"/>
          <w:highlight w:val="none"/>
        </w:rPr>
      </w:pPr>
      <w:r>
        <w:rPr>
          <w:rFonts w:hint="eastAsia" w:ascii="宋体" w:hAnsi="宋体" w:cs="宋体"/>
          <w:color w:val="auto"/>
          <w:szCs w:val="21"/>
          <w:highlight w:val="none"/>
        </w:rPr>
        <w:t>2.3.2乙方需提供电话预约、上门服务、急修快修、救援、24小时服务、拖车等服务。收到甲方车辆申报故障，故障在服务范围内的，乙方应在</w:t>
      </w:r>
      <w:r>
        <w:rPr>
          <w:rFonts w:hint="eastAsia" w:ascii="宋体" w:hAnsi="宋体" w:cs="宋体"/>
          <w:color w:val="auto"/>
          <w:szCs w:val="21"/>
          <w:highlight w:val="none"/>
          <w:lang w:val="en-US" w:eastAsia="zh-CN"/>
        </w:rPr>
        <w:t>2</w:t>
      </w:r>
      <w:r>
        <w:rPr>
          <w:rFonts w:hint="eastAsia" w:ascii="宋体" w:hAnsi="宋体" w:cs="宋体"/>
          <w:color w:val="auto"/>
          <w:szCs w:val="21"/>
          <w:highlight w:val="none"/>
        </w:rPr>
        <w:t>小时内赶到故障现场进行救援，24小时拖车服务以及接送维修服务；</w:t>
      </w:r>
    </w:p>
    <w:p w14:paraId="6397F269">
      <w:pPr>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2.3.3所有简易配件更换的项目提供免费上门维修服务。所有维护、保养、机修项目车辆设备如须到</w:t>
      </w:r>
      <w:r>
        <w:rPr>
          <w:rFonts w:hint="eastAsia" w:ascii="宋体" w:hAnsi="宋体" w:cs="宋体"/>
          <w:color w:val="auto"/>
          <w:szCs w:val="21"/>
          <w:highlight w:val="none"/>
          <w:lang w:val="en-US" w:eastAsia="zh-CN"/>
        </w:rPr>
        <w:t>乙方</w:t>
      </w:r>
      <w:r>
        <w:rPr>
          <w:rFonts w:hint="eastAsia" w:ascii="宋体" w:hAnsi="宋体" w:cs="宋体"/>
          <w:color w:val="auto"/>
          <w:szCs w:val="21"/>
          <w:highlight w:val="none"/>
        </w:rPr>
        <w:t>指定地点维修的，由</w:t>
      </w:r>
      <w:r>
        <w:rPr>
          <w:rFonts w:hint="eastAsia" w:ascii="宋体" w:hAnsi="宋体" w:cs="宋体"/>
          <w:color w:val="auto"/>
          <w:szCs w:val="21"/>
          <w:highlight w:val="none"/>
          <w:lang w:val="en-US" w:eastAsia="zh-CN"/>
        </w:rPr>
        <w:t>乙方</w:t>
      </w:r>
      <w:r>
        <w:rPr>
          <w:rFonts w:hint="eastAsia" w:ascii="宋体" w:hAnsi="宋体" w:cs="宋体"/>
          <w:color w:val="auto"/>
          <w:szCs w:val="21"/>
          <w:highlight w:val="none"/>
        </w:rPr>
        <w:t>负责安排持有与待维修车辆相适应驾驶资质的司机将车辆驾驶至维修点。如车辆无法开动或者上路存在危险的情况下维修厂须在</w:t>
      </w:r>
      <w:r>
        <w:rPr>
          <w:rFonts w:hint="eastAsia" w:ascii="宋体" w:hAnsi="宋体" w:cs="宋体"/>
          <w:color w:val="auto"/>
          <w:szCs w:val="21"/>
          <w:highlight w:val="none"/>
          <w:lang w:val="en-US" w:eastAsia="zh-CN"/>
        </w:rPr>
        <w:t>2</w:t>
      </w:r>
      <w:r>
        <w:rPr>
          <w:rFonts w:hint="eastAsia" w:ascii="宋体" w:hAnsi="宋体" w:cs="宋体"/>
          <w:color w:val="auto"/>
          <w:szCs w:val="21"/>
          <w:highlight w:val="none"/>
        </w:rPr>
        <w:t>小时内派拖车或者上门维修。</w:t>
      </w:r>
    </w:p>
    <w:p w14:paraId="3697B197">
      <w:pPr>
        <w:pStyle w:val="6"/>
        <w:rPr>
          <w:rFonts w:hint="eastAsia" w:eastAsia="宋体"/>
          <w:color w:val="auto"/>
          <w:sz w:val="21"/>
          <w:szCs w:val="21"/>
          <w:highlight w:val="none"/>
          <w:lang w:val="en-US" w:eastAsia="zh-CN" w:bidi="ar-SA"/>
        </w:rPr>
      </w:pPr>
      <w:r>
        <w:rPr>
          <w:rFonts w:hint="eastAsia" w:cs="宋体"/>
          <w:color w:val="auto"/>
          <w:sz w:val="21"/>
          <w:szCs w:val="21"/>
          <w:highlight w:val="none"/>
          <w:lang w:val="en-US" w:eastAsia="zh-CN" w:bidi="ar-SA"/>
        </w:rPr>
        <w:t xml:space="preserve">  </w:t>
      </w:r>
      <w:bookmarkStart w:id="199" w:name="OLE_LINK9"/>
      <w:r>
        <w:rPr>
          <w:rFonts w:hint="eastAsia" w:cs="宋体"/>
          <w:color w:val="auto"/>
          <w:sz w:val="21"/>
          <w:szCs w:val="21"/>
          <w:highlight w:val="none"/>
          <w:lang w:val="en-US" w:eastAsia="zh-CN" w:bidi="ar-SA"/>
        </w:rPr>
        <w:t>乙方维修点需为乙方独立经营场所</w:t>
      </w:r>
      <w:bookmarkEnd w:id="199"/>
      <w:r>
        <w:rPr>
          <w:rFonts w:hint="eastAsia" w:cs="宋体"/>
          <w:color w:val="auto"/>
          <w:sz w:val="21"/>
          <w:szCs w:val="21"/>
          <w:highlight w:val="none"/>
          <w:lang w:val="en-US" w:eastAsia="zh-CN" w:bidi="ar-SA"/>
        </w:rPr>
        <w:t>，地址为：</w:t>
      </w:r>
    </w:p>
    <w:p w14:paraId="1223F27A">
      <w:pPr>
        <w:ind w:firstLine="420" w:firstLineChars="200"/>
        <w:rPr>
          <w:rFonts w:ascii="宋体" w:hAnsi="宋体" w:cs="宋体"/>
          <w:color w:val="auto"/>
          <w:szCs w:val="21"/>
          <w:highlight w:val="none"/>
        </w:rPr>
      </w:pPr>
      <w:r>
        <w:rPr>
          <w:rFonts w:hint="eastAsia" w:ascii="宋体" w:hAnsi="宋体" w:cs="宋体"/>
          <w:color w:val="auto"/>
          <w:szCs w:val="21"/>
          <w:highlight w:val="none"/>
        </w:rPr>
        <w:t>2.3.4维修工期要求：项目服务期内，乙方应在收到甲方维修保养服务需求后2小时内响应，并经双方确认为小修类维修保养的，紧急情况需24小时内完成，一般情况需3天内完成。经双方确认为大修类维修保养的5天内完成。如双方认定不一致时，乙方应先行维修，维修结束后聘请第三方进行鉴定，鉴定费用由责任方承担（存在质量问题的，责任方为</w:t>
      </w:r>
      <w:r>
        <w:rPr>
          <w:rFonts w:hint="eastAsia" w:ascii="宋体" w:hAnsi="宋体" w:cs="宋体"/>
          <w:color w:val="auto"/>
          <w:szCs w:val="21"/>
          <w:highlight w:val="none"/>
          <w:lang w:val="en-US" w:eastAsia="zh-CN"/>
        </w:rPr>
        <w:t>乙方</w:t>
      </w:r>
      <w:r>
        <w:rPr>
          <w:rFonts w:hint="eastAsia" w:ascii="宋体" w:hAnsi="宋体" w:cs="宋体"/>
          <w:color w:val="auto"/>
          <w:szCs w:val="21"/>
          <w:highlight w:val="none"/>
        </w:rPr>
        <w:t>，不存在质量问题的，责任方为</w:t>
      </w:r>
      <w:r>
        <w:rPr>
          <w:rFonts w:hint="eastAsia" w:ascii="宋体" w:hAnsi="宋体" w:cs="宋体"/>
          <w:color w:val="auto"/>
          <w:szCs w:val="21"/>
          <w:highlight w:val="none"/>
          <w:lang w:val="en-US" w:eastAsia="zh-CN"/>
        </w:rPr>
        <w:t>甲方</w:t>
      </w:r>
      <w:r>
        <w:rPr>
          <w:rFonts w:hint="eastAsia" w:ascii="宋体" w:hAnsi="宋体" w:cs="宋体"/>
          <w:color w:val="auto"/>
          <w:szCs w:val="21"/>
          <w:highlight w:val="none"/>
        </w:rPr>
        <w:t>）。如果乙方不能在规定时限内完成维修并交车给甲方的，要提前与甲方联系，经甲方书面同意后，才能延长车辆维修时限。</w:t>
      </w:r>
    </w:p>
    <w:p w14:paraId="41889E81">
      <w:pPr>
        <w:ind w:firstLine="420" w:firstLineChars="200"/>
        <w:rPr>
          <w:rFonts w:ascii="宋体" w:hAnsi="宋体" w:cs="宋体"/>
          <w:color w:val="auto"/>
          <w:szCs w:val="21"/>
          <w:highlight w:val="none"/>
        </w:rPr>
      </w:pPr>
      <w:r>
        <w:rPr>
          <w:rFonts w:hint="eastAsia" w:ascii="宋体" w:hAnsi="宋体" w:cs="宋体"/>
          <w:color w:val="auto"/>
          <w:szCs w:val="21"/>
          <w:highlight w:val="none"/>
        </w:rPr>
        <w:t>2.3.5维修保养原则上优先使用原厂零配件，维修后更换下来的旧零部件须归还给甲方，维修厂不得自行处理，维修厂需为甲方提供24小时救援服务。</w:t>
      </w:r>
    </w:p>
    <w:p w14:paraId="47254EE0">
      <w:pPr>
        <w:ind w:firstLine="420" w:firstLineChars="200"/>
        <w:rPr>
          <w:rFonts w:ascii="宋体" w:hAnsi="宋体" w:cs="宋体"/>
          <w:color w:val="auto"/>
          <w:szCs w:val="21"/>
          <w:highlight w:val="none"/>
        </w:rPr>
      </w:pPr>
      <w:r>
        <w:rPr>
          <w:rFonts w:hint="eastAsia" w:ascii="宋体" w:hAnsi="宋体" w:cs="宋体"/>
          <w:color w:val="auto"/>
          <w:szCs w:val="21"/>
          <w:highlight w:val="none"/>
        </w:rPr>
        <w:t>2.3.6每次车辆维修项目和维修费用必须由甲方签名或盖章认可。乙方应编制维修项目明细表，确保甲方对维修内容及其细节的知情权。</w:t>
      </w:r>
    </w:p>
    <w:p w14:paraId="03EF93A6">
      <w:pPr>
        <w:ind w:firstLine="420" w:firstLineChars="200"/>
        <w:rPr>
          <w:rFonts w:ascii="宋体" w:hAnsi="宋体" w:cs="宋体"/>
          <w:color w:val="auto"/>
          <w:szCs w:val="21"/>
          <w:highlight w:val="none"/>
        </w:rPr>
      </w:pPr>
      <w:r>
        <w:rPr>
          <w:rFonts w:hint="eastAsia" w:ascii="宋体" w:hAnsi="宋体" w:cs="宋体"/>
          <w:color w:val="auto"/>
          <w:szCs w:val="21"/>
          <w:highlight w:val="none"/>
        </w:rPr>
        <w:t>2.3.7未经甲方书面同意，乙方不得将甲方的车辆转厂维修；乙方应对甲方车辆维修信息进行保密，不得将其资料外泄。</w:t>
      </w:r>
    </w:p>
    <w:p w14:paraId="2BD4AA77">
      <w:pPr>
        <w:ind w:firstLine="420" w:firstLineChars="200"/>
        <w:rPr>
          <w:rFonts w:ascii="宋体" w:hAnsi="宋体" w:cs="宋体"/>
          <w:color w:val="auto"/>
          <w:szCs w:val="21"/>
          <w:highlight w:val="none"/>
        </w:rPr>
      </w:pPr>
      <w:r>
        <w:rPr>
          <w:rFonts w:hint="eastAsia" w:ascii="宋体" w:hAnsi="宋体" w:cs="宋体"/>
          <w:color w:val="auto"/>
          <w:szCs w:val="21"/>
          <w:highlight w:val="none"/>
        </w:rPr>
        <w:t>2.3.8乙方必须对甲方车辆维修实行计算机专车专修管理。乙方必须通过计算机对甲方车辆基本情况、技术档案、维修档案、汽车配件材料、计费结算等分车建档管理。车辆维修档案应当包括：维修合同（托修单）、维修项目、维修人员及维修结算清单等。对车辆进行二级维护、总成修理、整车修理的，维修档案还应当包括：质量检验单、质量检验人员等。乙方根据甲方要求，提供车辆档案。此外，乙方必须严格履行保密义务，不得向任何第三方提供上述档案资料；</w:t>
      </w:r>
    </w:p>
    <w:p w14:paraId="329B0A82">
      <w:pPr>
        <w:ind w:firstLine="420" w:firstLineChars="200"/>
        <w:rPr>
          <w:rFonts w:ascii="宋体" w:hAnsi="宋体" w:cs="宋体"/>
          <w:color w:val="auto"/>
          <w:szCs w:val="21"/>
          <w:highlight w:val="none"/>
        </w:rPr>
      </w:pPr>
      <w:r>
        <w:rPr>
          <w:rFonts w:hint="eastAsia" w:ascii="宋体" w:hAnsi="宋体" w:cs="宋体"/>
          <w:color w:val="auto"/>
          <w:szCs w:val="21"/>
          <w:highlight w:val="none"/>
        </w:rPr>
        <w:t>2.3.9如甲方需要，乙方应免费提供车辆维护技术指导。</w:t>
      </w:r>
    </w:p>
    <w:p w14:paraId="7345CE52">
      <w:pPr>
        <w:ind w:firstLine="420" w:firstLineChars="200"/>
        <w:rPr>
          <w:rFonts w:ascii="宋体" w:hAnsi="宋体" w:cs="宋体"/>
          <w:color w:val="auto"/>
          <w:szCs w:val="21"/>
          <w:highlight w:val="none"/>
        </w:rPr>
      </w:pPr>
      <w:r>
        <w:rPr>
          <w:rFonts w:hint="eastAsia" w:ascii="宋体" w:hAnsi="宋体" w:cs="宋体"/>
          <w:color w:val="auto"/>
          <w:szCs w:val="21"/>
          <w:highlight w:val="none"/>
        </w:rPr>
        <w:t>2.3.10乙方必须严格遵守交通运输颁发的《机动车维修管理规定》、《中华人民共和国交通运输行业标准机动车维修服务规范》JT/T816-2011等相关规定。</w:t>
      </w:r>
    </w:p>
    <w:p w14:paraId="558EDBFC">
      <w:pPr>
        <w:ind w:firstLine="420" w:firstLineChars="200"/>
        <w:rPr>
          <w:rFonts w:ascii="宋体" w:hAnsi="宋体" w:cs="宋体"/>
          <w:color w:val="auto"/>
          <w:szCs w:val="21"/>
          <w:highlight w:val="none"/>
        </w:rPr>
      </w:pPr>
      <w:r>
        <w:rPr>
          <w:rFonts w:hint="eastAsia" w:ascii="宋体" w:hAnsi="宋体" w:cs="宋体"/>
          <w:color w:val="auto"/>
          <w:szCs w:val="21"/>
          <w:highlight w:val="none"/>
        </w:rPr>
        <w:t>2.3.11场地及设施要求</w:t>
      </w:r>
    </w:p>
    <w:p w14:paraId="25FD4232">
      <w:pPr>
        <w:ind w:firstLine="420" w:firstLineChars="200"/>
        <w:rPr>
          <w:rFonts w:ascii="宋体" w:hAnsi="宋体" w:cs="宋体"/>
          <w:color w:val="auto"/>
          <w:szCs w:val="21"/>
          <w:highlight w:val="none"/>
        </w:rPr>
      </w:pPr>
      <w:r>
        <w:rPr>
          <w:rFonts w:hint="eastAsia" w:ascii="宋体" w:hAnsi="宋体" w:cs="宋体"/>
          <w:color w:val="auto"/>
          <w:szCs w:val="21"/>
          <w:highlight w:val="none"/>
        </w:rPr>
        <w:t>（1）场地符合国家规定的标准</w:t>
      </w:r>
      <w:r>
        <w:rPr>
          <w:rFonts w:hint="eastAsia" w:ascii="宋体" w:hAnsi="宋体" w:cs="宋体"/>
          <w:color w:val="auto"/>
          <w:szCs w:val="21"/>
          <w:highlight w:val="none"/>
          <w:lang w:val="en-US" w:eastAsia="zh-CN"/>
        </w:rPr>
        <w:t>和甲方</w:t>
      </w:r>
      <w:r>
        <w:rPr>
          <w:rFonts w:hint="eastAsia" w:ascii="宋体" w:hAnsi="宋体" w:cs="宋体"/>
          <w:color w:val="auto"/>
          <w:szCs w:val="21"/>
          <w:highlight w:val="none"/>
        </w:rPr>
        <w:t>要求，并且交通便利；</w:t>
      </w:r>
    </w:p>
    <w:p w14:paraId="1B52C5EA">
      <w:pPr>
        <w:ind w:firstLine="420" w:firstLineChars="200"/>
        <w:rPr>
          <w:rFonts w:ascii="宋体" w:hAnsi="宋体" w:cs="宋体"/>
          <w:color w:val="auto"/>
          <w:szCs w:val="21"/>
          <w:highlight w:val="none"/>
        </w:rPr>
      </w:pPr>
      <w:r>
        <w:rPr>
          <w:rFonts w:hint="eastAsia" w:ascii="宋体" w:hAnsi="宋体" w:cs="宋体"/>
          <w:color w:val="auto"/>
          <w:szCs w:val="21"/>
          <w:highlight w:val="none"/>
        </w:rPr>
        <w:t>（</w:t>
      </w:r>
      <w:r>
        <w:rPr>
          <w:rFonts w:hint="eastAsia" w:ascii="宋体" w:hAnsi="宋体" w:cs="宋体"/>
          <w:color w:val="auto"/>
          <w:szCs w:val="21"/>
          <w:highlight w:val="none"/>
          <w:lang w:val="en-US" w:eastAsia="zh-CN"/>
        </w:rPr>
        <w:t>2</w:t>
      </w:r>
      <w:r>
        <w:rPr>
          <w:rFonts w:hint="eastAsia" w:ascii="宋体" w:hAnsi="宋体" w:cs="宋体"/>
          <w:color w:val="auto"/>
          <w:szCs w:val="21"/>
          <w:highlight w:val="none"/>
        </w:rPr>
        <w:t>）修理车间布局合理、车间设施良好、修理工位标示明确；</w:t>
      </w:r>
    </w:p>
    <w:p w14:paraId="5F85FA1F">
      <w:pPr>
        <w:ind w:firstLine="420" w:firstLineChars="200"/>
        <w:rPr>
          <w:rFonts w:ascii="宋体" w:hAnsi="宋体" w:cs="宋体"/>
          <w:color w:val="auto"/>
          <w:szCs w:val="21"/>
          <w:highlight w:val="none"/>
        </w:rPr>
      </w:pPr>
      <w:r>
        <w:rPr>
          <w:rFonts w:hint="eastAsia" w:ascii="宋体" w:hAnsi="宋体" w:cs="宋体"/>
          <w:color w:val="auto"/>
          <w:szCs w:val="21"/>
          <w:highlight w:val="none"/>
        </w:rPr>
        <w:t>（</w:t>
      </w:r>
      <w:r>
        <w:rPr>
          <w:rFonts w:hint="eastAsia" w:ascii="宋体" w:hAnsi="宋体" w:cs="宋体"/>
          <w:color w:val="auto"/>
          <w:szCs w:val="21"/>
          <w:highlight w:val="none"/>
          <w:lang w:val="en-US" w:eastAsia="zh-CN"/>
        </w:rPr>
        <w:t>3</w:t>
      </w:r>
      <w:r>
        <w:rPr>
          <w:rFonts w:hint="eastAsia" w:ascii="宋体" w:hAnsi="宋体" w:cs="宋体"/>
          <w:color w:val="auto"/>
          <w:szCs w:val="21"/>
          <w:highlight w:val="none"/>
        </w:rPr>
        <w:t>）保留足够的停车场地和接待区，接待区要有满足客户登记和休息的设施</w:t>
      </w:r>
    </w:p>
    <w:p w14:paraId="251D432C">
      <w:pPr>
        <w:ind w:firstLine="420" w:firstLineChars="200"/>
        <w:rPr>
          <w:rFonts w:ascii="宋体" w:hAnsi="宋体" w:cs="宋体"/>
          <w:color w:val="auto"/>
          <w:szCs w:val="21"/>
          <w:highlight w:val="none"/>
        </w:rPr>
      </w:pPr>
      <w:r>
        <w:rPr>
          <w:rFonts w:hint="eastAsia" w:ascii="宋体" w:hAnsi="宋体" w:cs="宋体"/>
          <w:color w:val="auto"/>
          <w:szCs w:val="21"/>
          <w:highlight w:val="none"/>
        </w:rPr>
        <w:t>2.3.12维修流程要求</w:t>
      </w:r>
    </w:p>
    <w:p w14:paraId="40222742">
      <w:pPr>
        <w:ind w:firstLine="420" w:firstLineChars="200"/>
        <w:rPr>
          <w:rFonts w:ascii="宋体" w:hAnsi="宋体" w:cs="宋体"/>
          <w:color w:val="auto"/>
          <w:szCs w:val="21"/>
          <w:highlight w:val="none"/>
        </w:rPr>
      </w:pPr>
      <w:r>
        <w:rPr>
          <w:rFonts w:hint="eastAsia" w:ascii="宋体" w:hAnsi="宋体" w:cs="宋体"/>
          <w:color w:val="auto"/>
          <w:szCs w:val="21"/>
          <w:highlight w:val="none"/>
        </w:rPr>
        <w:t>（1）日常运作（接车、维修、交车、结算、投诉、索赔）要做到规范化、制度化，实行定人定岗，严格落实岗位责任制度，形成岗位责任追究制度，促进生产管理活动有秩序地进行。</w:t>
      </w:r>
    </w:p>
    <w:p w14:paraId="4E73FB46">
      <w:pPr>
        <w:ind w:firstLine="420" w:firstLineChars="200"/>
        <w:rPr>
          <w:rFonts w:ascii="宋体" w:hAnsi="宋体" w:cs="宋体"/>
          <w:color w:val="auto"/>
          <w:szCs w:val="21"/>
          <w:highlight w:val="none"/>
        </w:rPr>
      </w:pPr>
      <w:r>
        <w:rPr>
          <w:rFonts w:hint="eastAsia" w:ascii="宋体" w:hAnsi="宋体" w:cs="宋体"/>
          <w:color w:val="auto"/>
          <w:szCs w:val="21"/>
          <w:highlight w:val="none"/>
        </w:rPr>
        <w:t>（2）接受委托维修时，维护、保养及小修报修从检测到确认维修方案，</w:t>
      </w:r>
      <w:r>
        <w:rPr>
          <w:rFonts w:hint="eastAsia" w:ascii="宋体" w:hAnsi="宋体" w:cs="宋体"/>
          <w:color w:val="auto"/>
          <w:szCs w:val="21"/>
          <w:highlight w:val="none"/>
          <w:lang w:val="en-US" w:eastAsia="zh-CN"/>
        </w:rPr>
        <w:t>乙方</w:t>
      </w:r>
      <w:r>
        <w:rPr>
          <w:rFonts w:hint="eastAsia" w:ascii="宋体" w:hAnsi="宋体" w:cs="宋体"/>
          <w:color w:val="auto"/>
          <w:szCs w:val="21"/>
          <w:highlight w:val="none"/>
        </w:rPr>
        <w:t>须在2小时内完成相应维修单等资料并报送给</w:t>
      </w:r>
      <w:r>
        <w:rPr>
          <w:rFonts w:hint="eastAsia" w:ascii="宋体" w:hAnsi="宋体" w:cs="宋体"/>
          <w:color w:val="auto"/>
          <w:szCs w:val="21"/>
          <w:highlight w:val="none"/>
          <w:lang w:val="en-US" w:eastAsia="zh-CN"/>
        </w:rPr>
        <w:t>甲方</w:t>
      </w:r>
      <w:r>
        <w:rPr>
          <w:rFonts w:hint="eastAsia" w:ascii="宋体" w:hAnsi="宋体" w:cs="宋体"/>
          <w:color w:val="auto"/>
          <w:szCs w:val="21"/>
          <w:highlight w:val="none"/>
        </w:rPr>
        <w:t>，大修报修从检测到确认维修方案，</w:t>
      </w:r>
      <w:r>
        <w:rPr>
          <w:rFonts w:hint="eastAsia" w:ascii="宋体" w:hAnsi="宋体" w:cs="宋体"/>
          <w:color w:val="auto"/>
          <w:szCs w:val="21"/>
          <w:highlight w:val="none"/>
          <w:lang w:val="en-US" w:eastAsia="zh-CN"/>
        </w:rPr>
        <w:t>乙方</w:t>
      </w:r>
      <w:r>
        <w:rPr>
          <w:rFonts w:hint="eastAsia" w:ascii="宋体" w:hAnsi="宋体" w:cs="宋体"/>
          <w:color w:val="auto"/>
          <w:szCs w:val="21"/>
          <w:highlight w:val="none"/>
        </w:rPr>
        <w:t>须在24小时内完成相应维修单等资料并报送给</w:t>
      </w:r>
      <w:r>
        <w:rPr>
          <w:rFonts w:hint="eastAsia" w:ascii="宋体" w:hAnsi="宋体" w:cs="宋体"/>
          <w:color w:val="auto"/>
          <w:szCs w:val="21"/>
          <w:highlight w:val="none"/>
          <w:lang w:val="en-US" w:eastAsia="zh-CN"/>
        </w:rPr>
        <w:t>甲方</w:t>
      </w:r>
      <w:r>
        <w:rPr>
          <w:rFonts w:hint="eastAsia" w:ascii="宋体" w:hAnsi="宋体" w:cs="宋体"/>
          <w:color w:val="auto"/>
          <w:szCs w:val="21"/>
          <w:highlight w:val="none"/>
        </w:rPr>
        <w:t>。维修项目和维修费用（工时费和配件费）都必须由甲方签名或盖章认可，乙方在标价时，应编制维修项目明细表，确保甲方对维修内容及其细节的知情权。</w:t>
      </w:r>
    </w:p>
    <w:p w14:paraId="6D72F9D4">
      <w:pPr>
        <w:ind w:firstLine="420" w:firstLineChars="200"/>
        <w:rPr>
          <w:rFonts w:ascii="宋体" w:hAnsi="宋体" w:cs="宋体"/>
          <w:color w:val="auto"/>
          <w:szCs w:val="21"/>
          <w:highlight w:val="none"/>
        </w:rPr>
      </w:pPr>
      <w:r>
        <w:rPr>
          <w:rFonts w:hint="eastAsia" w:ascii="宋体" w:hAnsi="宋体" w:cs="宋体"/>
          <w:color w:val="auto"/>
          <w:szCs w:val="21"/>
          <w:highlight w:val="none"/>
        </w:rPr>
        <w:t>（3）乙方检验人员必须</w:t>
      </w:r>
      <w:r>
        <w:rPr>
          <w:rFonts w:hint="eastAsia" w:ascii="宋体" w:hAnsi="宋体" w:cs="宋体"/>
          <w:color w:val="auto"/>
          <w:szCs w:val="21"/>
          <w:highlight w:val="none"/>
          <w:lang w:val="en-US" w:eastAsia="zh-CN"/>
        </w:rPr>
        <w:t>到</w:t>
      </w:r>
      <w:r>
        <w:rPr>
          <w:rFonts w:hint="eastAsia" w:ascii="宋体" w:hAnsi="宋体" w:cs="宋体"/>
          <w:color w:val="auto"/>
          <w:szCs w:val="21"/>
          <w:highlight w:val="none"/>
        </w:rPr>
        <w:t>现场对车辆进行诊断，初步确定维修项目，并要充分征求甲方的意见。</w:t>
      </w:r>
    </w:p>
    <w:p w14:paraId="0EE87BC4">
      <w:pPr>
        <w:ind w:firstLine="420" w:firstLineChars="200"/>
        <w:rPr>
          <w:rFonts w:ascii="宋体" w:hAnsi="宋体" w:cs="宋体"/>
          <w:color w:val="auto"/>
          <w:szCs w:val="21"/>
          <w:highlight w:val="none"/>
        </w:rPr>
      </w:pPr>
      <w:r>
        <w:rPr>
          <w:rFonts w:hint="eastAsia" w:ascii="宋体" w:hAnsi="宋体" w:cs="宋体"/>
          <w:color w:val="auto"/>
          <w:szCs w:val="21"/>
          <w:highlight w:val="none"/>
        </w:rPr>
        <w:t>（4）乙方服务人员在制作估价单后，应详细向甲方说明维修的项目、作业的内容、配件的来源渠道、维修时间和维修费用。</w:t>
      </w:r>
    </w:p>
    <w:p w14:paraId="3257F30E">
      <w:pPr>
        <w:ind w:firstLine="420" w:firstLineChars="200"/>
        <w:rPr>
          <w:rFonts w:ascii="宋体" w:hAnsi="宋体" w:cs="宋体"/>
          <w:color w:val="auto"/>
          <w:szCs w:val="21"/>
          <w:highlight w:val="none"/>
        </w:rPr>
      </w:pPr>
      <w:r>
        <w:rPr>
          <w:rFonts w:hint="eastAsia" w:ascii="宋体" w:hAnsi="宋体" w:cs="宋体"/>
          <w:color w:val="auto"/>
          <w:szCs w:val="21"/>
          <w:highlight w:val="none"/>
        </w:rPr>
        <w:t>（5）工作单上没有的项目，在维修过程中发现某些项目是必须追加的，维修人员应立即告知调度或技术负责人，确认后，在维修前应事先通知甲方，征得甲方书面同意，方能增加费用开始</w:t>
      </w:r>
      <w:r>
        <w:rPr>
          <w:rFonts w:hint="eastAsia" w:ascii="宋体" w:hAnsi="宋体" w:cs="宋体"/>
          <w:color w:val="auto"/>
          <w:szCs w:val="21"/>
          <w:highlight w:val="none"/>
          <w:lang w:val="en-US" w:eastAsia="zh-CN"/>
        </w:rPr>
        <w:t>维修</w:t>
      </w:r>
      <w:r>
        <w:rPr>
          <w:rFonts w:hint="eastAsia" w:ascii="宋体" w:hAnsi="宋体" w:cs="宋体"/>
          <w:color w:val="auto"/>
          <w:szCs w:val="21"/>
          <w:highlight w:val="none"/>
        </w:rPr>
        <w:t>，并同时要追加工作单或在原工作单上补项。</w:t>
      </w:r>
    </w:p>
    <w:p w14:paraId="4EE9F825">
      <w:pPr>
        <w:ind w:firstLine="420" w:firstLineChars="200"/>
        <w:rPr>
          <w:rFonts w:ascii="宋体" w:hAnsi="宋体" w:cs="宋体"/>
          <w:color w:val="auto"/>
          <w:szCs w:val="21"/>
          <w:highlight w:val="none"/>
        </w:rPr>
      </w:pPr>
      <w:r>
        <w:rPr>
          <w:rFonts w:hint="eastAsia" w:ascii="宋体" w:hAnsi="宋体" w:cs="宋体"/>
          <w:color w:val="auto"/>
          <w:szCs w:val="21"/>
          <w:highlight w:val="none"/>
        </w:rPr>
        <w:t>（6）维修人员更换配件时，应以新件换取旧件，并向甲方明确该新件是原厂件还是副厂件，同时旧件应交库房保存，车辆竣工出厂后，旧件应归还甲方。</w:t>
      </w:r>
    </w:p>
    <w:p w14:paraId="62E04BBB">
      <w:pPr>
        <w:ind w:firstLine="420" w:firstLineChars="200"/>
        <w:rPr>
          <w:rFonts w:ascii="宋体" w:hAnsi="宋体" w:cs="宋体"/>
          <w:color w:val="auto"/>
          <w:szCs w:val="21"/>
          <w:highlight w:val="none"/>
        </w:rPr>
      </w:pPr>
      <w:r>
        <w:rPr>
          <w:rFonts w:hint="eastAsia" w:ascii="宋体" w:hAnsi="宋体" w:cs="宋体"/>
          <w:color w:val="auto"/>
          <w:szCs w:val="21"/>
          <w:highlight w:val="none"/>
        </w:rPr>
        <w:t>（7）汽车进场维修时，乙方应建立该车档案（包括用户名称、地址、电话、联系人、车牌号、维修资料等），以便今后联系、调查和服务。</w:t>
      </w:r>
    </w:p>
    <w:p w14:paraId="2FC31BDD">
      <w:pPr>
        <w:ind w:firstLine="420" w:firstLineChars="200"/>
        <w:rPr>
          <w:rFonts w:ascii="宋体" w:hAnsi="宋体" w:cs="宋体"/>
          <w:color w:val="auto"/>
          <w:szCs w:val="21"/>
          <w:highlight w:val="none"/>
        </w:rPr>
      </w:pPr>
      <w:r>
        <w:rPr>
          <w:rFonts w:hint="eastAsia" w:ascii="宋体" w:hAnsi="宋体" w:cs="宋体"/>
          <w:color w:val="auto"/>
          <w:szCs w:val="21"/>
          <w:highlight w:val="none"/>
        </w:rPr>
        <w:t>（8）汽车竣工出厂后，责任保障期限及车辆质量保障按照国家有关部门颁发的最新标准执行。</w:t>
      </w:r>
    </w:p>
    <w:p w14:paraId="1B08C7BB">
      <w:pPr>
        <w:ind w:firstLine="420" w:firstLineChars="200"/>
        <w:rPr>
          <w:rFonts w:ascii="宋体" w:hAnsi="宋体" w:cs="宋体"/>
          <w:color w:val="auto"/>
          <w:szCs w:val="21"/>
          <w:highlight w:val="none"/>
        </w:rPr>
      </w:pPr>
      <w:r>
        <w:rPr>
          <w:rFonts w:hint="eastAsia" w:ascii="宋体" w:hAnsi="宋体" w:cs="宋体"/>
          <w:color w:val="auto"/>
          <w:szCs w:val="21"/>
          <w:highlight w:val="none"/>
        </w:rPr>
        <w:t>（9）在质量保证期内，因维修质量问题造成车辆故障或损坏的，乙方应负责及时返修，返修不重新</w:t>
      </w:r>
      <w:r>
        <w:rPr>
          <w:rFonts w:hint="eastAsia" w:ascii="宋体" w:hAnsi="宋体" w:cs="宋体"/>
          <w:color w:val="auto"/>
          <w:szCs w:val="21"/>
          <w:highlight w:val="none"/>
          <w:lang w:val="en-US" w:eastAsia="zh-CN"/>
        </w:rPr>
        <w:t>计</w:t>
      </w:r>
      <w:r>
        <w:rPr>
          <w:rFonts w:hint="eastAsia" w:ascii="宋体" w:hAnsi="宋体" w:cs="宋体"/>
          <w:color w:val="auto"/>
          <w:szCs w:val="21"/>
          <w:highlight w:val="none"/>
        </w:rPr>
        <w:t>取维修费用；由于维修质量问题造成的车辆异常损坏或车辆机件事故的，由乙方负责修理并承担相关的费用。</w:t>
      </w:r>
    </w:p>
    <w:p w14:paraId="391A4754">
      <w:pPr>
        <w:ind w:firstLine="420" w:firstLineChars="200"/>
        <w:rPr>
          <w:rFonts w:ascii="宋体" w:hAnsi="宋体" w:cs="宋体"/>
          <w:color w:val="auto"/>
          <w:szCs w:val="21"/>
          <w:highlight w:val="none"/>
        </w:rPr>
      </w:pPr>
      <w:r>
        <w:rPr>
          <w:rFonts w:hint="eastAsia" w:ascii="宋体" w:hAnsi="宋体" w:cs="宋体"/>
          <w:color w:val="auto"/>
          <w:szCs w:val="21"/>
          <w:highlight w:val="none"/>
        </w:rPr>
        <w:t>（10）乙方不得以任何借口动用</w:t>
      </w:r>
      <w:r>
        <w:rPr>
          <w:rFonts w:hint="eastAsia" w:ascii="宋体" w:hAnsi="宋体" w:cs="宋体"/>
          <w:color w:val="auto"/>
          <w:szCs w:val="21"/>
          <w:highlight w:val="none"/>
          <w:lang w:val="en-US" w:eastAsia="zh-CN"/>
        </w:rPr>
        <w:t>维修</w:t>
      </w:r>
      <w:r>
        <w:rPr>
          <w:rFonts w:hint="eastAsia" w:ascii="宋体" w:hAnsi="宋体" w:cs="宋体"/>
          <w:color w:val="auto"/>
          <w:szCs w:val="21"/>
          <w:highlight w:val="none"/>
        </w:rPr>
        <w:t>车辆，未经甲方书面允许不得将车开出维修厂试车或作它用。</w:t>
      </w:r>
    </w:p>
    <w:p w14:paraId="39374376">
      <w:pPr>
        <w:ind w:firstLine="420" w:firstLineChars="200"/>
        <w:rPr>
          <w:rFonts w:ascii="宋体" w:hAnsi="宋体" w:cs="宋体"/>
          <w:color w:val="auto"/>
          <w:szCs w:val="21"/>
          <w:highlight w:val="none"/>
        </w:rPr>
      </w:pPr>
      <w:r>
        <w:rPr>
          <w:rFonts w:hint="eastAsia" w:ascii="宋体" w:hAnsi="宋体" w:cs="宋体"/>
          <w:color w:val="auto"/>
          <w:szCs w:val="21"/>
          <w:highlight w:val="none"/>
        </w:rPr>
        <w:t>（11）乙方应严格执行在投标文件中提出的服务承诺。</w:t>
      </w:r>
    </w:p>
    <w:p w14:paraId="34B6DDA1">
      <w:pPr>
        <w:ind w:firstLine="420" w:firstLineChars="200"/>
        <w:rPr>
          <w:rFonts w:ascii="宋体" w:hAnsi="宋体" w:cs="宋体"/>
          <w:color w:val="auto"/>
          <w:szCs w:val="21"/>
          <w:highlight w:val="none"/>
        </w:rPr>
      </w:pPr>
      <w:r>
        <w:rPr>
          <w:rFonts w:hint="eastAsia" w:ascii="宋体" w:hAnsi="宋体" w:cs="宋体"/>
          <w:color w:val="auto"/>
          <w:szCs w:val="21"/>
          <w:highlight w:val="none"/>
        </w:rPr>
        <w:t>（12）乙方必须服从有关部门的监督、管理，不得将甲方的车辆转厂维修，不得代开发票、收取开票费。</w:t>
      </w:r>
    </w:p>
    <w:p w14:paraId="6E8A5547">
      <w:pPr>
        <w:ind w:firstLine="420" w:firstLineChars="200"/>
        <w:rPr>
          <w:rFonts w:ascii="宋体" w:hAnsi="宋体" w:cs="宋体"/>
          <w:color w:val="auto"/>
          <w:szCs w:val="21"/>
          <w:highlight w:val="none"/>
        </w:rPr>
      </w:pPr>
      <w:r>
        <w:rPr>
          <w:rFonts w:hint="eastAsia" w:ascii="宋体" w:hAnsi="宋体" w:cs="宋体"/>
          <w:color w:val="auto"/>
          <w:szCs w:val="21"/>
          <w:highlight w:val="none"/>
        </w:rPr>
        <w:t>2.3.13管理要求</w:t>
      </w:r>
    </w:p>
    <w:p w14:paraId="166736D7">
      <w:pPr>
        <w:ind w:firstLine="420" w:firstLineChars="200"/>
        <w:rPr>
          <w:rFonts w:ascii="宋体" w:hAnsi="宋体" w:cs="宋体"/>
          <w:color w:val="auto"/>
          <w:szCs w:val="21"/>
          <w:highlight w:val="none"/>
        </w:rPr>
      </w:pPr>
      <w:r>
        <w:rPr>
          <w:rFonts w:hint="eastAsia" w:ascii="宋体" w:hAnsi="宋体" w:cs="宋体"/>
          <w:color w:val="auto"/>
          <w:szCs w:val="21"/>
          <w:highlight w:val="none"/>
        </w:rPr>
        <w:t>（1）乙方的有关证照、服务项目、服务收费(工时费优惠率和维修材料管理费率)、服务承诺、质量保证规定、监督投诉电话等内容应向甲方公开。</w:t>
      </w:r>
    </w:p>
    <w:p w14:paraId="21B6BDC2">
      <w:pPr>
        <w:ind w:firstLine="420" w:firstLineChars="200"/>
        <w:rPr>
          <w:rFonts w:ascii="宋体" w:hAnsi="宋体" w:cs="宋体"/>
          <w:color w:val="auto"/>
          <w:szCs w:val="21"/>
          <w:highlight w:val="none"/>
        </w:rPr>
      </w:pPr>
      <w:r>
        <w:rPr>
          <w:rFonts w:hint="eastAsia" w:ascii="宋体" w:hAnsi="宋体" w:cs="宋体"/>
          <w:color w:val="auto"/>
          <w:szCs w:val="21"/>
          <w:highlight w:val="none"/>
        </w:rPr>
        <w:t>（2）维修管理制度、财务管理制度、岗位责任制度、质量控制制度健全、有效、合理。</w:t>
      </w:r>
    </w:p>
    <w:p w14:paraId="383E5D56">
      <w:pPr>
        <w:ind w:firstLine="420" w:firstLineChars="200"/>
        <w:rPr>
          <w:rFonts w:ascii="宋体" w:hAnsi="宋体" w:cs="宋体"/>
          <w:color w:val="auto"/>
          <w:szCs w:val="21"/>
          <w:highlight w:val="none"/>
        </w:rPr>
      </w:pPr>
      <w:r>
        <w:rPr>
          <w:rFonts w:hint="eastAsia" w:ascii="宋体" w:hAnsi="宋体" w:cs="宋体"/>
          <w:color w:val="auto"/>
          <w:szCs w:val="21"/>
          <w:highlight w:val="none"/>
        </w:rPr>
        <w:t>（3）流程环节清楚、合理、有序。</w:t>
      </w:r>
    </w:p>
    <w:p w14:paraId="06A473BB">
      <w:pPr>
        <w:ind w:firstLine="420" w:firstLineChars="200"/>
        <w:rPr>
          <w:rFonts w:ascii="宋体" w:hAnsi="宋体" w:cs="宋体"/>
          <w:color w:val="auto"/>
          <w:szCs w:val="21"/>
          <w:highlight w:val="none"/>
        </w:rPr>
      </w:pPr>
      <w:r>
        <w:rPr>
          <w:rFonts w:hint="eastAsia" w:ascii="宋体" w:hAnsi="宋体" w:cs="宋体"/>
          <w:color w:val="auto"/>
          <w:szCs w:val="21"/>
          <w:highlight w:val="none"/>
        </w:rPr>
        <w:t>（4）人员着装整洁、佩带标牌、能够提供文明、优质的服务。</w:t>
      </w:r>
    </w:p>
    <w:p w14:paraId="1B8D72EE">
      <w:pPr>
        <w:ind w:firstLine="420" w:firstLineChars="200"/>
        <w:rPr>
          <w:rFonts w:ascii="宋体" w:hAnsi="宋体" w:cs="宋体"/>
          <w:color w:val="auto"/>
          <w:szCs w:val="21"/>
          <w:highlight w:val="none"/>
        </w:rPr>
      </w:pPr>
      <w:r>
        <w:rPr>
          <w:rFonts w:hint="eastAsia" w:ascii="宋体" w:hAnsi="宋体" w:cs="宋体"/>
          <w:color w:val="auto"/>
          <w:szCs w:val="21"/>
          <w:highlight w:val="none"/>
        </w:rPr>
        <w:t>（5）有符合规定的出厂质检工序。</w:t>
      </w:r>
    </w:p>
    <w:p w14:paraId="44F05AFC">
      <w:pPr>
        <w:ind w:firstLine="420" w:firstLineChars="200"/>
        <w:rPr>
          <w:rFonts w:ascii="宋体" w:hAnsi="宋体" w:cs="宋体"/>
          <w:color w:val="auto"/>
          <w:szCs w:val="21"/>
          <w:highlight w:val="none"/>
        </w:rPr>
      </w:pPr>
      <w:r>
        <w:rPr>
          <w:rFonts w:hint="eastAsia" w:ascii="宋体" w:hAnsi="宋体" w:cs="宋体"/>
          <w:color w:val="auto"/>
          <w:szCs w:val="21"/>
          <w:highlight w:val="none"/>
        </w:rPr>
        <w:t>（6）重要检测维修设备、操作规程实施有效，专人对设备的使用进行管理，保证状态良好。</w:t>
      </w:r>
    </w:p>
    <w:p w14:paraId="123E161A">
      <w:pPr>
        <w:ind w:firstLine="420" w:firstLineChars="200"/>
        <w:rPr>
          <w:rFonts w:ascii="宋体" w:hAnsi="宋体" w:cs="宋体"/>
          <w:color w:val="auto"/>
          <w:szCs w:val="21"/>
          <w:highlight w:val="none"/>
        </w:rPr>
      </w:pPr>
      <w:r>
        <w:rPr>
          <w:rFonts w:hint="eastAsia" w:ascii="宋体" w:hAnsi="宋体" w:cs="宋体"/>
          <w:color w:val="auto"/>
          <w:szCs w:val="21"/>
          <w:highlight w:val="none"/>
        </w:rPr>
        <w:t>2.3.14维修手续及要求</w:t>
      </w:r>
    </w:p>
    <w:p w14:paraId="2BE1FF56">
      <w:pPr>
        <w:ind w:firstLine="420" w:firstLineChars="200"/>
        <w:rPr>
          <w:rFonts w:ascii="宋体" w:hAnsi="宋体" w:cs="宋体"/>
          <w:color w:val="auto"/>
          <w:szCs w:val="21"/>
          <w:highlight w:val="none"/>
        </w:rPr>
      </w:pPr>
      <w:r>
        <w:rPr>
          <w:rFonts w:hint="eastAsia" w:ascii="宋体" w:hAnsi="宋体" w:cs="宋体"/>
          <w:color w:val="auto"/>
          <w:szCs w:val="21"/>
          <w:highlight w:val="none"/>
        </w:rPr>
        <w:t>（1）送修车辆时，乙方根据“送修单”上填写的拟维修项目对送修车辆进行检测、拟定维修方案和计价，未征得甲方经办人书面同意和认可，不得擅自更改维修项目。</w:t>
      </w:r>
      <w:r>
        <w:rPr>
          <w:rFonts w:hint="eastAsia" w:ascii="宋体" w:hAnsi="宋体" w:cs="宋体"/>
          <w:color w:val="auto"/>
          <w:szCs w:val="21"/>
          <w:highlight w:val="none"/>
          <w:lang w:val="en-US" w:eastAsia="zh-CN"/>
        </w:rPr>
        <w:t>乙方</w:t>
      </w:r>
      <w:r>
        <w:rPr>
          <w:rFonts w:hint="eastAsia" w:ascii="宋体" w:hAnsi="宋体" w:cs="宋体"/>
          <w:color w:val="auto"/>
          <w:szCs w:val="21"/>
          <w:highlight w:val="none"/>
        </w:rPr>
        <w:t>应充分考虑车况、部位、安全、经费等因素，向甲方经办人提出合理的报价及维修方案，由甲方经办人书面确认；</w:t>
      </w:r>
    </w:p>
    <w:p w14:paraId="455F5A26">
      <w:pPr>
        <w:ind w:firstLine="420" w:firstLineChars="200"/>
        <w:rPr>
          <w:rFonts w:ascii="宋体" w:hAnsi="宋体" w:cs="宋体"/>
          <w:color w:val="auto"/>
          <w:szCs w:val="21"/>
          <w:highlight w:val="none"/>
        </w:rPr>
      </w:pPr>
      <w:r>
        <w:rPr>
          <w:rFonts w:hint="eastAsia" w:ascii="宋体" w:hAnsi="宋体" w:cs="宋体"/>
          <w:color w:val="auto"/>
          <w:szCs w:val="21"/>
          <w:highlight w:val="none"/>
        </w:rPr>
        <w:t>（2）乙方在维修过程中发现其他（维修计划以外）的故障，必须及时将情况反映给甲方经办人，在取得书面同意后方可继续修理；</w:t>
      </w:r>
    </w:p>
    <w:p w14:paraId="0E7F009C">
      <w:pPr>
        <w:ind w:firstLine="420" w:firstLineChars="200"/>
        <w:rPr>
          <w:rFonts w:ascii="宋体" w:hAnsi="宋体" w:cs="宋体"/>
          <w:color w:val="auto"/>
          <w:szCs w:val="21"/>
          <w:highlight w:val="none"/>
        </w:rPr>
      </w:pPr>
      <w:r>
        <w:rPr>
          <w:rFonts w:hint="eastAsia" w:ascii="宋体" w:hAnsi="宋体" w:cs="宋体"/>
          <w:color w:val="auto"/>
          <w:szCs w:val="21"/>
          <w:highlight w:val="none"/>
        </w:rPr>
        <w:t>（3）对甲方车辆乙方应以修复为主，能不更换的零部件尽量不予更换，确实不能修复或没有修复价值的零部件，在征得甲方书面同意后方可更换。乙方不得与任何人串通，虚假修车或虚报维修项目，损害甲方的利益；</w:t>
      </w:r>
    </w:p>
    <w:p w14:paraId="0EAF9CF3">
      <w:pPr>
        <w:ind w:firstLine="420" w:firstLineChars="200"/>
        <w:rPr>
          <w:rFonts w:ascii="宋体" w:hAnsi="宋体" w:cs="宋体"/>
          <w:color w:val="auto"/>
          <w:szCs w:val="21"/>
          <w:highlight w:val="none"/>
        </w:rPr>
      </w:pPr>
      <w:r>
        <w:rPr>
          <w:rFonts w:hint="eastAsia" w:ascii="宋体" w:hAnsi="宋体" w:cs="宋体"/>
          <w:color w:val="auto"/>
          <w:szCs w:val="21"/>
          <w:highlight w:val="none"/>
        </w:rPr>
        <w:t>（4）乙方为甲方车辆维修所采用的零部件、配件等材料必须符合国家标准，不得使用假冒伪劣产品或以次充好。</w:t>
      </w:r>
    </w:p>
    <w:p w14:paraId="6C0E5361">
      <w:pPr>
        <w:rPr>
          <w:rFonts w:ascii="宋体" w:hAnsi="宋体" w:cs="宋体"/>
          <w:b/>
          <w:color w:val="auto"/>
          <w:szCs w:val="21"/>
          <w:highlight w:val="none"/>
        </w:rPr>
      </w:pPr>
      <w:r>
        <w:rPr>
          <w:rFonts w:hint="eastAsia" w:ascii="宋体" w:hAnsi="宋体" w:cs="宋体"/>
          <w:b/>
          <w:color w:val="auto"/>
          <w:szCs w:val="21"/>
          <w:highlight w:val="none"/>
        </w:rPr>
        <w:t>二、双方权利义务</w:t>
      </w:r>
    </w:p>
    <w:p w14:paraId="5313E952">
      <w:pPr>
        <w:ind w:firstLine="422" w:firstLineChars="200"/>
        <w:rPr>
          <w:rFonts w:ascii="宋体" w:hAnsi="宋体" w:cs="宋体"/>
          <w:b/>
          <w:color w:val="auto"/>
          <w:szCs w:val="21"/>
          <w:highlight w:val="none"/>
        </w:rPr>
      </w:pPr>
      <w:r>
        <w:rPr>
          <w:rFonts w:hint="eastAsia" w:ascii="宋体" w:hAnsi="宋体" w:cs="宋体"/>
          <w:b/>
          <w:color w:val="auto"/>
          <w:szCs w:val="21"/>
          <w:highlight w:val="none"/>
        </w:rPr>
        <w:t>1、甲方的权利及义务</w:t>
      </w:r>
    </w:p>
    <w:p w14:paraId="58746EF6">
      <w:pPr>
        <w:ind w:firstLine="420" w:firstLineChars="200"/>
        <w:rPr>
          <w:rFonts w:ascii="宋体" w:hAnsi="宋体" w:cs="宋体"/>
          <w:color w:val="auto"/>
          <w:szCs w:val="21"/>
          <w:highlight w:val="none"/>
        </w:rPr>
      </w:pPr>
      <w:r>
        <w:rPr>
          <w:rFonts w:hint="eastAsia" w:ascii="宋体" w:hAnsi="宋体" w:cs="宋体"/>
          <w:color w:val="auto"/>
          <w:szCs w:val="21"/>
          <w:highlight w:val="none"/>
        </w:rPr>
        <w:t>1.1代表和维护车辆产权人、甲方的合法权益。</w:t>
      </w:r>
    </w:p>
    <w:p w14:paraId="56DFC53E">
      <w:pPr>
        <w:ind w:firstLine="420" w:firstLineChars="200"/>
        <w:rPr>
          <w:rFonts w:ascii="宋体" w:hAnsi="宋体" w:cs="宋体"/>
          <w:color w:val="auto"/>
          <w:szCs w:val="21"/>
          <w:highlight w:val="none"/>
        </w:rPr>
      </w:pPr>
      <w:r>
        <w:rPr>
          <w:rFonts w:hint="eastAsia" w:ascii="宋体" w:hAnsi="宋体" w:cs="宋体"/>
          <w:color w:val="auto"/>
          <w:szCs w:val="21"/>
          <w:highlight w:val="none"/>
        </w:rPr>
        <w:t>1.2检查监督乙方按照合同约定履行维护、保养工作，发出故障通知或提出建议。</w:t>
      </w:r>
    </w:p>
    <w:p w14:paraId="112E57E0">
      <w:pPr>
        <w:ind w:firstLine="420" w:firstLineChars="200"/>
        <w:rPr>
          <w:rFonts w:ascii="宋体" w:hAnsi="宋体" w:cs="宋体"/>
          <w:color w:val="auto"/>
          <w:szCs w:val="21"/>
          <w:highlight w:val="none"/>
        </w:rPr>
      </w:pPr>
      <w:r>
        <w:rPr>
          <w:rFonts w:hint="eastAsia" w:ascii="宋体" w:hAnsi="宋体" w:cs="宋体"/>
          <w:color w:val="auto"/>
          <w:szCs w:val="21"/>
          <w:highlight w:val="none"/>
        </w:rPr>
        <w:t>1.3审定确认乙方入厂检验提出的车辆维修保养通知单。</w:t>
      </w:r>
    </w:p>
    <w:p w14:paraId="53B07499">
      <w:pPr>
        <w:ind w:firstLine="420" w:firstLineChars="200"/>
        <w:rPr>
          <w:rFonts w:ascii="宋体" w:hAnsi="宋体" w:cs="宋体"/>
          <w:color w:val="auto"/>
          <w:szCs w:val="21"/>
          <w:highlight w:val="none"/>
        </w:rPr>
      </w:pPr>
      <w:r>
        <w:rPr>
          <w:rFonts w:hint="eastAsia" w:ascii="宋体" w:hAnsi="宋体" w:cs="宋体"/>
          <w:color w:val="auto"/>
          <w:szCs w:val="21"/>
          <w:highlight w:val="none"/>
        </w:rPr>
        <w:t>1.4会同乙方对维修车辆进行入厂检验，根据《车辆维修保养通知单》填写维修单并确认，对乙方维修作业的工艺组织、技术标准、质量控制、时间进度等进行监督，对保密要求较高和送修当日可完成的车辆甲方会全程监督，车辆修理完成后，甲方应当会同乙方进行维修质量和保密工作检査验收，办理修后出厂交接手续，并准确填报《车辆维修保养登记表》。</w:t>
      </w:r>
    </w:p>
    <w:p w14:paraId="20CFBA7D">
      <w:pPr>
        <w:ind w:firstLine="420" w:firstLineChars="200"/>
        <w:rPr>
          <w:rFonts w:ascii="宋体" w:hAnsi="宋体" w:cs="宋体"/>
          <w:color w:val="auto"/>
          <w:szCs w:val="21"/>
          <w:highlight w:val="none"/>
        </w:rPr>
      </w:pPr>
      <w:r>
        <w:rPr>
          <w:rFonts w:hint="eastAsia" w:ascii="宋体" w:hAnsi="宋体" w:cs="宋体"/>
          <w:color w:val="auto"/>
          <w:szCs w:val="21"/>
          <w:highlight w:val="none"/>
        </w:rPr>
        <w:t>1.5向乙方提供并允许其使用为履行本合同所需的信息、数据、文档说明等工作条件。</w:t>
      </w:r>
    </w:p>
    <w:p w14:paraId="797E2902">
      <w:pPr>
        <w:ind w:firstLine="420" w:firstLineChars="200"/>
        <w:rPr>
          <w:rFonts w:ascii="宋体" w:hAnsi="宋体" w:cs="宋体"/>
          <w:color w:val="auto"/>
          <w:szCs w:val="21"/>
          <w:highlight w:val="none"/>
        </w:rPr>
      </w:pPr>
      <w:r>
        <w:rPr>
          <w:rFonts w:hint="eastAsia" w:ascii="宋体" w:hAnsi="宋体" w:cs="宋体"/>
          <w:color w:val="auto"/>
          <w:szCs w:val="21"/>
          <w:highlight w:val="none"/>
        </w:rPr>
        <w:t>1.6有义务按合同的要求向乙方支付项目费用。</w:t>
      </w:r>
    </w:p>
    <w:p w14:paraId="2F7AE426">
      <w:pPr>
        <w:ind w:firstLine="420" w:firstLineChars="200"/>
        <w:rPr>
          <w:rFonts w:ascii="宋体" w:hAnsi="宋体" w:cs="宋体"/>
          <w:color w:val="auto"/>
          <w:szCs w:val="21"/>
          <w:highlight w:val="none"/>
        </w:rPr>
      </w:pPr>
      <w:r>
        <w:rPr>
          <w:rFonts w:hint="eastAsia" w:ascii="宋体" w:hAnsi="宋体" w:cs="宋体"/>
          <w:color w:val="auto"/>
          <w:szCs w:val="21"/>
          <w:highlight w:val="none"/>
        </w:rPr>
        <w:t>1.7乙方的服务未达到本合同约定的标准或要求的，甲方有权拒绝在维护保养记录上签字，且可根据合同约定第</w:t>
      </w:r>
      <w:r>
        <w:rPr>
          <w:rFonts w:hint="eastAsia" w:ascii="宋体" w:hAnsi="宋体" w:cs="宋体"/>
          <w:color w:val="auto"/>
          <w:szCs w:val="21"/>
          <w:highlight w:val="none"/>
          <w:u w:val="single"/>
        </w:rPr>
        <w:t xml:space="preserve"> 四 </w:t>
      </w:r>
      <w:r>
        <w:rPr>
          <w:rFonts w:hint="eastAsia" w:ascii="宋体" w:hAnsi="宋体" w:cs="宋体"/>
          <w:color w:val="auto"/>
          <w:szCs w:val="21"/>
          <w:highlight w:val="none"/>
        </w:rPr>
        <w:t>条追究乙方违约责任。</w:t>
      </w:r>
    </w:p>
    <w:p w14:paraId="78BAC392">
      <w:pPr>
        <w:ind w:firstLine="420" w:firstLineChars="200"/>
        <w:rPr>
          <w:rFonts w:ascii="宋体" w:hAnsi="宋体" w:cs="宋体"/>
          <w:color w:val="auto"/>
          <w:szCs w:val="21"/>
          <w:highlight w:val="none"/>
        </w:rPr>
      </w:pPr>
      <w:r>
        <w:rPr>
          <w:rFonts w:hint="eastAsia" w:ascii="宋体" w:hAnsi="宋体" w:cs="宋体"/>
          <w:color w:val="auto"/>
          <w:szCs w:val="21"/>
          <w:highlight w:val="none"/>
        </w:rPr>
        <w:t>1.8乙方不能按本合同约定或甲方要求完成服务工作时，甲方有权委托第三方进行该项工作，发生的费用由乙方承担，甲方有权将该部分费用从应付乙方的服务费中扣除。</w:t>
      </w:r>
    </w:p>
    <w:p w14:paraId="076E7F3D">
      <w:pPr>
        <w:ind w:firstLine="422" w:firstLineChars="200"/>
        <w:rPr>
          <w:rFonts w:ascii="宋体" w:hAnsi="宋体" w:cs="宋体"/>
          <w:b/>
          <w:color w:val="auto"/>
          <w:szCs w:val="21"/>
          <w:highlight w:val="none"/>
        </w:rPr>
      </w:pPr>
      <w:r>
        <w:rPr>
          <w:rFonts w:hint="eastAsia" w:ascii="宋体" w:hAnsi="宋体" w:cs="宋体"/>
          <w:b/>
          <w:color w:val="auto"/>
          <w:szCs w:val="21"/>
          <w:highlight w:val="none"/>
        </w:rPr>
        <w:t>2、乙方的权利及义务</w:t>
      </w:r>
    </w:p>
    <w:p w14:paraId="06291B9E">
      <w:pPr>
        <w:ind w:firstLine="420" w:firstLineChars="200"/>
        <w:rPr>
          <w:rFonts w:ascii="宋体" w:hAnsi="宋体" w:cs="宋体"/>
          <w:color w:val="auto"/>
          <w:szCs w:val="21"/>
          <w:highlight w:val="none"/>
        </w:rPr>
      </w:pPr>
      <w:r>
        <w:rPr>
          <w:rFonts w:hint="eastAsia" w:ascii="宋体" w:hAnsi="宋体" w:cs="宋体"/>
          <w:color w:val="auto"/>
          <w:szCs w:val="21"/>
          <w:highlight w:val="none"/>
        </w:rPr>
        <w:t>2.1具备提供本合同服务的二类汽车维修（或以上）资质。</w:t>
      </w:r>
    </w:p>
    <w:p w14:paraId="3A69DAFD">
      <w:pPr>
        <w:ind w:firstLine="420" w:firstLineChars="200"/>
        <w:rPr>
          <w:rFonts w:ascii="宋体" w:hAnsi="宋体" w:cs="宋体"/>
          <w:color w:val="auto"/>
          <w:szCs w:val="21"/>
          <w:highlight w:val="none"/>
        </w:rPr>
      </w:pPr>
      <w:r>
        <w:rPr>
          <w:rFonts w:hint="eastAsia" w:ascii="宋体" w:hAnsi="宋体" w:cs="宋体"/>
          <w:color w:val="auto"/>
          <w:szCs w:val="21"/>
          <w:highlight w:val="none"/>
        </w:rPr>
        <w:t>2.2遵循有关国家、地方或行业标准及有关安全规定（以较高标准为准），按照本合同要求，完成对车辆设备的维护保养工作。</w:t>
      </w:r>
    </w:p>
    <w:p w14:paraId="3189845F">
      <w:pPr>
        <w:ind w:firstLine="420" w:firstLineChars="200"/>
        <w:rPr>
          <w:rFonts w:ascii="宋体" w:hAnsi="宋体" w:cs="宋体"/>
          <w:color w:val="auto"/>
          <w:szCs w:val="21"/>
          <w:highlight w:val="none"/>
        </w:rPr>
      </w:pPr>
      <w:r>
        <w:rPr>
          <w:rFonts w:hint="eastAsia" w:ascii="宋体" w:hAnsi="宋体" w:cs="宋体"/>
          <w:color w:val="auto"/>
          <w:szCs w:val="21"/>
          <w:highlight w:val="none"/>
        </w:rPr>
        <w:t>2.3现场维保前需会同甲方对维修车辆进行入厂检验，根据《车辆维修保养通知单》填写维修单并经甲方确认；须做好相关书面记录，建立汽车维修保养档案，认真记录车辆维修保养情况，并建立完整的维保技术档案，以备甲方查阅。本合同终止或解除时乙方必须无条件向甲方移交维护服务的全部档案资料。</w:t>
      </w:r>
    </w:p>
    <w:p w14:paraId="020F84B3">
      <w:pPr>
        <w:ind w:firstLine="420" w:firstLineChars="200"/>
        <w:rPr>
          <w:rFonts w:ascii="宋体" w:hAnsi="宋体" w:cs="宋体"/>
          <w:color w:val="auto"/>
          <w:szCs w:val="21"/>
          <w:highlight w:val="none"/>
        </w:rPr>
      </w:pPr>
      <w:r>
        <w:rPr>
          <w:rFonts w:hint="eastAsia" w:ascii="宋体" w:hAnsi="宋体" w:cs="宋体"/>
          <w:color w:val="auto"/>
          <w:szCs w:val="21"/>
          <w:highlight w:val="none"/>
        </w:rPr>
        <w:t>2.5在日常维护服务过程中，对无法解决的事故或需要更换、增加的设备要及时书面向甲方反映。如发现设备存在任何安全隐患或其他问题的，应以书面形式通知甲方。</w:t>
      </w:r>
    </w:p>
    <w:p w14:paraId="600A13AB">
      <w:pPr>
        <w:ind w:firstLine="420" w:firstLineChars="200"/>
        <w:rPr>
          <w:rFonts w:ascii="宋体" w:hAnsi="宋体" w:cs="宋体"/>
          <w:color w:val="auto"/>
          <w:szCs w:val="21"/>
          <w:highlight w:val="none"/>
        </w:rPr>
      </w:pPr>
      <w:r>
        <w:rPr>
          <w:rFonts w:hint="eastAsia" w:ascii="宋体" w:hAnsi="宋体" w:cs="宋体"/>
          <w:color w:val="auto"/>
          <w:szCs w:val="21"/>
          <w:highlight w:val="none"/>
        </w:rPr>
        <w:t>2.6</w:t>
      </w:r>
      <w:r>
        <w:rPr>
          <w:rFonts w:hint="eastAsia" w:ascii="宋体" w:hAnsi="宋体" w:cs="宋体"/>
          <w:color w:val="auto"/>
          <w:szCs w:val="21"/>
          <w:highlight w:val="none"/>
          <w:lang w:val="en-US" w:eastAsia="zh-CN"/>
        </w:rPr>
        <w:t>本项目不得转包，</w:t>
      </w:r>
      <w:r>
        <w:rPr>
          <w:rFonts w:hint="eastAsia" w:ascii="宋体" w:hAnsi="宋体" w:cs="宋体"/>
          <w:color w:val="auto"/>
          <w:szCs w:val="21"/>
          <w:highlight w:val="none"/>
        </w:rPr>
        <w:t>未经甲方书面同意，不得将本项目以任何形式分包。</w:t>
      </w:r>
    </w:p>
    <w:p w14:paraId="1C76562C">
      <w:pPr>
        <w:ind w:firstLine="420" w:firstLineChars="200"/>
        <w:rPr>
          <w:rFonts w:ascii="宋体" w:hAnsi="宋体" w:cs="宋体"/>
          <w:color w:val="auto"/>
          <w:szCs w:val="21"/>
          <w:highlight w:val="none"/>
        </w:rPr>
      </w:pPr>
      <w:r>
        <w:rPr>
          <w:rFonts w:hint="eastAsia" w:ascii="宋体" w:hAnsi="宋体" w:cs="宋体"/>
          <w:color w:val="auto"/>
          <w:szCs w:val="21"/>
          <w:highlight w:val="none"/>
        </w:rPr>
        <w:t>2.7如甲方车辆无法开动或者上路存在危险的情况下由乙方负责派遣拖车或上门维修方式进行维修；乙方维保人员在甲方场所必须遵守甲方的一切规章制度和安全条例，保证作业安全。如维保期间造成甲方或第三方财产损失或人身损伤的，乙方承担全部赔偿责任。乙方维保期间非因甲方原因导致的自身的损失由乙方自行负责。</w:t>
      </w:r>
    </w:p>
    <w:p w14:paraId="58AD3B35">
      <w:pPr>
        <w:ind w:firstLine="420" w:firstLineChars="200"/>
        <w:rPr>
          <w:rFonts w:ascii="宋体" w:hAnsi="宋体" w:cs="宋体"/>
          <w:color w:val="auto"/>
          <w:szCs w:val="21"/>
          <w:highlight w:val="none"/>
        </w:rPr>
      </w:pPr>
      <w:r>
        <w:rPr>
          <w:rFonts w:hint="eastAsia" w:ascii="宋体" w:hAnsi="宋体" w:cs="宋体"/>
          <w:color w:val="auto"/>
          <w:szCs w:val="21"/>
          <w:highlight w:val="none"/>
        </w:rPr>
        <w:t>2.8维保期间所需材料由乙方提供的，乙方必须严格按照合同标准采用所需材料，在更换材料前做好材质检测，确保材料合格。如甲方发现产品质量或材质不符合合同标准，甲方可要求乙方无条件退货或按合同标准予以更换。</w:t>
      </w:r>
    </w:p>
    <w:p w14:paraId="51BBE1B4">
      <w:pPr>
        <w:ind w:firstLine="420" w:firstLineChars="200"/>
        <w:rPr>
          <w:rFonts w:ascii="宋体" w:hAnsi="宋体" w:cs="宋体"/>
          <w:color w:val="auto"/>
          <w:szCs w:val="21"/>
          <w:highlight w:val="none"/>
        </w:rPr>
      </w:pPr>
      <w:r>
        <w:rPr>
          <w:rFonts w:hint="eastAsia" w:ascii="宋体" w:hAnsi="宋体" w:cs="宋体"/>
          <w:color w:val="auto"/>
          <w:szCs w:val="21"/>
          <w:highlight w:val="none"/>
        </w:rPr>
        <w:t>维保过程如因设备损耗、故障等须更换除附件1：</w:t>
      </w:r>
      <w:r>
        <w:rPr>
          <w:rFonts w:hint="eastAsia" w:ascii="宋体" w:hAnsi="宋体" w:cs="宋体"/>
          <w:b w:val="0"/>
          <w:bCs w:val="0"/>
          <w:color w:val="auto"/>
          <w:szCs w:val="21"/>
          <w:highlight w:val="none"/>
        </w:rPr>
        <w:t>《车辆维修保养清单及单价结算表》以外</w:t>
      </w:r>
      <w:r>
        <w:rPr>
          <w:rFonts w:hint="eastAsia" w:ascii="宋体" w:hAnsi="宋体" w:cs="宋体"/>
          <w:color w:val="auto"/>
          <w:szCs w:val="21"/>
          <w:highlight w:val="none"/>
        </w:rPr>
        <w:t>零部件的，在更换前乙方必须告知甲方具体需要承担的费用并经甲方书面确认，具体另行结算，否则，甲方可不予支付。结算配件费用时，乙方必须提供合格的发票、请款申请及甲方要求的其他请款资料。</w:t>
      </w:r>
    </w:p>
    <w:p w14:paraId="4E21BAE7">
      <w:pPr>
        <w:rPr>
          <w:rFonts w:ascii="宋体" w:hAnsi="宋体" w:cs="宋体"/>
          <w:b/>
          <w:color w:val="auto"/>
          <w:szCs w:val="21"/>
          <w:highlight w:val="none"/>
        </w:rPr>
      </w:pPr>
      <w:r>
        <w:rPr>
          <w:rFonts w:hint="eastAsia" w:ascii="宋体" w:hAnsi="宋体" w:cs="宋体"/>
          <w:b/>
          <w:color w:val="auto"/>
          <w:szCs w:val="21"/>
          <w:highlight w:val="none"/>
        </w:rPr>
        <w:t>三、服务费用及其支付方式</w:t>
      </w:r>
    </w:p>
    <w:p w14:paraId="626E3268">
      <w:pPr>
        <w:ind w:firstLine="420" w:firstLineChars="200"/>
        <w:rPr>
          <w:rFonts w:ascii="宋体" w:hAnsi="宋体" w:cs="宋体"/>
          <w:color w:val="auto"/>
          <w:szCs w:val="21"/>
          <w:highlight w:val="none"/>
        </w:rPr>
      </w:pPr>
      <w:r>
        <w:rPr>
          <w:rFonts w:hint="eastAsia" w:ascii="宋体" w:hAnsi="宋体" w:cs="宋体"/>
          <w:color w:val="auto"/>
          <w:szCs w:val="21"/>
          <w:highlight w:val="none"/>
        </w:rPr>
        <w:t>1、本合同为固定单价包干。单价详见附件1：《车辆维修保养清单及单价结算表》，合同单价价格包括但不限于人工、材料、配件购置费</w:t>
      </w:r>
      <w:r>
        <w:rPr>
          <w:rFonts w:hint="eastAsia" w:ascii="宋体" w:cs="宋体"/>
          <w:color w:val="auto"/>
          <w:szCs w:val="21"/>
          <w:highlight w:val="none"/>
        </w:rPr>
        <w:t>、保险、</w:t>
      </w:r>
      <w:r>
        <w:rPr>
          <w:rFonts w:hint="eastAsia" w:ascii="宋体" w:hAnsi="宋体" w:cs="宋体"/>
          <w:color w:val="auto"/>
          <w:szCs w:val="21"/>
          <w:highlight w:val="none"/>
        </w:rPr>
        <w:t>成本、利润、机械设备使用费、措施费、税费以及乙方履行本合同义务而甲方需支付乙方的一切可预见及不可预见的费用，结算时不做调整。当同时出现大小修项时，小修项工时费用应包含在大修项工时费中。</w:t>
      </w:r>
    </w:p>
    <w:p w14:paraId="504A5E08">
      <w:pPr>
        <w:ind w:firstLine="420" w:firstLineChars="200"/>
        <w:rPr>
          <w:rFonts w:ascii="宋体" w:hAnsi="宋体" w:cs="宋体"/>
          <w:color w:val="auto"/>
          <w:szCs w:val="21"/>
          <w:highlight w:val="none"/>
        </w:rPr>
      </w:pPr>
      <w:r>
        <w:rPr>
          <w:rFonts w:hint="eastAsia" w:ascii="宋体" w:hAnsi="宋体" w:cs="宋体"/>
          <w:color w:val="auto"/>
          <w:szCs w:val="21"/>
          <w:highlight w:val="none"/>
        </w:rPr>
        <w:t>2、服务费支付方式：</w:t>
      </w:r>
    </w:p>
    <w:p w14:paraId="31AE61A5">
      <w:pPr>
        <w:ind w:firstLine="420" w:firstLineChars="200"/>
        <w:rPr>
          <w:rFonts w:ascii="宋体" w:hAnsi="宋体" w:cs="宋体"/>
          <w:color w:val="auto"/>
          <w:szCs w:val="21"/>
          <w:highlight w:val="none"/>
        </w:rPr>
      </w:pPr>
      <w:r>
        <w:rPr>
          <w:rFonts w:hint="eastAsia" w:ascii="宋体" w:hAnsi="宋体" w:cs="宋体"/>
          <w:color w:val="auto"/>
          <w:szCs w:val="21"/>
          <w:highlight w:val="none"/>
        </w:rPr>
        <w:t>2.1每月</w:t>
      </w:r>
      <w:r>
        <w:rPr>
          <w:rFonts w:hint="eastAsia" w:ascii="宋体" w:hAnsi="宋体" w:cs="宋体"/>
          <w:color w:val="auto"/>
          <w:szCs w:val="21"/>
          <w:highlight w:val="none"/>
          <w:lang w:val="en-US" w:eastAsia="zh-CN"/>
        </w:rPr>
        <w:t>5个工作日前</w:t>
      </w:r>
      <w:r>
        <w:rPr>
          <w:rFonts w:hint="eastAsia" w:ascii="宋体" w:hAnsi="宋体" w:cs="宋体"/>
          <w:color w:val="auto"/>
          <w:szCs w:val="21"/>
          <w:highlight w:val="none"/>
        </w:rPr>
        <w:t>，乙方向甲方提交上月维修保养费用对账单，双方对车辆维修保养数量及金额核对无误后，甲方在收到乙方提交合法有效的等额增值税专用发票后三十个日历日内支付上月维修保养费用的100%。</w:t>
      </w:r>
    </w:p>
    <w:p w14:paraId="78A1FCB5">
      <w:pPr>
        <w:ind w:firstLine="420" w:firstLineChars="200"/>
        <w:rPr>
          <w:rFonts w:ascii="宋体" w:hAnsi="宋体" w:cs="宋体"/>
          <w:color w:val="auto"/>
          <w:szCs w:val="21"/>
          <w:highlight w:val="none"/>
        </w:rPr>
      </w:pPr>
      <w:r>
        <w:rPr>
          <w:rFonts w:hint="eastAsia" w:ascii="宋体" w:hAnsi="宋体" w:cs="宋体"/>
          <w:color w:val="auto"/>
          <w:szCs w:val="21"/>
          <w:highlight w:val="none"/>
        </w:rPr>
        <w:t>2.2乙方的收款账户如下：</w:t>
      </w:r>
    </w:p>
    <w:p w14:paraId="71A92215">
      <w:pPr>
        <w:ind w:firstLine="420" w:firstLineChars="200"/>
        <w:rPr>
          <w:rFonts w:ascii="宋体" w:hAnsi="宋体" w:cs="宋体"/>
          <w:color w:val="auto"/>
          <w:szCs w:val="21"/>
          <w:highlight w:val="none"/>
        </w:rPr>
      </w:pPr>
      <w:r>
        <w:rPr>
          <w:rFonts w:hint="eastAsia" w:ascii="宋体" w:hAnsi="宋体" w:cs="宋体"/>
          <w:color w:val="auto"/>
          <w:szCs w:val="21"/>
          <w:highlight w:val="none"/>
        </w:rPr>
        <w:t>开户银行地址：</w:t>
      </w:r>
    </w:p>
    <w:p w14:paraId="6F0BFF6F">
      <w:pPr>
        <w:ind w:firstLine="420" w:firstLineChars="200"/>
        <w:rPr>
          <w:rFonts w:ascii="宋体" w:hAnsi="宋体" w:cs="宋体"/>
          <w:color w:val="auto"/>
          <w:szCs w:val="21"/>
          <w:highlight w:val="none"/>
        </w:rPr>
      </w:pPr>
      <w:r>
        <w:rPr>
          <w:rFonts w:hint="eastAsia" w:ascii="宋体" w:hAnsi="宋体" w:cs="宋体"/>
          <w:color w:val="auto"/>
          <w:szCs w:val="21"/>
          <w:highlight w:val="none"/>
        </w:rPr>
        <w:t>收款单位账号：</w:t>
      </w:r>
    </w:p>
    <w:p w14:paraId="50D8D28A">
      <w:pPr>
        <w:ind w:firstLine="420" w:firstLineChars="200"/>
        <w:rPr>
          <w:rFonts w:ascii="宋体" w:hAnsi="宋体" w:cs="宋体"/>
          <w:color w:val="auto"/>
          <w:szCs w:val="21"/>
          <w:highlight w:val="none"/>
        </w:rPr>
      </w:pPr>
      <w:r>
        <w:rPr>
          <w:rFonts w:hint="eastAsia" w:ascii="宋体" w:hAnsi="宋体" w:cs="宋体"/>
          <w:color w:val="auto"/>
          <w:szCs w:val="21"/>
          <w:highlight w:val="none"/>
        </w:rPr>
        <w:t xml:space="preserve">收款单位名称： </w:t>
      </w:r>
    </w:p>
    <w:p w14:paraId="1BD482E8">
      <w:pPr>
        <w:ind w:firstLine="420" w:firstLineChars="200"/>
        <w:rPr>
          <w:rFonts w:ascii="宋体" w:hAnsi="宋体" w:cs="宋体"/>
          <w:color w:val="auto"/>
          <w:szCs w:val="21"/>
          <w:highlight w:val="none"/>
        </w:rPr>
      </w:pPr>
      <w:r>
        <w:rPr>
          <w:rFonts w:hint="eastAsia" w:ascii="宋体" w:hAnsi="宋体" w:cs="宋体"/>
          <w:color w:val="auto"/>
          <w:szCs w:val="21"/>
          <w:highlight w:val="none"/>
        </w:rPr>
        <w:t>因乙方提供的收款账户信息错误或乙方擅自变更收款账户信息而未及时书面通知甲方，导致甲方付款迟延的，甲方无需承担迟延付款责任。甲方付款前，乙方应向甲方提供合法等额有效的增值税专用发票，否则甲方有权拒绝付款，由此产生的责任由乙方自行承担。</w:t>
      </w:r>
    </w:p>
    <w:p w14:paraId="11D43493">
      <w:pPr>
        <w:ind w:firstLine="420" w:firstLineChars="200"/>
        <w:rPr>
          <w:rFonts w:ascii="宋体" w:hAnsi="宋体" w:cs="宋体"/>
          <w:color w:val="auto"/>
          <w:szCs w:val="21"/>
          <w:highlight w:val="none"/>
        </w:rPr>
      </w:pPr>
      <w:r>
        <w:rPr>
          <w:rFonts w:hint="eastAsia" w:ascii="宋体" w:hAnsi="宋体" w:cs="宋体"/>
          <w:color w:val="auto"/>
          <w:szCs w:val="21"/>
          <w:highlight w:val="none"/>
        </w:rPr>
        <w:t>2.3履约保证金：</w:t>
      </w:r>
    </w:p>
    <w:p w14:paraId="2C99BE50">
      <w:pPr>
        <w:ind w:firstLine="420" w:firstLineChars="200"/>
        <w:rPr>
          <w:rFonts w:ascii="宋体" w:hAnsi="宋体" w:cs="宋体"/>
          <w:color w:val="auto"/>
          <w:szCs w:val="21"/>
          <w:highlight w:val="none"/>
        </w:rPr>
      </w:pPr>
      <w:r>
        <w:rPr>
          <w:rFonts w:hint="eastAsia" w:ascii="宋体" w:hAnsi="宋体" w:cs="宋体"/>
          <w:color w:val="auto"/>
          <w:szCs w:val="21"/>
          <w:highlight w:val="none"/>
        </w:rPr>
        <w:t>2.3.1乙方</w:t>
      </w:r>
      <w:r>
        <w:rPr>
          <w:rFonts w:hint="eastAsia" w:ascii="宋体" w:hAnsi="宋体" w:cs="宋体"/>
          <w:color w:val="auto"/>
          <w:szCs w:val="21"/>
          <w:highlight w:val="none"/>
          <w:lang w:val="en-US" w:eastAsia="zh-CN"/>
        </w:rPr>
        <w:t>应</w:t>
      </w:r>
      <w:r>
        <w:rPr>
          <w:rFonts w:hint="eastAsia" w:ascii="宋体" w:hAnsi="宋体" w:cs="宋体"/>
          <w:color w:val="auto"/>
          <w:szCs w:val="21"/>
          <w:highlight w:val="none"/>
        </w:rPr>
        <w:t>向甲方提交履约保证金或银行履约保函作为履行合同的担保，履约保证金金额¥</w:t>
      </w:r>
      <w:r>
        <w:rPr>
          <w:rFonts w:hint="eastAsia" w:ascii="宋体" w:hAnsi="宋体" w:cs="宋体"/>
          <w:color w:val="auto"/>
          <w:szCs w:val="21"/>
          <w:highlight w:val="none"/>
          <w:u w:val="single"/>
        </w:rPr>
        <w:t xml:space="preserve">       </w:t>
      </w:r>
      <w:r>
        <w:rPr>
          <w:rFonts w:hint="eastAsia" w:ascii="宋体" w:hAnsi="宋体" w:cs="宋体"/>
          <w:color w:val="auto"/>
          <w:szCs w:val="21"/>
          <w:highlight w:val="none"/>
        </w:rPr>
        <w:t>元（大写：人民币</w:t>
      </w:r>
      <w:r>
        <w:rPr>
          <w:rFonts w:hint="eastAsia" w:ascii="宋体" w:hAnsi="宋体" w:cs="宋体"/>
          <w:color w:val="auto"/>
          <w:szCs w:val="21"/>
          <w:highlight w:val="none"/>
          <w:u w:val="single"/>
        </w:rPr>
        <w:t xml:space="preserve">    整</w:t>
      </w:r>
      <w:r>
        <w:rPr>
          <w:rFonts w:hint="eastAsia" w:ascii="宋体" w:hAnsi="宋体" w:cs="宋体"/>
          <w:color w:val="auto"/>
          <w:szCs w:val="21"/>
          <w:highlight w:val="none"/>
        </w:rPr>
        <w:t>），如果乙方提交的履约保函的有效期先于合同要求的履约保函有效期到达，乙方应在原提交的履约保函有效期满前15天，无条件办理保函延期手续。否则，视为乙方违约，甲方可在保函到期前将保函金额转为现金存入履约保证金账户。</w:t>
      </w:r>
    </w:p>
    <w:p w14:paraId="042183E7">
      <w:pPr>
        <w:ind w:firstLine="420" w:firstLineChars="200"/>
        <w:rPr>
          <w:rFonts w:ascii="宋体" w:hAnsi="宋体" w:cs="宋体"/>
          <w:color w:val="auto"/>
          <w:szCs w:val="21"/>
          <w:highlight w:val="none"/>
        </w:rPr>
      </w:pPr>
      <w:r>
        <w:rPr>
          <w:rFonts w:hint="eastAsia" w:ascii="宋体" w:hAnsi="宋体" w:cs="宋体"/>
          <w:color w:val="auto"/>
          <w:szCs w:val="21"/>
          <w:highlight w:val="none"/>
        </w:rPr>
        <w:t>2.3.2履约担保期限从合同签订之日起至项目完成并双方结算完毕后，经双方签字 7天内保持有效。</w:t>
      </w:r>
    </w:p>
    <w:p w14:paraId="276B51B2">
      <w:pPr>
        <w:ind w:firstLine="420" w:firstLineChars="200"/>
        <w:rPr>
          <w:rFonts w:ascii="宋体" w:hAnsi="宋体" w:cs="宋体"/>
          <w:color w:val="auto"/>
          <w:szCs w:val="21"/>
          <w:highlight w:val="none"/>
        </w:rPr>
      </w:pPr>
      <w:r>
        <w:rPr>
          <w:rFonts w:hint="eastAsia" w:ascii="宋体" w:hAnsi="宋体" w:cs="宋体"/>
          <w:color w:val="auto"/>
          <w:szCs w:val="21"/>
          <w:highlight w:val="none"/>
        </w:rPr>
        <w:t>在合同有效期满后，乙方向甲方提交退回履约担保的申请，若乙方无违约行为或虽有违约行为但已按甲方要求整改到位的，甲方扣除应当由乙方承担的违约金、赔偿金后对剩余的金额办理退还手续。</w:t>
      </w:r>
    </w:p>
    <w:p w14:paraId="031AD64B">
      <w:pPr>
        <w:rPr>
          <w:rFonts w:ascii="宋体" w:hAnsi="宋体" w:cs="宋体"/>
          <w:b/>
          <w:color w:val="auto"/>
          <w:szCs w:val="21"/>
          <w:highlight w:val="none"/>
        </w:rPr>
      </w:pPr>
      <w:r>
        <w:rPr>
          <w:rFonts w:hint="eastAsia" w:ascii="宋体" w:hAnsi="宋体" w:cs="宋体"/>
          <w:b/>
          <w:color w:val="auto"/>
          <w:szCs w:val="21"/>
          <w:highlight w:val="none"/>
        </w:rPr>
        <w:t>四、违约责任</w:t>
      </w:r>
    </w:p>
    <w:p w14:paraId="666CE3D0">
      <w:pPr>
        <w:tabs>
          <w:tab w:val="left" w:pos="900"/>
        </w:tabs>
        <w:ind w:firstLine="420" w:firstLineChars="200"/>
        <w:rPr>
          <w:rFonts w:ascii="宋体" w:hAnsi="宋体" w:cs="宋体"/>
          <w:color w:val="auto"/>
          <w:szCs w:val="21"/>
          <w:highlight w:val="none"/>
        </w:rPr>
      </w:pPr>
      <w:r>
        <w:rPr>
          <w:rFonts w:hint="eastAsia" w:ascii="宋体" w:hAnsi="宋体" w:cs="宋体"/>
          <w:color w:val="auto"/>
          <w:szCs w:val="21"/>
          <w:highlight w:val="none"/>
        </w:rPr>
        <w:t>（一）乙方未按合同约定向甲方提供车辆维修、保养或急修服务，或拒绝甲方派单的，甲方有权委托第三方完成，因此产生的费用由乙方承担，且甲方有权拒付当月维保费用；乙方三次或三次以上未提供服务或拒绝甲方派单的，甲方有权解除合同，并没收乙方履约保证金，且乙方应赔偿因此给甲方造成的损失。</w:t>
      </w:r>
    </w:p>
    <w:p w14:paraId="0E9CEA88">
      <w:pPr>
        <w:tabs>
          <w:tab w:val="left" w:pos="720"/>
          <w:tab w:val="left" w:pos="900"/>
        </w:tabs>
        <w:ind w:right="210" w:firstLine="420" w:firstLineChars="200"/>
        <w:rPr>
          <w:rFonts w:ascii="宋体" w:hAnsi="宋体" w:cs="宋体"/>
          <w:color w:val="auto"/>
          <w:szCs w:val="21"/>
          <w:highlight w:val="none"/>
        </w:rPr>
      </w:pPr>
      <w:r>
        <w:rPr>
          <w:rFonts w:hint="eastAsia" w:ascii="宋体" w:hAnsi="宋体" w:cs="宋体"/>
          <w:color w:val="auto"/>
          <w:szCs w:val="21"/>
          <w:highlight w:val="none"/>
        </w:rPr>
        <w:t>（二） 乙方未能按本合同规定的服务时间完成服务，每逾期一次，按该次维修费用的</w:t>
      </w:r>
      <w:r>
        <w:rPr>
          <w:rFonts w:hint="eastAsia" w:ascii="宋体" w:hAnsi="宋体" w:cs="宋体"/>
          <w:color w:val="auto"/>
          <w:szCs w:val="21"/>
          <w:highlight w:val="none"/>
          <w:lang w:val="en-US" w:eastAsia="zh-CN"/>
        </w:rPr>
        <w:t>5</w:t>
      </w:r>
      <w:r>
        <w:rPr>
          <w:rFonts w:hint="eastAsia" w:ascii="宋体" w:hAnsi="宋体" w:cs="宋体"/>
          <w:color w:val="auto"/>
          <w:szCs w:val="21"/>
          <w:highlight w:val="none"/>
        </w:rPr>
        <w:t>%承担违约金，若因此给甲方造成损失的，乙方还应予以赔偿。逾期超过三次或以上的，甲方有权解除合同，且无需支付未支付的合同款，由此造成的甲方损失，乙方应予以赔偿。</w:t>
      </w:r>
    </w:p>
    <w:p w14:paraId="1AC235A8">
      <w:pPr>
        <w:tabs>
          <w:tab w:val="left" w:pos="720"/>
          <w:tab w:val="left" w:pos="900"/>
        </w:tabs>
        <w:ind w:right="210" w:firstLine="420" w:firstLineChars="200"/>
        <w:rPr>
          <w:rFonts w:ascii="宋体" w:hAnsi="宋体" w:cs="宋体"/>
          <w:color w:val="auto"/>
          <w:szCs w:val="21"/>
          <w:highlight w:val="none"/>
        </w:rPr>
      </w:pPr>
      <w:r>
        <w:rPr>
          <w:rFonts w:hint="eastAsia" w:ascii="宋体" w:hAnsi="宋体" w:cs="宋体"/>
          <w:color w:val="auto"/>
          <w:szCs w:val="21"/>
          <w:highlight w:val="none"/>
        </w:rPr>
        <w:t>（三）若乙方违反本合同约定，应承担因此给甲方造成的相应损失，该损失包括但不限于对甲方所造成的直接损失、可得利益损失、甲方因此而支付第三方的赔偿费用、调查取证的费用、诉讼费用、律师费用以及因此而支付的其他合理费用。</w:t>
      </w:r>
    </w:p>
    <w:p w14:paraId="65FDF637">
      <w:pPr>
        <w:tabs>
          <w:tab w:val="left" w:pos="720"/>
          <w:tab w:val="left" w:pos="900"/>
        </w:tabs>
        <w:ind w:right="210" w:firstLine="420" w:firstLineChars="200"/>
        <w:rPr>
          <w:rFonts w:ascii="宋体" w:hAnsi="宋体" w:cs="宋体"/>
          <w:color w:val="auto"/>
          <w:szCs w:val="21"/>
          <w:highlight w:val="none"/>
        </w:rPr>
      </w:pPr>
      <w:r>
        <w:rPr>
          <w:rFonts w:hint="eastAsia" w:ascii="宋体" w:hAnsi="宋体" w:cs="宋体"/>
          <w:color w:val="auto"/>
          <w:szCs w:val="21"/>
          <w:highlight w:val="none"/>
        </w:rPr>
        <w:t>（四）甲方有权从服务费、履约保证金中直接扣除乙方应承担的费用或违约金。服务期内，如履约保证金不足以扣除的，甲方有权从应支付给乙方的任何费用中直接扣除。不足部分，乙方应补足。</w:t>
      </w:r>
    </w:p>
    <w:p w14:paraId="488649BF">
      <w:pPr>
        <w:ind w:firstLine="420" w:firstLineChars="200"/>
        <w:rPr>
          <w:rFonts w:ascii="宋体" w:hAnsi="宋体" w:cs="宋体"/>
          <w:color w:val="auto"/>
          <w:szCs w:val="21"/>
          <w:highlight w:val="none"/>
        </w:rPr>
      </w:pPr>
      <w:r>
        <w:rPr>
          <w:rFonts w:hint="eastAsia" w:ascii="宋体" w:hAnsi="宋体" w:cs="宋体"/>
          <w:color w:val="auto"/>
          <w:szCs w:val="21"/>
          <w:highlight w:val="none"/>
        </w:rPr>
        <w:t>（五）因维修保养原因，包括但不限于维修保养不当、未按期履行维修保养服务导致设备损坏、丢失或人身伤亡等，乙方承担全部责任，如因此造成甲方损失的，甲方有权从应支付给乙方的任何款项中扣除。</w:t>
      </w:r>
    </w:p>
    <w:p w14:paraId="2D444828">
      <w:pPr>
        <w:ind w:firstLine="420"/>
        <w:rPr>
          <w:rFonts w:hint="eastAsia"/>
          <w:color w:val="auto"/>
          <w:sz w:val="21"/>
          <w:szCs w:val="21"/>
          <w:highlight w:val="none"/>
          <w:lang w:val="en-US" w:bidi="ar-SA"/>
        </w:rPr>
      </w:pPr>
      <w:r>
        <w:rPr>
          <w:rFonts w:hint="eastAsia"/>
          <w:color w:val="auto"/>
          <w:sz w:val="21"/>
          <w:szCs w:val="21"/>
          <w:highlight w:val="none"/>
          <w:lang w:val="en-US" w:bidi="ar-SA"/>
        </w:rPr>
        <w:t>（六）乙方月度服务评价累计达</w:t>
      </w:r>
      <w:r>
        <w:rPr>
          <w:rFonts w:hint="eastAsia"/>
          <w:color w:val="auto"/>
          <w:sz w:val="21"/>
          <w:szCs w:val="21"/>
          <w:highlight w:val="none"/>
          <w:lang w:val="en-US" w:eastAsia="zh-CN" w:bidi="ar-SA"/>
        </w:rPr>
        <w:t>两</w:t>
      </w:r>
      <w:r>
        <w:rPr>
          <w:rFonts w:hint="eastAsia"/>
          <w:color w:val="auto"/>
          <w:sz w:val="21"/>
          <w:szCs w:val="21"/>
          <w:highlight w:val="none"/>
          <w:lang w:val="en-US" w:bidi="ar-SA"/>
        </w:rPr>
        <w:t>次低于</w:t>
      </w:r>
      <w:r>
        <w:rPr>
          <w:color w:val="auto"/>
          <w:sz w:val="21"/>
          <w:szCs w:val="21"/>
          <w:highlight w:val="none"/>
          <w:lang w:val="en-US" w:bidi="ar-SA"/>
        </w:rPr>
        <w:t xml:space="preserve"> </w:t>
      </w:r>
      <w:r>
        <w:rPr>
          <w:rFonts w:hint="eastAsia"/>
          <w:color w:val="auto"/>
          <w:sz w:val="21"/>
          <w:szCs w:val="21"/>
          <w:highlight w:val="none"/>
          <w:lang w:val="en-US" w:eastAsia="zh-CN" w:bidi="ar-SA"/>
        </w:rPr>
        <w:t>90</w:t>
      </w:r>
      <w:r>
        <w:rPr>
          <w:rFonts w:hint="eastAsia"/>
          <w:color w:val="auto"/>
          <w:sz w:val="21"/>
          <w:szCs w:val="21"/>
          <w:highlight w:val="none"/>
          <w:lang w:val="en-US" w:bidi="ar-SA"/>
        </w:rPr>
        <w:t>分的，甲方有权单方解除合同并没收乙方的履约保证金。</w:t>
      </w:r>
    </w:p>
    <w:p w14:paraId="2D114CC2">
      <w:pPr>
        <w:rPr>
          <w:rFonts w:hint="default" w:eastAsia="宋体"/>
          <w:color w:val="auto"/>
          <w:lang w:val="en-US" w:eastAsia="zh-CN"/>
        </w:rPr>
      </w:pPr>
      <w:r>
        <w:rPr>
          <w:rFonts w:hint="eastAsia"/>
          <w:color w:val="auto"/>
          <w:sz w:val="21"/>
          <w:szCs w:val="21"/>
          <w:highlight w:val="none"/>
          <w:lang w:val="en-US" w:eastAsia="zh-CN" w:bidi="ar-SA"/>
        </w:rPr>
        <w:t xml:space="preserve">    （七）</w:t>
      </w:r>
      <w:r>
        <w:rPr>
          <w:rFonts w:hint="eastAsia"/>
          <w:color w:val="auto"/>
          <w:szCs w:val="21"/>
          <w:highlight w:val="none"/>
        </w:rPr>
        <w:t>发现</w:t>
      </w:r>
      <w:r>
        <w:rPr>
          <w:rFonts w:hint="eastAsia"/>
          <w:color w:val="auto"/>
          <w:szCs w:val="21"/>
          <w:highlight w:val="none"/>
          <w:lang w:val="en-US" w:eastAsia="zh-CN"/>
        </w:rPr>
        <w:t>乙方</w:t>
      </w:r>
      <w:r>
        <w:rPr>
          <w:rFonts w:hint="eastAsia"/>
          <w:color w:val="auto"/>
          <w:szCs w:val="21"/>
          <w:highlight w:val="none"/>
        </w:rPr>
        <w:t>维修过程中以次充好，第一次作警告处理并要求</w:t>
      </w:r>
      <w:r>
        <w:rPr>
          <w:rFonts w:hint="eastAsia"/>
          <w:color w:val="auto"/>
          <w:szCs w:val="21"/>
          <w:highlight w:val="none"/>
          <w:lang w:val="en-US" w:eastAsia="zh-CN"/>
        </w:rPr>
        <w:t>乙方</w:t>
      </w:r>
      <w:r>
        <w:rPr>
          <w:rFonts w:hint="eastAsia"/>
          <w:color w:val="auto"/>
          <w:szCs w:val="21"/>
          <w:highlight w:val="none"/>
        </w:rPr>
        <w:t>承担重新维修和更换相关配件的费用。以次充好累计两次以上的，</w:t>
      </w:r>
      <w:r>
        <w:rPr>
          <w:rFonts w:hint="eastAsia"/>
          <w:color w:val="auto"/>
          <w:szCs w:val="21"/>
          <w:highlight w:val="none"/>
          <w:lang w:val="en-US" w:eastAsia="zh-CN"/>
        </w:rPr>
        <w:t>甲方</w:t>
      </w:r>
      <w:r>
        <w:rPr>
          <w:rFonts w:hint="eastAsia"/>
          <w:color w:val="auto"/>
          <w:szCs w:val="21"/>
          <w:highlight w:val="none"/>
        </w:rPr>
        <w:t>有权单方解除合同并没收</w:t>
      </w:r>
      <w:r>
        <w:rPr>
          <w:rFonts w:hint="eastAsia"/>
          <w:color w:val="auto"/>
          <w:szCs w:val="21"/>
          <w:highlight w:val="none"/>
          <w:lang w:val="en-US" w:eastAsia="zh-CN"/>
        </w:rPr>
        <w:t>乙方</w:t>
      </w:r>
      <w:r>
        <w:rPr>
          <w:rFonts w:hint="eastAsia"/>
          <w:color w:val="auto"/>
          <w:szCs w:val="21"/>
          <w:highlight w:val="none"/>
        </w:rPr>
        <w:t>履约保证金。</w:t>
      </w:r>
    </w:p>
    <w:p w14:paraId="76964283">
      <w:pPr>
        <w:ind w:firstLine="440"/>
        <w:rPr>
          <w:rFonts w:hint="default" w:eastAsia="宋体"/>
          <w:color w:val="auto"/>
          <w:lang w:val="en-US" w:eastAsia="zh-CN"/>
        </w:rPr>
      </w:pPr>
      <w:r>
        <w:rPr>
          <w:rFonts w:hint="eastAsia" w:ascii="宋体" w:hAnsi="宋体" w:cs="宋体"/>
          <w:color w:val="auto"/>
          <w:szCs w:val="21"/>
          <w:highlight w:val="none"/>
        </w:rPr>
        <w:t>（</w:t>
      </w:r>
      <w:r>
        <w:rPr>
          <w:rFonts w:hint="eastAsia" w:ascii="宋体" w:hAnsi="宋体" w:cs="宋体"/>
          <w:color w:val="auto"/>
          <w:szCs w:val="21"/>
          <w:highlight w:val="none"/>
          <w:lang w:val="en-US" w:eastAsia="zh-CN"/>
        </w:rPr>
        <w:t>八</w:t>
      </w:r>
      <w:r>
        <w:rPr>
          <w:rFonts w:hint="eastAsia" w:ascii="宋体" w:hAnsi="宋体" w:cs="宋体"/>
          <w:color w:val="auto"/>
          <w:szCs w:val="21"/>
          <w:highlight w:val="none"/>
        </w:rPr>
        <w:t>）</w:t>
      </w:r>
      <w:bookmarkStart w:id="200" w:name="OLE_LINK23"/>
      <w:r>
        <w:rPr>
          <w:rFonts w:hint="eastAsia" w:eastAsia="宋体"/>
          <w:color w:val="auto"/>
          <w:sz w:val="21"/>
          <w:szCs w:val="21"/>
          <w:highlight w:val="none"/>
        </w:rPr>
        <w:t>甲方未按时付款且经乙方书面催告后仍未支付的，应按应付未付款金额以一年期 LPR计算逾期付款违约金，甲方承担的各项违约金总额不超过应付未付金额的20%。</w:t>
      </w:r>
      <w:bookmarkEnd w:id="200"/>
    </w:p>
    <w:p w14:paraId="435FA118">
      <w:pPr>
        <w:ind w:firstLine="420" w:firstLineChars="200"/>
        <w:rPr>
          <w:rFonts w:hint="eastAsia" w:ascii="宋体" w:hAnsi="宋体" w:cs="宋体"/>
          <w:color w:val="auto"/>
          <w:szCs w:val="21"/>
          <w:highlight w:val="none"/>
        </w:rPr>
      </w:pPr>
      <w:r>
        <w:rPr>
          <w:rFonts w:hint="eastAsia" w:eastAsia="宋体" w:cstheme="minorBidi"/>
          <w:color w:val="auto"/>
          <w:szCs w:val="21"/>
          <w:highlight w:val="none"/>
          <w:lang w:val="en-US" w:eastAsia="zh-CN"/>
        </w:rPr>
        <w:t>（九）</w:t>
      </w:r>
      <w:r>
        <w:rPr>
          <w:rFonts w:hint="eastAsia" w:ascii="宋体" w:hAnsi="宋体" w:cs="宋体"/>
          <w:color w:val="auto"/>
          <w:szCs w:val="21"/>
          <w:highlight w:val="none"/>
        </w:rPr>
        <w:t>其它违约责任按《中华人民共和国民法典》处理。</w:t>
      </w:r>
    </w:p>
    <w:p w14:paraId="2C353CA9">
      <w:pPr>
        <w:rPr>
          <w:rFonts w:ascii="宋体" w:hAnsi="宋体" w:cs="宋体"/>
          <w:b/>
          <w:color w:val="auto"/>
          <w:szCs w:val="21"/>
          <w:highlight w:val="none"/>
        </w:rPr>
      </w:pPr>
      <w:r>
        <w:rPr>
          <w:rFonts w:hint="eastAsia" w:ascii="宋体" w:hAnsi="宋体" w:cs="宋体"/>
          <w:b/>
          <w:color w:val="auto"/>
          <w:szCs w:val="21"/>
          <w:highlight w:val="none"/>
        </w:rPr>
        <w:t>五、保密条款</w:t>
      </w:r>
    </w:p>
    <w:p w14:paraId="3FEB41E7">
      <w:pPr>
        <w:ind w:firstLine="420" w:firstLineChars="200"/>
        <w:rPr>
          <w:rFonts w:ascii="宋体" w:hAnsi="宋体" w:cs="宋体"/>
          <w:color w:val="auto"/>
          <w:szCs w:val="21"/>
          <w:highlight w:val="none"/>
        </w:rPr>
      </w:pPr>
      <w:r>
        <w:rPr>
          <w:rFonts w:hint="eastAsia" w:ascii="宋体" w:hAnsi="宋体" w:cs="宋体"/>
          <w:color w:val="auto"/>
          <w:szCs w:val="21"/>
          <w:highlight w:val="none"/>
        </w:rPr>
        <w:t>任何一方对于因本合同的签署和履行而知悉的对方的任何商业信息，均不得向任何第三方透露（将商业信息提交行政主管部门审查的除外）。违约方违反上述保密义务，造成守约方损失的，应向守约方赔偿其因此而产生的直接经济损失。保密义务不因本合同期限届满而终止。</w:t>
      </w:r>
    </w:p>
    <w:p w14:paraId="2A471DF3">
      <w:pPr>
        <w:rPr>
          <w:rFonts w:ascii="宋体" w:hAnsi="宋体" w:cs="宋体"/>
          <w:b/>
          <w:color w:val="auto"/>
          <w:szCs w:val="21"/>
          <w:highlight w:val="none"/>
        </w:rPr>
      </w:pPr>
      <w:r>
        <w:rPr>
          <w:rFonts w:hint="eastAsia" w:ascii="宋体" w:hAnsi="宋体" w:cs="宋体"/>
          <w:b/>
          <w:color w:val="auto"/>
          <w:szCs w:val="21"/>
          <w:highlight w:val="none"/>
          <w:lang w:val="en-US" w:eastAsia="zh-CN"/>
        </w:rPr>
        <w:t>六</w:t>
      </w:r>
      <w:r>
        <w:rPr>
          <w:rFonts w:hint="eastAsia" w:ascii="宋体" w:hAnsi="宋体" w:cs="宋体"/>
          <w:b/>
          <w:color w:val="auto"/>
          <w:szCs w:val="21"/>
          <w:highlight w:val="none"/>
        </w:rPr>
        <w:t>、不可抗力</w:t>
      </w:r>
    </w:p>
    <w:p w14:paraId="7526ACA6">
      <w:pPr>
        <w:ind w:firstLine="411" w:firstLineChars="196"/>
        <w:rPr>
          <w:rFonts w:ascii="宋体" w:hAnsi="宋体" w:cs="宋体"/>
          <w:color w:val="auto"/>
          <w:szCs w:val="21"/>
          <w:highlight w:val="none"/>
        </w:rPr>
      </w:pPr>
      <w:r>
        <w:rPr>
          <w:rFonts w:hint="eastAsia" w:ascii="宋体" w:hAnsi="宋体" w:cs="宋体"/>
          <w:color w:val="auto"/>
          <w:szCs w:val="21"/>
          <w:highlight w:val="none"/>
        </w:rPr>
        <w:t>任何一方由于不可抗力原因不能履行合同时，应在不可抗力事件结束后1日内向对方通报，以减轻可能给对方造成的损失，在取得有关机构的不可抗力证明或双方谅解确认后，允许延期履行或修订合同，并根据情况可部分或全部免于承担违约责任。</w:t>
      </w:r>
    </w:p>
    <w:p w14:paraId="52C9476C">
      <w:pPr>
        <w:rPr>
          <w:rFonts w:ascii="宋体" w:hAnsi="宋体" w:cs="宋体"/>
          <w:b/>
          <w:color w:val="auto"/>
          <w:szCs w:val="21"/>
          <w:highlight w:val="none"/>
        </w:rPr>
      </w:pPr>
      <w:r>
        <w:rPr>
          <w:rFonts w:hint="eastAsia" w:ascii="宋体" w:hAnsi="宋体" w:cs="宋体"/>
          <w:b/>
          <w:color w:val="auto"/>
          <w:szCs w:val="21"/>
          <w:highlight w:val="none"/>
          <w:lang w:val="en-US" w:eastAsia="zh-CN"/>
        </w:rPr>
        <w:t>七</w:t>
      </w:r>
      <w:r>
        <w:rPr>
          <w:rFonts w:hint="eastAsia" w:ascii="宋体" w:hAnsi="宋体" w:cs="宋体"/>
          <w:b/>
          <w:color w:val="auto"/>
          <w:szCs w:val="21"/>
          <w:highlight w:val="none"/>
        </w:rPr>
        <w:t>、通知及送达</w:t>
      </w:r>
    </w:p>
    <w:p w14:paraId="2D76E8C7">
      <w:pPr>
        <w:ind w:firstLine="411" w:firstLineChars="196"/>
        <w:rPr>
          <w:rFonts w:ascii="宋体" w:hAnsi="宋体" w:cs="宋体"/>
          <w:color w:val="auto"/>
          <w:szCs w:val="21"/>
          <w:highlight w:val="none"/>
        </w:rPr>
      </w:pPr>
      <w:r>
        <w:rPr>
          <w:rFonts w:hint="eastAsia" w:ascii="宋体" w:hAnsi="宋体" w:cs="宋体"/>
          <w:color w:val="auto"/>
          <w:szCs w:val="21"/>
          <w:highlight w:val="none"/>
        </w:rPr>
        <w:t>凡本合同履行过程中的通知、文件、法律文书等，均以下述方式作为甲乙双方确认之有效送达方式。如任一方变更，须提前书面通知对方，否则，由此导致的相关通知、文件、法律文书等退件、拒收、无法送达等情形均视为送达成功。且如采用邮寄方式送达，自发出之日起三日后即视为成功送达，如采用电子方式送达的，自相关信息发出之日即视为成功送达。</w:t>
      </w:r>
    </w:p>
    <w:p w14:paraId="1C90A26A">
      <w:pPr>
        <w:ind w:firstLine="411" w:firstLineChars="196"/>
        <w:rPr>
          <w:rFonts w:ascii="宋体" w:hAnsi="宋体" w:cs="宋体"/>
          <w:color w:val="auto"/>
          <w:szCs w:val="21"/>
          <w:highlight w:val="none"/>
        </w:rPr>
      </w:pPr>
      <w:r>
        <w:rPr>
          <w:rFonts w:hint="eastAsia" w:ascii="宋体" w:hAnsi="宋体" w:cs="宋体"/>
          <w:color w:val="auto"/>
          <w:szCs w:val="21"/>
          <w:highlight w:val="none"/>
        </w:rPr>
        <w:t>甲方：邮寄送达地址：</w:t>
      </w:r>
      <w:r>
        <w:rPr>
          <w:rFonts w:hint="eastAsia" w:ascii="宋体" w:hAnsi="宋体" w:cs="宋体"/>
          <w:color w:val="auto"/>
          <w:szCs w:val="21"/>
          <w:highlight w:val="none"/>
          <w:u w:val="single"/>
        </w:rPr>
        <w:t xml:space="preserve">               </w:t>
      </w:r>
      <w:r>
        <w:rPr>
          <w:rFonts w:hint="eastAsia" w:ascii="宋体" w:hAnsi="宋体" w:cs="宋体"/>
          <w:color w:val="auto"/>
          <w:szCs w:val="21"/>
          <w:highlight w:val="none"/>
        </w:rPr>
        <w:t>，收件人：</w:t>
      </w:r>
      <w:r>
        <w:rPr>
          <w:rFonts w:hint="eastAsia" w:ascii="宋体" w:hAnsi="宋体" w:cs="宋体"/>
          <w:color w:val="auto"/>
          <w:szCs w:val="21"/>
          <w:highlight w:val="none"/>
          <w:u w:val="single"/>
        </w:rPr>
        <w:t xml:space="preserve">               </w:t>
      </w:r>
      <w:r>
        <w:rPr>
          <w:rFonts w:hint="eastAsia" w:ascii="宋体" w:hAnsi="宋体" w:cs="宋体"/>
          <w:color w:val="auto"/>
          <w:szCs w:val="21"/>
          <w:highlight w:val="none"/>
        </w:rPr>
        <w:t>，联系电话：</w:t>
      </w:r>
      <w:r>
        <w:rPr>
          <w:rFonts w:hint="eastAsia" w:ascii="宋体" w:hAnsi="宋体" w:cs="宋体"/>
          <w:color w:val="auto"/>
          <w:szCs w:val="21"/>
          <w:highlight w:val="none"/>
          <w:u w:val="single"/>
        </w:rPr>
        <w:t xml:space="preserve">               </w:t>
      </w:r>
      <w:r>
        <w:rPr>
          <w:rFonts w:hint="eastAsia" w:ascii="宋体" w:hAnsi="宋体" w:cs="宋体"/>
          <w:color w:val="auto"/>
          <w:szCs w:val="21"/>
          <w:highlight w:val="none"/>
        </w:rPr>
        <w:t>；指定联系人（姓名：</w:t>
      </w:r>
      <w:r>
        <w:rPr>
          <w:rFonts w:hint="eastAsia" w:ascii="宋体" w:hAnsi="宋体" w:cs="宋体"/>
          <w:color w:val="auto"/>
          <w:szCs w:val="21"/>
          <w:highlight w:val="none"/>
          <w:u w:val="single"/>
        </w:rPr>
        <w:t xml:space="preserve">               </w:t>
      </w:r>
      <w:r>
        <w:rPr>
          <w:rFonts w:hint="eastAsia" w:ascii="宋体" w:hAnsi="宋体" w:cs="宋体"/>
          <w:color w:val="auto"/>
          <w:szCs w:val="21"/>
          <w:highlight w:val="none"/>
        </w:rPr>
        <w:t>，职务：</w:t>
      </w:r>
      <w:r>
        <w:rPr>
          <w:rFonts w:hint="eastAsia" w:ascii="宋体" w:hAnsi="宋体" w:cs="宋体"/>
          <w:color w:val="auto"/>
          <w:szCs w:val="21"/>
          <w:highlight w:val="none"/>
          <w:u w:val="single"/>
        </w:rPr>
        <w:t xml:space="preserve">               </w:t>
      </w:r>
      <w:r>
        <w:rPr>
          <w:rFonts w:hint="eastAsia" w:ascii="宋体" w:hAnsi="宋体" w:cs="宋体"/>
          <w:color w:val="auto"/>
          <w:szCs w:val="21"/>
          <w:highlight w:val="none"/>
        </w:rPr>
        <w:t>）的电子送达地址：微信号：</w:t>
      </w:r>
      <w:r>
        <w:rPr>
          <w:rFonts w:hint="eastAsia" w:ascii="宋体" w:hAnsi="宋体" w:cs="宋体"/>
          <w:color w:val="auto"/>
          <w:szCs w:val="21"/>
          <w:highlight w:val="none"/>
          <w:u w:val="single"/>
        </w:rPr>
        <w:t xml:space="preserve">               </w:t>
      </w:r>
      <w:r>
        <w:rPr>
          <w:rFonts w:hint="eastAsia" w:ascii="宋体" w:hAnsi="宋体" w:cs="宋体"/>
          <w:color w:val="auto"/>
          <w:szCs w:val="21"/>
          <w:highlight w:val="none"/>
        </w:rPr>
        <w:t>，邮箱：</w:t>
      </w:r>
      <w:r>
        <w:rPr>
          <w:rFonts w:hint="eastAsia" w:ascii="宋体" w:hAnsi="宋体" w:cs="宋体"/>
          <w:color w:val="auto"/>
          <w:szCs w:val="21"/>
          <w:highlight w:val="none"/>
          <w:u w:val="single"/>
        </w:rPr>
        <w:t xml:space="preserve">               </w:t>
      </w:r>
      <w:r>
        <w:rPr>
          <w:rFonts w:hint="eastAsia" w:ascii="宋体" w:hAnsi="宋体" w:cs="宋体"/>
          <w:color w:val="auto"/>
          <w:szCs w:val="21"/>
          <w:highlight w:val="none"/>
        </w:rPr>
        <w:t>。</w:t>
      </w:r>
    </w:p>
    <w:p w14:paraId="737E1DA5">
      <w:pPr>
        <w:ind w:firstLine="411" w:firstLineChars="196"/>
        <w:rPr>
          <w:rFonts w:ascii="宋体" w:hAnsi="宋体" w:cs="宋体"/>
          <w:color w:val="auto"/>
          <w:szCs w:val="21"/>
          <w:highlight w:val="none"/>
        </w:rPr>
      </w:pPr>
      <w:r>
        <w:rPr>
          <w:rFonts w:hint="eastAsia" w:ascii="宋体" w:hAnsi="宋体" w:cs="宋体"/>
          <w:color w:val="auto"/>
          <w:szCs w:val="21"/>
          <w:highlight w:val="none"/>
        </w:rPr>
        <w:t>乙方：邮寄送达地址：</w:t>
      </w:r>
      <w:r>
        <w:rPr>
          <w:rFonts w:hint="eastAsia" w:ascii="宋体" w:hAnsi="宋体" w:cs="宋体"/>
          <w:color w:val="auto"/>
          <w:szCs w:val="21"/>
          <w:highlight w:val="none"/>
          <w:u w:val="single"/>
        </w:rPr>
        <w:t xml:space="preserve">               </w:t>
      </w:r>
      <w:r>
        <w:rPr>
          <w:rFonts w:hint="eastAsia" w:ascii="宋体" w:hAnsi="宋体" w:cs="宋体"/>
          <w:color w:val="auto"/>
          <w:szCs w:val="21"/>
          <w:highlight w:val="none"/>
        </w:rPr>
        <w:t>，收件人：</w:t>
      </w:r>
      <w:r>
        <w:rPr>
          <w:rFonts w:hint="eastAsia" w:ascii="宋体" w:hAnsi="宋体" w:cs="宋体"/>
          <w:color w:val="auto"/>
          <w:szCs w:val="21"/>
          <w:highlight w:val="none"/>
          <w:u w:val="single"/>
        </w:rPr>
        <w:t xml:space="preserve">               </w:t>
      </w:r>
      <w:r>
        <w:rPr>
          <w:rFonts w:hint="eastAsia" w:ascii="宋体" w:hAnsi="宋体" w:cs="宋体"/>
          <w:color w:val="auto"/>
          <w:szCs w:val="21"/>
          <w:highlight w:val="none"/>
        </w:rPr>
        <w:t>，联系电话：</w:t>
      </w:r>
      <w:r>
        <w:rPr>
          <w:rFonts w:hint="eastAsia" w:ascii="宋体" w:hAnsi="宋体" w:cs="宋体"/>
          <w:color w:val="auto"/>
          <w:szCs w:val="21"/>
          <w:highlight w:val="none"/>
          <w:u w:val="single"/>
        </w:rPr>
        <w:t xml:space="preserve">               </w:t>
      </w:r>
      <w:r>
        <w:rPr>
          <w:rFonts w:hint="eastAsia" w:ascii="宋体" w:hAnsi="宋体" w:cs="宋体"/>
          <w:color w:val="auto"/>
          <w:szCs w:val="21"/>
          <w:highlight w:val="none"/>
        </w:rPr>
        <w:t>；指定联系人（姓名：</w:t>
      </w:r>
      <w:r>
        <w:rPr>
          <w:rFonts w:hint="eastAsia" w:ascii="宋体" w:hAnsi="宋体" w:cs="宋体"/>
          <w:color w:val="auto"/>
          <w:szCs w:val="21"/>
          <w:highlight w:val="none"/>
          <w:u w:val="single"/>
        </w:rPr>
        <w:t xml:space="preserve">               </w:t>
      </w:r>
      <w:r>
        <w:rPr>
          <w:rFonts w:hint="eastAsia" w:ascii="宋体" w:hAnsi="宋体" w:cs="宋体"/>
          <w:color w:val="auto"/>
          <w:szCs w:val="21"/>
          <w:highlight w:val="none"/>
        </w:rPr>
        <w:t>，职务：</w:t>
      </w:r>
      <w:r>
        <w:rPr>
          <w:rFonts w:hint="eastAsia" w:ascii="宋体" w:hAnsi="宋体" w:cs="宋体"/>
          <w:color w:val="auto"/>
          <w:szCs w:val="21"/>
          <w:highlight w:val="none"/>
          <w:u w:val="single"/>
        </w:rPr>
        <w:t xml:space="preserve">               </w:t>
      </w:r>
      <w:r>
        <w:rPr>
          <w:rFonts w:hint="eastAsia" w:ascii="宋体" w:hAnsi="宋体" w:cs="宋体"/>
          <w:color w:val="auto"/>
          <w:szCs w:val="21"/>
          <w:highlight w:val="none"/>
        </w:rPr>
        <w:t xml:space="preserve">）的电子送达地址：微信号： </w:t>
      </w:r>
      <w:r>
        <w:rPr>
          <w:rFonts w:hint="eastAsia" w:ascii="宋体" w:hAnsi="宋体" w:cs="宋体"/>
          <w:color w:val="auto"/>
          <w:szCs w:val="21"/>
          <w:highlight w:val="none"/>
          <w:u w:val="single"/>
        </w:rPr>
        <w:t xml:space="preserve">               </w:t>
      </w:r>
      <w:r>
        <w:rPr>
          <w:rFonts w:hint="eastAsia" w:ascii="宋体" w:hAnsi="宋体" w:cs="宋体"/>
          <w:color w:val="auto"/>
          <w:szCs w:val="21"/>
          <w:highlight w:val="none"/>
        </w:rPr>
        <w:t>，邮箱：</w:t>
      </w:r>
      <w:r>
        <w:rPr>
          <w:rFonts w:hint="eastAsia" w:ascii="宋体" w:hAnsi="宋体" w:cs="宋体"/>
          <w:color w:val="auto"/>
          <w:szCs w:val="21"/>
          <w:highlight w:val="none"/>
          <w:u w:val="single"/>
        </w:rPr>
        <w:t xml:space="preserve">               </w:t>
      </w:r>
      <w:r>
        <w:rPr>
          <w:rFonts w:hint="eastAsia" w:ascii="宋体" w:hAnsi="宋体" w:cs="宋体"/>
          <w:color w:val="auto"/>
          <w:szCs w:val="21"/>
          <w:highlight w:val="none"/>
        </w:rPr>
        <w:t>。</w:t>
      </w:r>
    </w:p>
    <w:p w14:paraId="1FD71811">
      <w:pPr>
        <w:rPr>
          <w:rFonts w:ascii="宋体" w:hAnsi="宋体" w:cs="宋体"/>
          <w:b/>
          <w:color w:val="auto"/>
          <w:szCs w:val="21"/>
          <w:highlight w:val="none"/>
        </w:rPr>
      </w:pPr>
      <w:r>
        <w:rPr>
          <w:rFonts w:hint="eastAsia" w:ascii="宋体" w:hAnsi="宋体" w:cs="宋体"/>
          <w:b/>
          <w:color w:val="auto"/>
          <w:szCs w:val="21"/>
          <w:highlight w:val="none"/>
          <w:lang w:val="en-US" w:eastAsia="zh-CN"/>
        </w:rPr>
        <w:t>八</w:t>
      </w:r>
      <w:r>
        <w:rPr>
          <w:rFonts w:hint="eastAsia" w:ascii="宋体" w:hAnsi="宋体" w:cs="宋体"/>
          <w:b/>
          <w:color w:val="auto"/>
          <w:szCs w:val="21"/>
          <w:highlight w:val="none"/>
        </w:rPr>
        <w:t>、争议的解决</w:t>
      </w:r>
    </w:p>
    <w:p w14:paraId="3B7A952B">
      <w:pPr>
        <w:ind w:firstLine="420" w:firstLineChars="200"/>
        <w:rPr>
          <w:rFonts w:ascii="宋体" w:hAnsi="宋体" w:cs="宋体"/>
          <w:color w:val="auto"/>
          <w:szCs w:val="21"/>
          <w:highlight w:val="none"/>
        </w:rPr>
      </w:pPr>
      <w:r>
        <w:rPr>
          <w:rFonts w:hint="eastAsia" w:ascii="宋体" w:hAnsi="宋体" w:cs="宋体"/>
          <w:color w:val="auto"/>
          <w:szCs w:val="21"/>
          <w:highlight w:val="none"/>
        </w:rPr>
        <w:t>因履行本合同发生的任何争议，双方本着友好互利的原则协商解决。协商不成时应向甲方所在地人民法院提起诉讼。除有争议的部分外，双方应继续履行本合同所约定的义务。</w:t>
      </w:r>
    </w:p>
    <w:p w14:paraId="032F08B6">
      <w:pPr>
        <w:rPr>
          <w:rFonts w:ascii="宋体" w:hAnsi="宋体" w:cs="宋体"/>
          <w:b/>
          <w:color w:val="auto"/>
          <w:szCs w:val="21"/>
          <w:highlight w:val="none"/>
        </w:rPr>
      </w:pPr>
      <w:r>
        <w:rPr>
          <w:rFonts w:hint="eastAsia" w:ascii="宋体" w:hAnsi="宋体" w:cs="宋体"/>
          <w:b/>
          <w:color w:val="auto"/>
          <w:szCs w:val="21"/>
          <w:highlight w:val="none"/>
          <w:lang w:val="en-US" w:eastAsia="zh-CN"/>
        </w:rPr>
        <w:t>九</w:t>
      </w:r>
      <w:r>
        <w:rPr>
          <w:rFonts w:hint="eastAsia" w:ascii="宋体" w:hAnsi="宋体" w:cs="宋体"/>
          <w:b/>
          <w:color w:val="auto"/>
          <w:szCs w:val="21"/>
          <w:highlight w:val="none"/>
        </w:rPr>
        <w:t>、其它约定</w:t>
      </w:r>
    </w:p>
    <w:p w14:paraId="2992D9AA">
      <w:pPr>
        <w:ind w:firstLine="420" w:firstLineChars="200"/>
        <w:rPr>
          <w:rFonts w:ascii="宋体" w:hAnsi="宋体" w:cs="宋体"/>
          <w:color w:val="auto"/>
          <w:szCs w:val="21"/>
          <w:highlight w:val="none"/>
        </w:rPr>
      </w:pPr>
      <w:r>
        <w:rPr>
          <w:rFonts w:hint="eastAsia" w:ascii="宋体" w:hAnsi="宋体" w:cs="宋体"/>
          <w:color w:val="auto"/>
          <w:szCs w:val="21"/>
          <w:highlight w:val="none"/>
        </w:rPr>
        <w:t>（一）本合同任何内容的修改，须由双方进行协商，并另行签订补充协议或书面文件，所签订的补充协议或相关合同附件均为本合同不可分割部分，与本合同具有同等法律效力。任何一方自行更改或解除合同的，按违约处理；合同中未尽事项，由双方协商另行签订补充协议。</w:t>
      </w:r>
    </w:p>
    <w:p w14:paraId="727176CF">
      <w:pPr>
        <w:ind w:firstLine="420" w:firstLineChars="200"/>
        <w:rPr>
          <w:rFonts w:ascii="宋体" w:hAnsi="宋体" w:cs="宋体"/>
          <w:color w:val="auto"/>
          <w:szCs w:val="21"/>
          <w:highlight w:val="none"/>
        </w:rPr>
      </w:pPr>
      <w:r>
        <w:rPr>
          <w:rFonts w:hint="eastAsia" w:ascii="宋体" w:hAnsi="宋体" w:cs="宋体"/>
          <w:color w:val="auto"/>
          <w:szCs w:val="21"/>
          <w:highlight w:val="none"/>
        </w:rPr>
        <w:t>（二）任何一方未经另一方的书面同意，均不得将本合同的权利、义务、利益转移给第三方。</w:t>
      </w:r>
    </w:p>
    <w:p w14:paraId="10D51860">
      <w:pPr>
        <w:ind w:firstLine="420" w:firstLineChars="200"/>
        <w:rPr>
          <w:rFonts w:ascii="宋体" w:hAnsi="宋体" w:cs="宋体"/>
          <w:color w:val="auto"/>
          <w:szCs w:val="21"/>
          <w:highlight w:val="none"/>
        </w:rPr>
      </w:pPr>
      <w:r>
        <w:rPr>
          <w:rFonts w:hint="eastAsia" w:ascii="宋体" w:hAnsi="宋体" w:cs="宋体"/>
          <w:color w:val="auto"/>
          <w:szCs w:val="21"/>
          <w:highlight w:val="none"/>
        </w:rPr>
        <w:t>（三）本合同一式</w:t>
      </w:r>
      <w:r>
        <w:rPr>
          <w:rFonts w:hint="eastAsia" w:ascii="宋体" w:hAnsi="宋体" w:cs="宋体"/>
          <w:color w:val="auto"/>
          <w:szCs w:val="21"/>
          <w:highlight w:val="none"/>
          <w:lang w:val="en-US" w:eastAsia="zh-CN"/>
        </w:rPr>
        <w:t>陆</w:t>
      </w:r>
      <w:r>
        <w:rPr>
          <w:rFonts w:hint="eastAsia" w:ascii="宋体" w:hAnsi="宋体" w:cs="宋体"/>
          <w:color w:val="auto"/>
          <w:szCs w:val="21"/>
          <w:highlight w:val="none"/>
        </w:rPr>
        <w:t>份，甲方执肆份、乙方执</w:t>
      </w:r>
      <w:r>
        <w:rPr>
          <w:rFonts w:hint="eastAsia" w:ascii="宋体" w:hAnsi="宋体" w:cs="宋体"/>
          <w:color w:val="auto"/>
          <w:szCs w:val="21"/>
          <w:highlight w:val="none"/>
          <w:lang w:val="en-US" w:eastAsia="zh-CN"/>
        </w:rPr>
        <w:t>贰</w:t>
      </w:r>
      <w:r>
        <w:rPr>
          <w:rFonts w:hint="eastAsia" w:ascii="宋体" w:hAnsi="宋体" w:cs="宋体"/>
          <w:color w:val="auto"/>
          <w:szCs w:val="21"/>
          <w:highlight w:val="none"/>
        </w:rPr>
        <w:t>份。本合同双方代表签字盖章后生效，合同履行完毕后自行失效。</w:t>
      </w:r>
    </w:p>
    <w:p w14:paraId="23157461">
      <w:pPr>
        <w:ind w:firstLine="420" w:firstLineChars="200"/>
        <w:rPr>
          <w:rFonts w:ascii="宋体" w:hAnsi="宋体" w:cs="宋体"/>
          <w:color w:val="auto"/>
          <w:szCs w:val="21"/>
          <w:highlight w:val="none"/>
        </w:rPr>
      </w:pPr>
      <w:r>
        <w:rPr>
          <w:rFonts w:hint="eastAsia" w:ascii="宋体" w:hAnsi="宋体" w:cs="宋体"/>
          <w:color w:val="auto"/>
          <w:szCs w:val="21"/>
          <w:highlight w:val="none"/>
        </w:rPr>
        <w:t>（四）本合同附件：</w:t>
      </w:r>
    </w:p>
    <w:p w14:paraId="0A47ECC1">
      <w:pPr>
        <w:ind w:firstLine="420" w:firstLineChars="200"/>
        <w:rPr>
          <w:rFonts w:ascii="宋体" w:hAnsi="宋体" w:cs="宋体"/>
          <w:color w:val="auto"/>
          <w:szCs w:val="21"/>
          <w:highlight w:val="none"/>
        </w:rPr>
      </w:pPr>
      <w:r>
        <w:rPr>
          <w:rFonts w:hint="eastAsia" w:ascii="宋体" w:hAnsi="宋体" w:cs="宋体"/>
          <w:color w:val="auto"/>
          <w:szCs w:val="21"/>
          <w:highlight w:val="none"/>
        </w:rPr>
        <w:t>附件1：《车辆维修清单及单价表》</w:t>
      </w:r>
    </w:p>
    <w:p w14:paraId="2249ADB3">
      <w:pPr>
        <w:ind w:firstLine="420" w:firstLineChars="200"/>
        <w:rPr>
          <w:rFonts w:ascii="宋体" w:hAnsi="宋体" w:cs="宋体"/>
          <w:color w:val="auto"/>
          <w:szCs w:val="21"/>
          <w:highlight w:val="none"/>
        </w:rPr>
      </w:pPr>
      <w:r>
        <w:rPr>
          <w:rFonts w:hint="eastAsia" w:ascii="宋体" w:hAnsi="宋体" w:cs="宋体"/>
          <w:color w:val="auto"/>
          <w:szCs w:val="21"/>
          <w:highlight w:val="none"/>
        </w:rPr>
        <w:t>附件2：《</w:t>
      </w:r>
      <w:r>
        <w:rPr>
          <w:rFonts w:hint="eastAsia" w:ascii="宋体" w:hAnsi="宋体" w:cs="宋体"/>
          <w:color w:val="auto"/>
          <w:szCs w:val="21"/>
          <w:highlight w:val="none"/>
          <w:lang w:eastAsia="zh-CN"/>
        </w:rPr>
        <w:t>202</w:t>
      </w:r>
      <w:r>
        <w:rPr>
          <w:rFonts w:hint="eastAsia" w:ascii="宋体" w:hAnsi="宋体" w:cs="宋体"/>
          <w:color w:val="auto"/>
          <w:szCs w:val="21"/>
          <w:highlight w:val="none"/>
          <w:lang w:val="en-US" w:eastAsia="zh-CN"/>
        </w:rPr>
        <w:t>5</w:t>
      </w:r>
      <w:r>
        <w:rPr>
          <w:rFonts w:hint="eastAsia" w:ascii="宋体" w:hAnsi="宋体" w:cs="宋体"/>
          <w:color w:val="auto"/>
          <w:szCs w:val="21"/>
          <w:highlight w:val="none"/>
          <w:lang w:eastAsia="zh-CN"/>
        </w:rPr>
        <w:t>年度定点维修服务项目</w:t>
      </w:r>
      <w:r>
        <w:rPr>
          <w:rFonts w:hint="eastAsia" w:ascii="宋体" w:hAnsi="宋体" w:cs="宋体"/>
          <w:color w:val="auto"/>
          <w:szCs w:val="21"/>
          <w:highlight w:val="none"/>
        </w:rPr>
        <w:t>月度服务评价表》</w:t>
      </w:r>
    </w:p>
    <w:p w14:paraId="372CBBA5">
      <w:pPr>
        <w:ind w:firstLine="420" w:firstLineChars="200"/>
        <w:rPr>
          <w:rFonts w:ascii="宋体" w:hAnsi="宋体" w:cs="宋体"/>
          <w:color w:val="auto"/>
          <w:szCs w:val="21"/>
          <w:highlight w:val="none"/>
        </w:rPr>
      </w:pPr>
      <w:r>
        <w:rPr>
          <w:rFonts w:hint="eastAsia" w:ascii="宋体" w:hAnsi="宋体" w:cs="宋体"/>
          <w:color w:val="auto"/>
          <w:szCs w:val="21"/>
          <w:highlight w:val="none"/>
        </w:rPr>
        <w:t>附件3：《阳光合作协议》</w:t>
      </w:r>
    </w:p>
    <w:p w14:paraId="78089A00">
      <w:pPr>
        <w:ind w:firstLine="420" w:firstLineChars="200"/>
        <w:rPr>
          <w:rFonts w:hint="default" w:ascii="宋体" w:hAnsi="宋体" w:cs="宋体"/>
          <w:color w:val="auto"/>
          <w:szCs w:val="21"/>
          <w:highlight w:val="none"/>
          <w:lang w:val="en-US" w:eastAsia="zh-CN"/>
        </w:rPr>
      </w:pPr>
      <w:r>
        <w:rPr>
          <w:rFonts w:hint="eastAsia" w:ascii="宋体" w:hAnsi="宋体" w:cs="宋体"/>
          <w:color w:val="auto"/>
          <w:szCs w:val="21"/>
          <w:highlight w:val="none"/>
          <w:lang w:val="en-US" w:eastAsia="zh-CN"/>
        </w:rPr>
        <w:t>附件4：采购文件</w:t>
      </w:r>
    </w:p>
    <w:p w14:paraId="598D1F2D">
      <w:pPr>
        <w:ind w:firstLine="420" w:firstLineChars="200"/>
        <w:rPr>
          <w:rFonts w:hint="default" w:ascii="宋体" w:hAnsi="宋体" w:eastAsia="宋体" w:cs="宋体"/>
          <w:color w:val="auto"/>
          <w:szCs w:val="21"/>
          <w:highlight w:val="none"/>
          <w:lang w:val="en-US" w:eastAsia="zh-CN"/>
        </w:rPr>
      </w:pPr>
      <w:r>
        <w:rPr>
          <w:rFonts w:hint="eastAsia" w:ascii="宋体" w:hAnsi="宋体" w:cs="宋体"/>
          <w:color w:val="auto"/>
          <w:szCs w:val="21"/>
          <w:highlight w:val="none"/>
          <w:lang w:val="en-US" w:eastAsia="zh-CN"/>
        </w:rPr>
        <w:t>附件5：投标文件</w:t>
      </w:r>
    </w:p>
    <w:p w14:paraId="29E08228">
      <w:pPr>
        <w:rPr>
          <w:rFonts w:ascii="宋体" w:hAnsi="宋体" w:cs="宋体"/>
          <w:color w:val="auto"/>
          <w:szCs w:val="21"/>
          <w:highlight w:val="none"/>
        </w:rPr>
      </w:pPr>
      <w:r>
        <w:rPr>
          <w:rFonts w:hint="eastAsia" w:ascii="宋体" w:hAnsi="宋体" w:cs="宋体"/>
          <w:color w:val="auto"/>
          <w:szCs w:val="21"/>
          <w:highlight w:val="none"/>
        </w:rPr>
        <w:br w:type="page"/>
      </w:r>
    </w:p>
    <w:p w14:paraId="38C241D5">
      <w:pPr>
        <w:rPr>
          <w:rFonts w:ascii="宋体" w:hAnsi="宋体" w:cs="宋体"/>
          <w:color w:val="auto"/>
          <w:szCs w:val="21"/>
          <w:highlight w:val="none"/>
        </w:rPr>
      </w:pPr>
      <w:r>
        <w:rPr>
          <w:rFonts w:hint="eastAsia" w:ascii="宋体" w:hAnsi="宋体" w:cs="宋体"/>
          <w:color w:val="auto"/>
          <w:szCs w:val="21"/>
          <w:highlight w:val="none"/>
        </w:rPr>
        <w:t>（本页为签署页）</w:t>
      </w:r>
    </w:p>
    <w:p w14:paraId="749F3811">
      <w:pPr>
        <w:rPr>
          <w:rFonts w:ascii="宋体" w:hAnsi="宋体" w:cs="宋体"/>
          <w:color w:val="auto"/>
          <w:szCs w:val="21"/>
          <w:highlight w:val="none"/>
        </w:rPr>
      </w:pPr>
    </w:p>
    <w:p w14:paraId="0BEB260E">
      <w:pPr>
        <w:rPr>
          <w:rFonts w:ascii="宋体" w:hAnsi="宋体" w:cs="宋体"/>
          <w:color w:val="auto"/>
          <w:szCs w:val="21"/>
          <w:highlight w:val="none"/>
        </w:rPr>
      </w:pPr>
    </w:p>
    <w:p w14:paraId="7A11C0AB">
      <w:pPr>
        <w:rPr>
          <w:rFonts w:ascii="宋体" w:hAnsi="宋体" w:cs="宋体"/>
          <w:color w:val="auto"/>
          <w:szCs w:val="21"/>
          <w:highlight w:val="none"/>
        </w:rPr>
      </w:pPr>
      <w:r>
        <w:rPr>
          <w:rFonts w:hint="eastAsia" w:ascii="宋体" w:hAnsi="宋体" w:cs="宋体"/>
          <w:color w:val="auto"/>
          <w:szCs w:val="21"/>
          <w:highlight w:val="none"/>
        </w:rPr>
        <w:t xml:space="preserve">  甲方（盖章）：                     乙方（盖章）：</w:t>
      </w:r>
    </w:p>
    <w:p w14:paraId="7CD762D6">
      <w:pPr>
        <w:ind w:firstLine="210" w:firstLineChars="100"/>
        <w:rPr>
          <w:rFonts w:ascii="宋体" w:hAnsi="宋体" w:cs="宋体"/>
          <w:color w:val="auto"/>
          <w:szCs w:val="21"/>
          <w:highlight w:val="none"/>
        </w:rPr>
      </w:pPr>
    </w:p>
    <w:p w14:paraId="24BE2DB1">
      <w:pPr>
        <w:ind w:firstLine="210" w:firstLineChars="100"/>
        <w:rPr>
          <w:rFonts w:ascii="宋体" w:hAnsi="宋体" w:cs="宋体"/>
          <w:color w:val="auto"/>
          <w:szCs w:val="21"/>
          <w:highlight w:val="none"/>
        </w:rPr>
      </w:pPr>
    </w:p>
    <w:p w14:paraId="5515035C">
      <w:pPr>
        <w:ind w:firstLine="210" w:firstLineChars="100"/>
        <w:rPr>
          <w:rFonts w:ascii="宋体" w:hAnsi="宋体" w:cs="宋体"/>
          <w:color w:val="auto"/>
          <w:szCs w:val="21"/>
          <w:highlight w:val="none"/>
        </w:rPr>
      </w:pPr>
      <w:r>
        <w:rPr>
          <w:rFonts w:hint="eastAsia" w:ascii="宋体" w:hAnsi="宋体" w:cs="宋体"/>
          <w:color w:val="auto"/>
          <w:szCs w:val="21"/>
          <w:highlight w:val="none"/>
        </w:rPr>
        <w:t>法定代表人（签章）：               法定代表人（签章）：</w:t>
      </w:r>
    </w:p>
    <w:p w14:paraId="762D6BF2">
      <w:pPr>
        <w:ind w:firstLine="210" w:firstLineChars="100"/>
        <w:rPr>
          <w:rFonts w:ascii="宋体" w:hAnsi="宋体" w:cs="宋体"/>
          <w:color w:val="auto"/>
          <w:szCs w:val="21"/>
          <w:highlight w:val="none"/>
        </w:rPr>
      </w:pPr>
    </w:p>
    <w:p w14:paraId="1BFCABF7">
      <w:pPr>
        <w:rPr>
          <w:rFonts w:ascii="宋体" w:hAnsi="宋体" w:cs="宋体"/>
          <w:color w:val="auto"/>
          <w:szCs w:val="21"/>
          <w:highlight w:val="none"/>
        </w:rPr>
      </w:pPr>
    </w:p>
    <w:p w14:paraId="3B7F4141">
      <w:pPr>
        <w:ind w:firstLine="210" w:firstLineChars="100"/>
        <w:rPr>
          <w:rFonts w:ascii="宋体" w:hAnsi="宋体" w:cs="宋体"/>
          <w:color w:val="auto"/>
          <w:szCs w:val="21"/>
          <w:highlight w:val="none"/>
        </w:rPr>
      </w:pPr>
      <w:r>
        <w:rPr>
          <w:rFonts w:hint="eastAsia" w:ascii="宋体" w:hAnsi="宋体" w:cs="宋体"/>
          <w:color w:val="auto"/>
          <w:szCs w:val="21"/>
          <w:highlight w:val="none"/>
        </w:rPr>
        <w:t>或授权代表人（签字）：             或授权代表人（签字）：</w:t>
      </w:r>
    </w:p>
    <w:p w14:paraId="36A06258">
      <w:pPr>
        <w:ind w:left="3780" w:leftChars="100" w:hanging="3570" w:hangingChars="1700"/>
        <w:rPr>
          <w:rFonts w:ascii="宋体" w:hAnsi="宋体" w:cs="宋体"/>
          <w:color w:val="auto"/>
          <w:szCs w:val="21"/>
          <w:highlight w:val="none"/>
        </w:rPr>
      </w:pPr>
      <w:r>
        <w:rPr>
          <w:rFonts w:hint="eastAsia" w:ascii="宋体" w:hAnsi="宋体" w:cs="宋体"/>
          <w:color w:val="auto"/>
          <w:szCs w:val="21"/>
          <w:highlight w:val="none"/>
        </w:rPr>
        <w:t xml:space="preserve">                                 </w:t>
      </w:r>
    </w:p>
    <w:p w14:paraId="748A978F">
      <w:pPr>
        <w:ind w:firstLine="210" w:firstLineChars="100"/>
        <w:rPr>
          <w:rFonts w:ascii="宋体" w:hAnsi="宋体" w:cs="宋体"/>
          <w:color w:val="auto"/>
          <w:szCs w:val="21"/>
          <w:highlight w:val="none"/>
        </w:rPr>
      </w:pPr>
      <w:r>
        <w:rPr>
          <w:rFonts w:hint="eastAsia" w:ascii="宋体" w:hAnsi="宋体" w:cs="宋体"/>
          <w:color w:val="auto"/>
          <w:szCs w:val="21"/>
          <w:highlight w:val="none"/>
        </w:rPr>
        <w:t>电话：                               地址：</w:t>
      </w:r>
    </w:p>
    <w:p w14:paraId="42D1DABD">
      <w:pPr>
        <w:ind w:left="4200" w:leftChars="2000" w:firstLine="210" w:firstLineChars="100"/>
        <w:rPr>
          <w:rFonts w:ascii="宋体" w:hAnsi="宋体" w:cs="宋体"/>
          <w:color w:val="auto"/>
          <w:szCs w:val="21"/>
          <w:highlight w:val="none"/>
        </w:rPr>
      </w:pPr>
    </w:p>
    <w:p w14:paraId="0378C1FE">
      <w:pPr>
        <w:ind w:firstLine="210" w:firstLineChars="100"/>
        <w:jc w:val="right"/>
        <w:rPr>
          <w:rFonts w:ascii="宋体" w:hAnsi="宋体" w:cs="宋体"/>
          <w:color w:val="auto"/>
          <w:szCs w:val="21"/>
          <w:highlight w:val="none"/>
        </w:rPr>
      </w:pPr>
    </w:p>
    <w:p w14:paraId="344ECBF2">
      <w:pPr>
        <w:ind w:right="960" w:firstLine="210" w:firstLineChars="100"/>
        <w:jc w:val="right"/>
        <w:rPr>
          <w:rFonts w:ascii="宋体" w:hAnsi="宋体" w:cs="宋体"/>
          <w:color w:val="auto"/>
          <w:szCs w:val="21"/>
          <w:highlight w:val="none"/>
        </w:rPr>
      </w:pPr>
      <w:r>
        <w:rPr>
          <w:rFonts w:hint="eastAsia" w:ascii="宋体" w:hAnsi="宋体" w:cs="宋体"/>
          <w:color w:val="auto"/>
          <w:szCs w:val="21"/>
          <w:highlight w:val="none"/>
          <w:lang w:val="en-US" w:eastAsia="zh-CN"/>
        </w:rPr>
        <w:t xml:space="preserve"> </w:t>
      </w:r>
      <w:r>
        <w:rPr>
          <w:rFonts w:hint="eastAsia" w:ascii="宋体" w:hAnsi="宋体" w:cs="宋体"/>
          <w:color w:val="auto"/>
          <w:szCs w:val="21"/>
          <w:highlight w:val="none"/>
        </w:rPr>
        <w:t>签约地点：东莞市</w:t>
      </w:r>
    </w:p>
    <w:p w14:paraId="1DDE4677">
      <w:pPr>
        <w:spacing w:before="180" w:beforeLines="50" w:after="180" w:afterLines="50"/>
        <w:ind w:firstLine="420" w:firstLineChars="200"/>
        <w:contextualSpacing/>
        <w:rPr>
          <w:rFonts w:ascii="宋体" w:hAnsi="宋体" w:cs="宋体"/>
          <w:color w:val="auto"/>
          <w:szCs w:val="21"/>
          <w:highlight w:val="none"/>
        </w:rPr>
      </w:pPr>
      <w:r>
        <w:rPr>
          <w:rFonts w:hint="eastAsia" w:ascii="宋体" w:hAnsi="宋体" w:cs="宋体"/>
          <w:color w:val="auto"/>
          <w:szCs w:val="21"/>
          <w:highlight w:val="none"/>
        </w:rPr>
        <w:t xml:space="preserve">                                                  签订时间：    年  月  日</w:t>
      </w:r>
    </w:p>
    <w:bookmarkEnd w:id="191"/>
    <w:bookmarkEnd w:id="192"/>
    <w:bookmarkEnd w:id="193"/>
    <w:bookmarkEnd w:id="194"/>
    <w:bookmarkEnd w:id="195"/>
    <w:bookmarkEnd w:id="196"/>
    <w:bookmarkEnd w:id="197"/>
    <w:p w14:paraId="5E88DCA0">
      <w:pPr>
        <w:rPr>
          <w:color w:val="auto"/>
          <w:highlight w:val="none"/>
          <w:lang w:bidi="zh-CN"/>
        </w:rPr>
      </w:pPr>
      <w:r>
        <w:rPr>
          <w:color w:val="auto"/>
          <w:highlight w:val="none"/>
          <w:lang w:bidi="zh-CN"/>
        </w:rPr>
        <w:br w:type="page"/>
      </w:r>
    </w:p>
    <w:p w14:paraId="6D4112DF">
      <w:pPr>
        <w:ind w:firstLine="422" w:firstLineChars="200"/>
        <w:rPr>
          <w:rFonts w:hint="eastAsia" w:ascii="宋体" w:hAnsi="宋体" w:cs="宋体"/>
          <w:b/>
          <w:bCs/>
          <w:color w:val="auto"/>
          <w:szCs w:val="21"/>
          <w:highlight w:val="none"/>
        </w:rPr>
      </w:pPr>
      <w:r>
        <w:rPr>
          <w:rFonts w:hint="eastAsia" w:ascii="宋体" w:hAnsi="宋体" w:cs="宋体"/>
          <w:b/>
          <w:bCs/>
          <w:color w:val="auto"/>
          <w:szCs w:val="21"/>
          <w:highlight w:val="none"/>
        </w:rPr>
        <w:t>附件1：《车辆维修清单及单价表》</w:t>
      </w:r>
    </w:p>
    <w:p w14:paraId="61429465">
      <w:pPr>
        <w:pStyle w:val="6"/>
        <w:rPr>
          <w:color w:val="auto"/>
        </w:rPr>
      </w:pPr>
    </w:p>
    <w:p w14:paraId="77CF1D3B">
      <w:pPr>
        <w:rPr>
          <w:color w:val="auto"/>
        </w:rPr>
      </w:pPr>
    </w:p>
    <w:p w14:paraId="0037ED56">
      <w:pPr>
        <w:pStyle w:val="6"/>
        <w:rPr>
          <w:color w:val="auto"/>
        </w:rPr>
      </w:pPr>
    </w:p>
    <w:p w14:paraId="78F0A6FA">
      <w:pPr>
        <w:rPr>
          <w:color w:val="auto"/>
        </w:rPr>
      </w:pPr>
    </w:p>
    <w:p w14:paraId="41AEDBAD">
      <w:pPr>
        <w:pStyle w:val="6"/>
        <w:rPr>
          <w:color w:val="auto"/>
        </w:rPr>
      </w:pPr>
    </w:p>
    <w:p w14:paraId="5B8A6F3C">
      <w:pPr>
        <w:rPr>
          <w:color w:val="auto"/>
        </w:rPr>
      </w:pPr>
    </w:p>
    <w:p w14:paraId="7E8745FE">
      <w:pPr>
        <w:pStyle w:val="6"/>
        <w:rPr>
          <w:color w:val="auto"/>
        </w:rPr>
      </w:pPr>
    </w:p>
    <w:p w14:paraId="7A3E806D">
      <w:pPr>
        <w:rPr>
          <w:color w:val="auto"/>
        </w:rPr>
      </w:pPr>
    </w:p>
    <w:p w14:paraId="1E2B3E85">
      <w:pPr>
        <w:pStyle w:val="6"/>
        <w:rPr>
          <w:color w:val="auto"/>
        </w:rPr>
      </w:pPr>
    </w:p>
    <w:p w14:paraId="7C737554">
      <w:pPr>
        <w:rPr>
          <w:color w:val="auto"/>
        </w:rPr>
      </w:pPr>
    </w:p>
    <w:p w14:paraId="04FC2E22">
      <w:pPr>
        <w:pStyle w:val="6"/>
        <w:rPr>
          <w:color w:val="auto"/>
        </w:rPr>
      </w:pPr>
    </w:p>
    <w:p w14:paraId="1CF48076">
      <w:pPr>
        <w:rPr>
          <w:color w:val="auto"/>
        </w:rPr>
      </w:pPr>
    </w:p>
    <w:p w14:paraId="0B22ABFC">
      <w:pPr>
        <w:pStyle w:val="6"/>
        <w:rPr>
          <w:color w:val="auto"/>
        </w:rPr>
      </w:pPr>
    </w:p>
    <w:p w14:paraId="77A6157C">
      <w:pPr>
        <w:rPr>
          <w:color w:val="auto"/>
        </w:rPr>
      </w:pPr>
    </w:p>
    <w:p w14:paraId="14C3C7B3">
      <w:pPr>
        <w:pStyle w:val="6"/>
        <w:rPr>
          <w:color w:val="auto"/>
        </w:rPr>
      </w:pPr>
    </w:p>
    <w:p w14:paraId="1005F1C0">
      <w:pPr>
        <w:rPr>
          <w:color w:val="auto"/>
        </w:rPr>
      </w:pPr>
    </w:p>
    <w:p w14:paraId="5E53926D">
      <w:pPr>
        <w:pStyle w:val="6"/>
        <w:rPr>
          <w:color w:val="auto"/>
        </w:rPr>
      </w:pPr>
    </w:p>
    <w:p w14:paraId="0BF5817B">
      <w:pPr>
        <w:rPr>
          <w:color w:val="auto"/>
        </w:rPr>
      </w:pPr>
    </w:p>
    <w:p w14:paraId="53427AC2">
      <w:pPr>
        <w:pStyle w:val="6"/>
        <w:rPr>
          <w:color w:val="auto"/>
        </w:rPr>
      </w:pPr>
    </w:p>
    <w:p w14:paraId="64CA040C">
      <w:pPr>
        <w:rPr>
          <w:color w:val="auto"/>
        </w:rPr>
      </w:pPr>
    </w:p>
    <w:p w14:paraId="2D591A50">
      <w:pPr>
        <w:pStyle w:val="6"/>
        <w:rPr>
          <w:color w:val="auto"/>
        </w:rPr>
      </w:pPr>
    </w:p>
    <w:p w14:paraId="110FBAA8">
      <w:pPr>
        <w:rPr>
          <w:color w:val="auto"/>
        </w:rPr>
      </w:pPr>
    </w:p>
    <w:p w14:paraId="0D6D3CD8">
      <w:pPr>
        <w:pStyle w:val="6"/>
        <w:rPr>
          <w:color w:val="auto"/>
        </w:rPr>
      </w:pPr>
    </w:p>
    <w:p w14:paraId="78FE9F5C">
      <w:pPr>
        <w:rPr>
          <w:color w:val="auto"/>
        </w:rPr>
      </w:pPr>
    </w:p>
    <w:p w14:paraId="0600158E">
      <w:pPr>
        <w:pStyle w:val="6"/>
        <w:rPr>
          <w:color w:val="auto"/>
        </w:rPr>
      </w:pPr>
    </w:p>
    <w:p w14:paraId="7B02A0EF">
      <w:pPr>
        <w:rPr>
          <w:color w:val="auto"/>
        </w:rPr>
      </w:pPr>
    </w:p>
    <w:p w14:paraId="0E56CE42">
      <w:pPr>
        <w:rPr>
          <w:color w:val="auto"/>
        </w:rPr>
      </w:pPr>
    </w:p>
    <w:p w14:paraId="6C12F9BF">
      <w:pPr>
        <w:ind w:firstLine="422" w:firstLineChars="200"/>
        <w:rPr>
          <w:rFonts w:ascii="宋体" w:hAnsi="宋体" w:cs="宋体"/>
          <w:b/>
          <w:bCs/>
          <w:color w:val="auto"/>
          <w:szCs w:val="21"/>
          <w:highlight w:val="none"/>
        </w:rPr>
      </w:pPr>
      <w:r>
        <w:rPr>
          <w:rFonts w:hint="eastAsia" w:ascii="宋体" w:hAnsi="宋体" w:cs="宋体"/>
          <w:b/>
          <w:bCs/>
          <w:color w:val="auto"/>
          <w:szCs w:val="21"/>
          <w:highlight w:val="none"/>
        </w:rPr>
        <w:t>附件2：《</w:t>
      </w:r>
      <w:r>
        <w:rPr>
          <w:rFonts w:hint="eastAsia" w:ascii="宋体" w:hAnsi="宋体" w:cs="宋体"/>
          <w:b/>
          <w:bCs/>
          <w:color w:val="auto"/>
          <w:szCs w:val="21"/>
          <w:highlight w:val="none"/>
          <w:lang w:eastAsia="zh-CN"/>
        </w:rPr>
        <w:t>202</w:t>
      </w:r>
      <w:r>
        <w:rPr>
          <w:rFonts w:hint="eastAsia" w:ascii="宋体" w:hAnsi="宋体" w:cs="宋体"/>
          <w:b/>
          <w:bCs/>
          <w:color w:val="auto"/>
          <w:szCs w:val="21"/>
          <w:highlight w:val="none"/>
          <w:lang w:val="en-US" w:eastAsia="zh-CN"/>
        </w:rPr>
        <w:t>5</w:t>
      </w:r>
      <w:r>
        <w:rPr>
          <w:rFonts w:hint="eastAsia" w:ascii="宋体" w:hAnsi="宋体" w:cs="宋体"/>
          <w:b/>
          <w:bCs/>
          <w:color w:val="auto"/>
          <w:szCs w:val="21"/>
          <w:highlight w:val="none"/>
          <w:lang w:eastAsia="zh-CN"/>
        </w:rPr>
        <w:t>年度定点维修服务项目</w:t>
      </w:r>
      <w:r>
        <w:rPr>
          <w:rFonts w:hint="eastAsia" w:ascii="宋体" w:hAnsi="宋体" w:cs="宋体"/>
          <w:b/>
          <w:bCs/>
          <w:color w:val="auto"/>
          <w:szCs w:val="21"/>
          <w:highlight w:val="none"/>
        </w:rPr>
        <w:t>月度服务评价表》</w:t>
      </w:r>
    </w:p>
    <w:tbl>
      <w:tblPr>
        <w:tblStyle w:val="1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95"/>
        <w:gridCol w:w="5300"/>
        <w:gridCol w:w="700"/>
        <w:gridCol w:w="662"/>
        <w:gridCol w:w="965"/>
      </w:tblGrid>
      <w:tr w14:paraId="52B2F5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22" w:type="dxa"/>
            <w:gridSpan w:val="5"/>
          </w:tcPr>
          <w:p w14:paraId="093667F9">
            <w:pPr>
              <w:adjustRightInd/>
              <w:snapToGrid/>
              <w:spacing w:line="360" w:lineRule="exact"/>
              <w:jc w:val="center"/>
              <w:rPr>
                <w:rFonts w:ascii="宋体" w:hAnsi="宋体" w:cs="宋体"/>
                <w:color w:val="auto"/>
                <w:szCs w:val="21"/>
                <w:highlight w:val="none"/>
              </w:rPr>
            </w:pPr>
            <w:r>
              <w:rPr>
                <w:rFonts w:hint="eastAsia" w:ascii="宋体" w:hAnsi="宋体" w:cs="宋体"/>
                <w:color w:val="auto"/>
                <w:szCs w:val="21"/>
                <w:highlight w:val="none"/>
                <w:lang w:eastAsia="zh-CN"/>
              </w:rPr>
              <w:t>202</w:t>
            </w:r>
            <w:r>
              <w:rPr>
                <w:rFonts w:hint="eastAsia" w:ascii="宋体" w:hAnsi="宋体" w:cs="宋体"/>
                <w:color w:val="auto"/>
                <w:szCs w:val="21"/>
                <w:highlight w:val="none"/>
                <w:lang w:val="en-US" w:eastAsia="zh-CN"/>
              </w:rPr>
              <w:t>5</w:t>
            </w:r>
            <w:r>
              <w:rPr>
                <w:rFonts w:hint="eastAsia" w:ascii="宋体" w:hAnsi="宋体" w:cs="宋体"/>
                <w:color w:val="auto"/>
                <w:szCs w:val="21"/>
                <w:highlight w:val="none"/>
                <w:lang w:eastAsia="zh-CN"/>
              </w:rPr>
              <w:t>年度定点维修服务项目</w:t>
            </w:r>
            <w:r>
              <w:rPr>
                <w:rFonts w:hint="eastAsia" w:ascii="宋体" w:hAnsi="宋体" w:cs="宋体"/>
                <w:color w:val="auto"/>
                <w:szCs w:val="21"/>
                <w:highlight w:val="none"/>
              </w:rPr>
              <w:t>月度服务评价表</w:t>
            </w:r>
          </w:p>
        </w:tc>
      </w:tr>
      <w:tr w14:paraId="1945B8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22" w:type="dxa"/>
            <w:gridSpan w:val="5"/>
          </w:tcPr>
          <w:p w14:paraId="34D8FF8D">
            <w:pPr>
              <w:adjustRightInd/>
              <w:snapToGrid/>
              <w:spacing w:line="360" w:lineRule="exact"/>
              <w:jc w:val="both"/>
              <w:rPr>
                <w:rFonts w:ascii="宋体" w:hAnsi="宋体" w:cs="宋体"/>
                <w:color w:val="auto"/>
                <w:szCs w:val="21"/>
                <w:highlight w:val="none"/>
              </w:rPr>
            </w:pPr>
            <w:r>
              <w:rPr>
                <w:rFonts w:hint="eastAsia" w:ascii="宋体" w:hAnsi="宋体" w:cs="宋体"/>
                <w:color w:val="auto"/>
                <w:szCs w:val="21"/>
                <w:highlight w:val="none"/>
              </w:rPr>
              <w:t>受评价的服务单位：</w:t>
            </w:r>
          </w:p>
        </w:tc>
      </w:tr>
      <w:tr w14:paraId="1D0E66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95" w:type="dxa"/>
            <w:vAlign w:val="center"/>
          </w:tcPr>
          <w:p w14:paraId="114D6EC2">
            <w:pPr>
              <w:adjustRightInd/>
              <w:snapToGrid/>
              <w:spacing w:line="360" w:lineRule="exact"/>
              <w:jc w:val="center"/>
              <w:rPr>
                <w:rFonts w:ascii="宋体" w:hAnsi="宋体" w:cs="宋体"/>
                <w:color w:val="auto"/>
                <w:szCs w:val="21"/>
                <w:highlight w:val="none"/>
              </w:rPr>
            </w:pPr>
            <w:r>
              <w:rPr>
                <w:rFonts w:hint="eastAsia" w:ascii="宋体" w:hAnsi="宋体" w:cs="宋体"/>
                <w:color w:val="auto"/>
                <w:szCs w:val="21"/>
                <w:highlight w:val="none"/>
              </w:rPr>
              <w:t>序号</w:t>
            </w:r>
          </w:p>
        </w:tc>
        <w:tc>
          <w:tcPr>
            <w:tcW w:w="5300" w:type="dxa"/>
            <w:vAlign w:val="center"/>
          </w:tcPr>
          <w:p w14:paraId="292C9E5A">
            <w:pPr>
              <w:adjustRightInd/>
              <w:snapToGrid/>
              <w:spacing w:line="360" w:lineRule="exact"/>
              <w:jc w:val="center"/>
              <w:rPr>
                <w:rFonts w:ascii="宋体" w:hAnsi="宋体" w:cs="宋体"/>
                <w:color w:val="auto"/>
                <w:szCs w:val="21"/>
                <w:highlight w:val="none"/>
              </w:rPr>
            </w:pPr>
            <w:r>
              <w:rPr>
                <w:rFonts w:hint="eastAsia" w:ascii="宋体" w:hAnsi="宋体" w:cs="宋体"/>
                <w:color w:val="auto"/>
                <w:szCs w:val="21"/>
                <w:highlight w:val="none"/>
              </w:rPr>
              <w:t>评价内容</w:t>
            </w:r>
          </w:p>
        </w:tc>
        <w:tc>
          <w:tcPr>
            <w:tcW w:w="700" w:type="dxa"/>
            <w:vAlign w:val="center"/>
          </w:tcPr>
          <w:p w14:paraId="6922BE1F">
            <w:pPr>
              <w:adjustRightInd/>
              <w:snapToGrid/>
              <w:spacing w:line="360" w:lineRule="exact"/>
              <w:jc w:val="center"/>
              <w:rPr>
                <w:rFonts w:ascii="宋体" w:hAnsi="宋体" w:cs="宋体"/>
                <w:color w:val="auto"/>
                <w:szCs w:val="21"/>
                <w:highlight w:val="none"/>
              </w:rPr>
            </w:pPr>
            <w:r>
              <w:rPr>
                <w:rFonts w:hint="eastAsia" w:ascii="宋体" w:hAnsi="宋体" w:cs="宋体"/>
                <w:color w:val="auto"/>
                <w:szCs w:val="21"/>
                <w:highlight w:val="none"/>
              </w:rPr>
              <w:t>分项分值</w:t>
            </w:r>
          </w:p>
        </w:tc>
        <w:tc>
          <w:tcPr>
            <w:tcW w:w="662" w:type="dxa"/>
            <w:vAlign w:val="center"/>
          </w:tcPr>
          <w:p w14:paraId="020699BA">
            <w:pPr>
              <w:adjustRightInd/>
              <w:snapToGrid/>
              <w:spacing w:line="360" w:lineRule="exact"/>
              <w:jc w:val="center"/>
              <w:rPr>
                <w:rFonts w:ascii="宋体" w:hAnsi="宋体" w:cs="宋体"/>
                <w:color w:val="auto"/>
                <w:szCs w:val="21"/>
                <w:highlight w:val="none"/>
              </w:rPr>
            </w:pPr>
            <w:r>
              <w:rPr>
                <w:rFonts w:hint="eastAsia" w:ascii="宋体" w:hAnsi="宋体" w:cs="宋体"/>
                <w:color w:val="auto"/>
                <w:szCs w:val="21"/>
                <w:highlight w:val="none"/>
              </w:rPr>
              <w:t>得分情况</w:t>
            </w:r>
          </w:p>
        </w:tc>
        <w:tc>
          <w:tcPr>
            <w:tcW w:w="965" w:type="dxa"/>
            <w:vAlign w:val="center"/>
          </w:tcPr>
          <w:p w14:paraId="707AE393">
            <w:pPr>
              <w:adjustRightInd/>
              <w:snapToGrid/>
              <w:spacing w:line="360" w:lineRule="exact"/>
              <w:jc w:val="center"/>
              <w:rPr>
                <w:rFonts w:ascii="宋体" w:hAnsi="宋体" w:cs="宋体"/>
                <w:color w:val="auto"/>
                <w:szCs w:val="21"/>
                <w:highlight w:val="none"/>
              </w:rPr>
            </w:pPr>
            <w:r>
              <w:rPr>
                <w:rFonts w:hint="eastAsia" w:ascii="宋体" w:hAnsi="宋体" w:cs="宋体"/>
                <w:color w:val="auto"/>
                <w:szCs w:val="21"/>
                <w:highlight w:val="none"/>
              </w:rPr>
              <w:t>备注</w:t>
            </w:r>
          </w:p>
        </w:tc>
      </w:tr>
      <w:tr w14:paraId="0C6DDF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95" w:type="dxa"/>
            <w:vAlign w:val="center"/>
          </w:tcPr>
          <w:p w14:paraId="4F05D17A">
            <w:pPr>
              <w:adjustRightInd/>
              <w:snapToGrid/>
              <w:spacing w:line="360" w:lineRule="exact"/>
              <w:jc w:val="center"/>
              <w:rPr>
                <w:rFonts w:ascii="宋体" w:hAnsi="宋体" w:cs="宋体"/>
                <w:color w:val="auto"/>
                <w:szCs w:val="21"/>
                <w:highlight w:val="none"/>
              </w:rPr>
            </w:pPr>
            <w:r>
              <w:rPr>
                <w:rFonts w:hint="eastAsia" w:ascii="宋体" w:hAnsi="宋体" w:cs="宋体"/>
                <w:color w:val="auto"/>
                <w:szCs w:val="21"/>
                <w:highlight w:val="none"/>
              </w:rPr>
              <w:t>1</w:t>
            </w:r>
          </w:p>
        </w:tc>
        <w:tc>
          <w:tcPr>
            <w:tcW w:w="5300" w:type="dxa"/>
            <w:vAlign w:val="center"/>
          </w:tcPr>
          <w:p w14:paraId="084AEE0E">
            <w:pPr>
              <w:adjustRightInd/>
              <w:snapToGrid/>
              <w:spacing w:line="360" w:lineRule="exact"/>
              <w:jc w:val="left"/>
              <w:rPr>
                <w:rFonts w:ascii="宋体" w:hAnsi="宋体" w:cs="宋体"/>
                <w:color w:val="auto"/>
                <w:szCs w:val="21"/>
                <w:highlight w:val="none"/>
              </w:rPr>
            </w:pPr>
            <w:r>
              <w:rPr>
                <w:rFonts w:hint="eastAsia" w:ascii="宋体" w:hAnsi="宋体" w:cs="宋体"/>
                <w:color w:val="auto"/>
                <w:szCs w:val="21"/>
                <w:highlight w:val="none"/>
              </w:rPr>
              <w:t>服务态度：服务单位的服务人员服务意识差，服务态度消极，不能耐心解释说明，视情况每次扣1-5分；</w:t>
            </w:r>
          </w:p>
        </w:tc>
        <w:tc>
          <w:tcPr>
            <w:tcW w:w="700" w:type="dxa"/>
            <w:vAlign w:val="center"/>
          </w:tcPr>
          <w:p w14:paraId="7BBCC05E">
            <w:pPr>
              <w:adjustRightInd/>
              <w:snapToGrid/>
              <w:spacing w:line="360" w:lineRule="exact"/>
              <w:jc w:val="center"/>
              <w:rPr>
                <w:rFonts w:ascii="宋体" w:hAnsi="宋体" w:cs="宋体"/>
                <w:color w:val="auto"/>
                <w:szCs w:val="21"/>
                <w:highlight w:val="none"/>
              </w:rPr>
            </w:pPr>
            <w:r>
              <w:rPr>
                <w:rFonts w:hint="eastAsia" w:ascii="宋体" w:hAnsi="宋体" w:cs="宋体"/>
                <w:color w:val="auto"/>
                <w:szCs w:val="21"/>
                <w:highlight w:val="none"/>
              </w:rPr>
              <w:t>10</w:t>
            </w:r>
          </w:p>
        </w:tc>
        <w:tc>
          <w:tcPr>
            <w:tcW w:w="662" w:type="dxa"/>
            <w:vAlign w:val="center"/>
          </w:tcPr>
          <w:p w14:paraId="287EB484">
            <w:pPr>
              <w:adjustRightInd/>
              <w:snapToGrid/>
              <w:spacing w:line="360" w:lineRule="exact"/>
              <w:jc w:val="center"/>
              <w:rPr>
                <w:rFonts w:ascii="宋体" w:hAnsi="宋体" w:cs="宋体"/>
                <w:color w:val="auto"/>
                <w:szCs w:val="21"/>
                <w:highlight w:val="none"/>
              </w:rPr>
            </w:pPr>
          </w:p>
        </w:tc>
        <w:tc>
          <w:tcPr>
            <w:tcW w:w="965" w:type="dxa"/>
            <w:vAlign w:val="center"/>
          </w:tcPr>
          <w:p w14:paraId="0A16B2C5">
            <w:pPr>
              <w:adjustRightInd/>
              <w:snapToGrid/>
              <w:spacing w:line="360" w:lineRule="exact"/>
              <w:jc w:val="center"/>
              <w:rPr>
                <w:rFonts w:ascii="宋体" w:hAnsi="宋体" w:cs="宋体"/>
                <w:color w:val="auto"/>
                <w:szCs w:val="21"/>
                <w:highlight w:val="none"/>
              </w:rPr>
            </w:pPr>
          </w:p>
        </w:tc>
      </w:tr>
      <w:tr w14:paraId="72B7FB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95" w:type="dxa"/>
            <w:vAlign w:val="center"/>
          </w:tcPr>
          <w:p w14:paraId="50DF866E">
            <w:pPr>
              <w:adjustRightInd/>
              <w:snapToGrid/>
              <w:spacing w:line="360" w:lineRule="exact"/>
              <w:jc w:val="center"/>
              <w:rPr>
                <w:rFonts w:ascii="宋体" w:hAnsi="宋体" w:cs="宋体"/>
                <w:color w:val="auto"/>
                <w:szCs w:val="21"/>
                <w:highlight w:val="none"/>
              </w:rPr>
            </w:pPr>
            <w:r>
              <w:rPr>
                <w:rFonts w:hint="eastAsia" w:ascii="宋体" w:hAnsi="宋体" w:cs="宋体"/>
                <w:color w:val="auto"/>
                <w:szCs w:val="21"/>
                <w:highlight w:val="none"/>
              </w:rPr>
              <w:t>2</w:t>
            </w:r>
          </w:p>
        </w:tc>
        <w:tc>
          <w:tcPr>
            <w:tcW w:w="5300" w:type="dxa"/>
            <w:vAlign w:val="center"/>
          </w:tcPr>
          <w:p w14:paraId="15A1E844">
            <w:pPr>
              <w:adjustRightInd/>
              <w:snapToGrid/>
              <w:spacing w:line="360" w:lineRule="exact"/>
              <w:rPr>
                <w:rFonts w:ascii="宋体" w:hAnsi="宋体" w:cs="宋体"/>
                <w:color w:val="auto"/>
                <w:szCs w:val="21"/>
                <w:highlight w:val="none"/>
              </w:rPr>
            </w:pPr>
            <w:r>
              <w:rPr>
                <w:rFonts w:hint="eastAsia" w:ascii="宋体" w:hAnsi="宋体" w:cs="宋体"/>
                <w:color w:val="auto"/>
                <w:szCs w:val="21"/>
                <w:highlight w:val="none"/>
              </w:rPr>
              <w:t>维修零部件、配件等材料不满足国家或部颁标准和行业标准以及汽车维修相关标准，或使用假冒伪劣产品或以次充好，发现一次扣5分；</w:t>
            </w:r>
          </w:p>
        </w:tc>
        <w:tc>
          <w:tcPr>
            <w:tcW w:w="700" w:type="dxa"/>
            <w:vAlign w:val="center"/>
          </w:tcPr>
          <w:p w14:paraId="35D47803">
            <w:pPr>
              <w:adjustRightInd/>
              <w:snapToGrid/>
              <w:spacing w:line="360" w:lineRule="exact"/>
              <w:jc w:val="center"/>
              <w:rPr>
                <w:rFonts w:ascii="宋体" w:hAnsi="宋体" w:cs="宋体"/>
                <w:color w:val="auto"/>
                <w:szCs w:val="21"/>
                <w:highlight w:val="none"/>
              </w:rPr>
            </w:pPr>
            <w:r>
              <w:rPr>
                <w:rFonts w:hint="eastAsia" w:ascii="宋体" w:hAnsi="宋体" w:cs="宋体"/>
                <w:color w:val="auto"/>
                <w:szCs w:val="21"/>
                <w:highlight w:val="none"/>
              </w:rPr>
              <w:t>15</w:t>
            </w:r>
          </w:p>
        </w:tc>
        <w:tc>
          <w:tcPr>
            <w:tcW w:w="662" w:type="dxa"/>
            <w:vAlign w:val="center"/>
          </w:tcPr>
          <w:p w14:paraId="4D49EDDB">
            <w:pPr>
              <w:adjustRightInd/>
              <w:snapToGrid/>
              <w:spacing w:line="360" w:lineRule="exact"/>
              <w:jc w:val="center"/>
              <w:rPr>
                <w:rFonts w:ascii="宋体" w:hAnsi="宋体" w:cs="宋体"/>
                <w:color w:val="auto"/>
                <w:szCs w:val="21"/>
                <w:highlight w:val="none"/>
              </w:rPr>
            </w:pPr>
          </w:p>
        </w:tc>
        <w:tc>
          <w:tcPr>
            <w:tcW w:w="965" w:type="dxa"/>
            <w:vAlign w:val="center"/>
          </w:tcPr>
          <w:p w14:paraId="2FE304E5">
            <w:pPr>
              <w:adjustRightInd/>
              <w:snapToGrid/>
              <w:spacing w:line="360" w:lineRule="exact"/>
              <w:jc w:val="center"/>
              <w:rPr>
                <w:rFonts w:ascii="宋体" w:hAnsi="宋体" w:cs="宋体"/>
                <w:color w:val="auto"/>
                <w:szCs w:val="21"/>
                <w:highlight w:val="none"/>
              </w:rPr>
            </w:pPr>
          </w:p>
        </w:tc>
      </w:tr>
      <w:tr w14:paraId="68F99F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95" w:type="dxa"/>
            <w:vAlign w:val="center"/>
          </w:tcPr>
          <w:p w14:paraId="04265ADF">
            <w:pPr>
              <w:adjustRightInd/>
              <w:snapToGrid/>
              <w:spacing w:line="360" w:lineRule="exact"/>
              <w:jc w:val="center"/>
              <w:rPr>
                <w:rFonts w:ascii="宋体" w:hAnsi="宋体" w:cs="宋体"/>
                <w:color w:val="auto"/>
                <w:szCs w:val="21"/>
                <w:highlight w:val="none"/>
              </w:rPr>
            </w:pPr>
            <w:r>
              <w:rPr>
                <w:rFonts w:hint="eastAsia" w:ascii="宋体" w:hAnsi="宋体" w:cs="宋体"/>
                <w:color w:val="auto"/>
                <w:szCs w:val="21"/>
                <w:highlight w:val="none"/>
              </w:rPr>
              <w:t>3</w:t>
            </w:r>
          </w:p>
        </w:tc>
        <w:tc>
          <w:tcPr>
            <w:tcW w:w="5300" w:type="dxa"/>
            <w:vAlign w:val="center"/>
          </w:tcPr>
          <w:p w14:paraId="421C7B09">
            <w:pPr>
              <w:adjustRightInd/>
              <w:snapToGrid/>
              <w:spacing w:line="360" w:lineRule="exact"/>
              <w:rPr>
                <w:rFonts w:ascii="宋体" w:hAnsi="宋体" w:cs="宋体"/>
                <w:color w:val="auto"/>
                <w:szCs w:val="21"/>
                <w:highlight w:val="none"/>
              </w:rPr>
            </w:pPr>
            <w:r>
              <w:rPr>
                <w:rFonts w:hint="eastAsia" w:ascii="宋体" w:hAnsi="宋体" w:cs="宋体"/>
                <w:color w:val="auto"/>
                <w:szCs w:val="21"/>
                <w:highlight w:val="none"/>
              </w:rPr>
              <w:t>服务单位月度返修率超过3%，扣5分；</w:t>
            </w:r>
          </w:p>
        </w:tc>
        <w:tc>
          <w:tcPr>
            <w:tcW w:w="700" w:type="dxa"/>
            <w:vAlign w:val="center"/>
          </w:tcPr>
          <w:p w14:paraId="3AEF0F96">
            <w:pPr>
              <w:adjustRightInd/>
              <w:snapToGrid/>
              <w:spacing w:line="360" w:lineRule="exact"/>
              <w:jc w:val="center"/>
              <w:rPr>
                <w:rFonts w:ascii="宋体" w:hAnsi="宋体" w:cs="宋体"/>
                <w:color w:val="auto"/>
                <w:szCs w:val="21"/>
                <w:highlight w:val="none"/>
              </w:rPr>
            </w:pPr>
            <w:r>
              <w:rPr>
                <w:rFonts w:hint="eastAsia" w:ascii="宋体" w:hAnsi="宋体" w:cs="宋体"/>
                <w:color w:val="auto"/>
                <w:szCs w:val="21"/>
                <w:highlight w:val="none"/>
              </w:rPr>
              <w:t>5</w:t>
            </w:r>
          </w:p>
        </w:tc>
        <w:tc>
          <w:tcPr>
            <w:tcW w:w="662" w:type="dxa"/>
            <w:vAlign w:val="center"/>
          </w:tcPr>
          <w:p w14:paraId="6D104253">
            <w:pPr>
              <w:adjustRightInd/>
              <w:snapToGrid/>
              <w:spacing w:line="360" w:lineRule="exact"/>
              <w:jc w:val="center"/>
              <w:rPr>
                <w:rFonts w:ascii="宋体" w:hAnsi="宋体" w:cs="宋体"/>
                <w:color w:val="auto"/>
                <w:szCs w:val="21"/>
                <w:highlight w:val="none"/>
              </w:rPr>
            </w:pPr>
          </w:p>
        </w:tc>
        <w:tc>
          <w:tcPr>
            <w:tcW w:w="965" w:type="dxa"/>
            <w:vAlign w:val="center"/>
          </w:tcPr>
          <w:p w14:paraId="0E7A815B">
            <w:pPr>
              <w:adjustRightInd/>
              <w:snapToGrid/>
              <w:spacing w:line="360" w:lineRule="exact"/>
              <w:jc w:val="center"/>
              <w:rPr>
                <w:rFonts w:ascii="宋体" w:hAnsi="宋体" w:cs="宋体"/>
                <w:color w:val="auto"/>
                <w:szCs w:val="21"/>
                <w:highlight w:val="none"/>
              </w:rPr>
            </w:pPr>
          </w:p>
        </w:tc>
      </w:tr>
      <w:tr w14:paraId="307484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95" w:type="dxa"/>
            <w:vAlign w:val="center"/>
          </w:tcPr>
          <w:p w14:paraId="4D472A9C">
            <w:pPr>
              <w:adjustRightInd/>
              <w:snapToGrid/>
              <w:spacing w:line="360" w:lineRule="exact"/>
              <w:jc w:val="center"/>
              <w:rPr>
                <w:rFonts w:ascii="宋体" w:hAnsi="宋体" w:cs="宋体"/>
                <w:color w:val="auto"/>
                <w:szCs w:val="21"/>
                <w:highlight w:val="none"/>
              </w:rPr>
            </w:pPr>
            <w:r>
              <w:rPr>
                <w:rFonts w:hint="eastAsia" w:ascii="宋体" w:hAnsi="宋体" w:cs="宋体"/>
                <w:color w:val="auto"/>
                <w:szCs w:val="21"/>
                <w:highlight w:val="none"/>
              </w:rPr>
              <w:t>4</w:t>
            </w:r>
          </w:p>
        </w:tc>
        <w:tc>
          <w:tcPr>
            <w:tcW w:w="5300" w:type="dxa"/>
            <w:vAlign w:val="center"/>
          </w:tcPr>
          <w:p w14:paraId="4FAC7AF4">
            <w:pPr>
              <w:adjustRightInd/>
              <w:snapToGrid/>
              <w:spacing w:line="360" w:lineRule="exact"/>
              <w:rPr>
                <w:rFonts w:ascii="宋体" w:hAnsi="宋体" w:cs="宋体"/>
                <w:color w:val="auto"/>
                <w:szCs w:val="21"/>
                <w:highlight w:val="none"/>
              </w:rPr>
            </w:pPr>
            <w:r>
              <w:rPr>
                <w:rFonts w:hint="eastAsia" w:ascii="宋体" w:hAnsi="宋体" w:cs="宋体"/>
                <w:color w:val="auto"/>
                <w:szCs w:val="21"/>
                <w:highlight w:val="none"/>
              </w:rPr>
              <w:t>服务单位未按要求建立汽车维修档案，记录车辆维修情况，每次扣2分；</w:t>
            </w:r>
          </w:p>
        </w:tc>
        <w:tc>
          <w:tcPr>
            <w:tcW w:w="700" w:type="dxa"/>
            <w:vAlign w:val="center"/>
          </w:tcPr>
          <w:p w14:paraId="23F9353D">
            <w:pPr>
              <w:adjustRightInd/>
              <w:snapToGrid/>
              <w:spacing w:line="360" w:lineRule="exact"/>
              <w:jc w:val="center"/>
              <w:rPr>
                <w:rFonts w:ascii="宋体" w:hAnsi="宋体" w:cs="宋体"/>
                <w:color w:val="auto"/>
                <w:szCs w:val="21"/>
                <w:highlight w:val="none"/>
              </w:rPr>
            </w:pPr>
            <w:r>
              <w:rPr>
                <w:rFonts w:hint="eastAsia" w:ascii="宋体" w:hAnsi="宋体" w:cs="宋体"/>
                <w:color w:val="auto"/>
                <w:szCs w:val="21"/>
                <w:highlight w:val="none"/>
              </w:rPr>
              <w:t>4</w:t>
            </w:r>
          </w:p>
        </w:tc>
        <w:tc>
          <w:tcPr>
            <w:tcW w:w="662" w:type="dxa"/>
            <w:vAlign w:val="center"/>
          </w:tcPr>
          <w:p w14:paraId="2B15FDCD">
            <w:pPr>
              <w:adjustRightInd/>
              <w:snapToGrid/>
              <w:spacing w:line="360" w:lineRule="exact"/>
              <w:jc w:val="center"/>
              <w:rPr>
                <w:rFonts w:ascii="宋体" w:hAnsi="宋体" w:cs="宋体"/>
                <w:color w:val="auto"/>
                <w:szCs w:val="21"/>
                <w:highlight w:val="none"/>
              </w:rPr>
            </w:pPr>
          </w:p>
        </w:tc>
        <w:tc>
          <w:tcPr>
            <w:tcW w:w="965" w:type="dxa"/>
            <w:vAlign w:val="center"/>
          </w:tcPr>
          <w:p w14:paraId="12C21813">
            <w:pPr>
              <w:adjustRightInd/>
              <w:snapToGrid/>
              <w:spacing w:line="360" w:lineRule="exact"/>
              <w:jc w:val="center"/>
              <w:rPr>
                <w:rFonts w:ascii="宋体" w:hAnsi="宋体" w:cs="宋体"/>
                <w:color w:val="auto"/>
                <w:szCs w:val="21"/>
                <w:highlight w:val="none"/>
              </w:rPr>
            </w:pPr>
          </w:p>
        </w:tc>
      </w:tr>
      <w:tr w14:paraId="6EF622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95" w:type="dxa"/>
            <w:vAlign w:val="center"/>
          </w:tcPr>
          <w:p w14:paraId="0E3B3C90">
            <w:pPr>
              <w:adjustRightInd/>
              <w:snapToGrid/>
              <w:spacing w:line="360" w:lineRule="exact"/>
              <w:jc w:val="center"/>
              <w:rPr>
                <w:rFonts w:ascii="宋体" w:hAnsi="宋体" w:cs="宋体"/>
                <w:color w:val="auto"/>
                <w:szCs w:val="21"/>
                <w:highlight w:val="none"/>
              </w:rPr>
            </w:pPr>
            <w:r>
              <w:rPr>
                <w:rFonts w:hint="eastAsia" w:ascii="宋体" w:hAnsi="宋体" w:cs="宋体"/>
                <w:color w:val="auto"/>
                <w:szCs w:val="21"/>
                <w:highlight w:val="none"/>
              </w:rPr>
              <w:t>5</w:t>
            </w:r>
          </w:p>
        </w:tc>
        <w:tc>
          <w:tcPr>
            <w:tcW w:w="5300" w:type="dxa"/>
            <w:vAlign w:val="center"/>
          </w:tcPr>
          <w:p w14:paraId="3D788D3D">
            <w:pPr>
              <w:adjustRightInd/>
              <w:snapToGrid/>
              <w:spacing w:line="360" w:lineRule="exact"/>
              <w:rPr>
                <w:rFonts w:ascii="宋体" w:hAnsi="宋体" w:cs="宋体"/>
                <w:color w:val="auto"/>
                <w:szCs w:val="21"/>
                <w:highlight w:val="none"/>
              </w:rPr>
            </w:pPr>
            <w:r>
              <w:rPr>
                <w:rFonts w:hint="eastAsia" w:ascii="宋体" w:hAnsi="宋体" w:cs="宋体"/>
                <w:color w:val="auto"/>
                <w:szCs w:val="21"/>
                <w:highlight w:val="none"/>
              </w:rPr>
              <w:t>服务单位未能按</w:t>
            </w:r>
            <w:r>
              <w:rPr>
                <w:rFonts w:hint="eastAsia" w:ascii="宋体" w:hAnsi="宋体" w:cs="宋体"/>
                <w:color w:val="auto"/>
                <w:szCs w:val="21"/>
                <w:highlight w:val="none"/>
                <w:lang w:val="en-US" w:eastAsia="zh-CN"/>
              </w:rPr>
              <w:t>2</w:t>
            </w:r>
            <w:r>
              <w:rPr>
                <w:rFonts w:hint="eastAsia" w:ascii="宋体" w:hAnsi="宋体" w:cs="宋体"/>
                <w:color w:val="auto"/>
                <w:szCs w:val="21"/>
                <w:highlight w:val="none"/>
              </w:rPr>
              <w:t>个小时要求及时赶到现场提供救援服务或无法按实提供24小时拖车服务，每次扣3分</w:t>
            </w:r>
          </w:p>
        </w:tc>
        <w:tc>
          <w:tcPr>
            <w:tcW w:w="700" w:type="dxa"/>
            <w:vAlign w:val="center"/>
          </w:tcPr>
          <w:p w14:paraId="798A5C72">
            <w:pPr>
              <w:adjustRightInd/>
              <w:snapToGrid/>
              <w:spacing w:line="360" w:lineRule="exact"/>
              <w:jc w:val="center"/>
              <w:rPr>
                <w:rFonts w:ascii="宋体" w:hAnsi="宋体" w:cs="宋体"/>
                <w:color w:val="auto"/>
                <w:szCs w:val="21"/>
                <w:highlight w:val="none"/>
              </w:rPr>
            </w:pPr>
            <w:r>
              <w:rPr>
                <w:rFonts w:hint="eastAsia" w:ascii="宋体" w:hAnsi="宋体" w:cs="宋体"/>
                <w:color w:val="auto"/>
                <w:szCs w:val="21"/>
                <w:highlight w:val="none"/>
              </w:rPr>
              <w:t>6</w:t>
            </w:r>
          </w:p>
        </w:tc>
        <w:tc>
          <w:tcPr>
            <w:tcW w:w="662" w:type="dxa"/>
            <w:vAlign w:val="center"/>
          </w:tcPr>
          <w:p w14:paraId="52D3DA62">
            <w:pPr>
              <w:adjustRightInd/>
              <w:snapToGrid/>
              <w:spacing w:line="360" w:lineRule="exact"/>
              <w:jc w:val="center"/>
              <w:rPr>
                <w:rFonts w:ascii="宋体" w:hAnsi="宋体" w:cs="宋体"/>
                <w:color w:val="auto"/>
                <w:szCs w:val="21"/>
                <w:highlight w:val="none"/>
              </w:rPr>
            </w:pPr>
          </w:p>
        </w:tc>
        <w:tc>
          <w:tcPr>
            <w:tcW w:w="965" w:type="dxa"/>
            <w:vAlign w:val="center"/>
          </w:tcPr>
          <w:p w14:paraId="4F5B0445">
            <w:pPr>
              <w:adjustRightInd/>
              <w:snapToGrid/>
              <w:spacing w:line="360" w:lineRule="exact"/>
              <w:jc w:val="center"/>
              <w:rPr>
                <w:rFonts w:ascii="宋体" w:hAnsi="宋体" w:cs="宋体"/>
                <w:color w:val="auto"/>
                <w:szCs w:val="21"/>
                <w:highlight w:val="none"/>
              </w:rPr>
            </w:pPr>
          </w:p>
        </w:tc>
      </w:tr>
      <w:tr w14:paraId="38D92E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95" w:type="dxa"/>
            <w:vAlign w:val="center"/>
          </w:tcPr>
          <w:p w14:paraId="2BCA77FA">
            <w:pPr>
              <w:adjustRightInd/>
              <w:snapToGrid/>
              <w:spacing w:line="360" w:lineRule="exact"/>
              <w:jc w:val="center"/>
              <w:rPr>
                <w:rFonts w:ascii="宋体" w:hAnsi="宋体" w:cs="宋体"/>
                <w:color w:val="auto"/>
                <w:szCs w:val="21"/>
                <w:highlight w:val="none"/>
              </w:rPr>
            </w:pPr>
            <w:r>
              <w:rPr>
                <w:rFonts w:hint="eastAsia" w:ascii="宋体" w:hAnsi="宋体" w:cs="宋体"/>
                <w:color w:val="auto"/>
                <w:szCs w:val="21"/>
                <w:highlight w:val="none"/>
              </w:rPr>
              <w:t>6</w:t>
            </w:r>
          </w:p>
        </w:tc>
        <w:tc>
          <w:tcPr>
            <w:tcW w:w="5300" w:type="dxa"/>
            <w:vAlign w:val="center"/>
          </w:tcPr>
          <w:p w14:paraId="6EB401DE">
            <w:pPr>
              <w:adjustRightInd/>
              <w:snapToGrid/>
              <w:spacing w:line="360" w:lineRule="exact"/>
              <w:rPr>
                <w:rFonts w:ascii="宋体" w:hAnsi="宋体" w:cs="宋体"/>
                <w:color w:val="auto"/>
                <w:szCs w:val="21"/>
                <w:highlight w:val="none"/>
              </w:rPr>
            </w:pPr>
            <w:r>
              <w:rPr>
                <w:rFonts w:hint="eastAsia" w:ascii="宋体" w:hAnsi="宋体" w:cs="宋体"/>
                <w:color w:val="auto"/>
                <w:szCs w:val="21"/>
                <w:highlight w:val="none"/>
              </w:rPr>
              <w:t>未经采购人同意延长维修时长情况下，小修类维修保养未能在规定时间内（紧急情况24小时、一般情况3天）完成或经双方确认为大修类维修保养未能在5天内完成，每次扣5分；</w:t>
            </w:r>
          </w:p>
        </w:tc>
        <w:tc>
          <w:tcPr>
            <w:tcW w:w="700" w:type="dxa"/>
            <w:vAlign w:val="center"/>
          </w:tcPr>
          <w:p w14:paraId="2EE95D87">
            <w:pPr>
              <w:adjustRightInd/>
              <w:snapToGrid/>
              <w:spacing w:line="360" w:lineRule="exact"/>
              <w:jc w:val="center"/>
              <w:rPr>
                <w:rFonts w:ascii="宋体" w:hAnsi="宋体" w:cs="宋体"/>
                <w:color w:val="auto"/>
                <w:szCs w:val="21"/>
                <w:highlight w:val="none"/>
              </w:rPr>
            </w:pPr>
            <w:r>
              <w:rPr>
                <w:rFonts w:hint="eastAsia" w:ascii="宋体" w:hAnsi="宋体" w:cs="宋体"/>
                <w:color w:val="auto"/>
                <w:szCs w:val="21"/>
                <w:highlight w:val="none"/>
              </w:rPr>
              <w:t>20</w:t>
            </w:r>
          </w:p>
        </w:tc>
        <w:tc>
          <w:tcPr>
            <w:tcW w:w="662" w:type="dxa"/>
            <w:vAlign w:val="center"/>
          </w:tcPr>
          <w:p w14:paraId="6FBD0323">
            <w:pPr>
              <w:adjustRightInd/>
              <w:snapToGrid/>
              <w:spacing w:line="360" w:lineRule="exact"/>
              <w:jc w:val="center"/>
              <w:rPr>
                <w:rFonts w:ascii="宋体" w:hAnsi="宋体" w:cs="宋体"/>
                <w:color w:val="auto"/>
                <w:szCs w:val="21"/>
                <w:highlight w:val="none"/>
              </w:rPr>
            </w:pPr>
          </w:p>
        </w:tc>
        <w:tc>
          <w:tcPr>
            <w:tcW w:w="965" w:type="dxa"/>
            <w:vAlign w:val="center"/>
          </w:tcPr>
          <w:p w14:paraId="5E692DA5">
            <w:pPr>
              <w:adjustRightInd/>
              <w:snapToGrid/>
              <w:spacing w:line="360" w:lineRule="exact"/>
              <w:jc w:val="center"/>
              <w:rPr>
                <w:rFonts w:ascii="宋体" w:hAnsi="宋体" w:cs="宋体"/>
                <w:color w:val="auto"/>
                <w:szCs w:val="21"/>
                <w:highlight w:val="none"/>
              </w:rPr>
            </w:pPr>
          </w:p>
        </w:tc>
      </w:tr>
      <w:tr w14:paraId="7D40DC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95" w:type="dxa"/>
            <w:vAlign w:val="center"/>
          </w:tcPr>
          <w:p w14:paraId="0325D2B1">
            <w:pPr>
              <w:adjustRightInd/>
              <w:snapToGrid/>
              <w:spacing w:line="360" w:lineRule="exact"/>
              <w:jc w:val="center"/>
              <w:rPr>
                <w:rFonts w:ascii="宋体" w:hAnsi="宋体" w:cs="宋体"/>
                <w:color w:val="auto"/>
                <w:szCs w:val="21"/>
                <w:highlight w:val="none"/>
              </w:rPr>
            </w:pPr>
            <w:r>
              <w:rPr>
                <w:rFonts w:hint="eastAsia" w:ascii="宋体" w:hAnsi="宋体" w:cs="宋体"/>
                <w:color w:val="auto"/>
                <w:szCs w:val="21"/>
                <w:highlight w:val="none"/>
              </w:rPr>
              <w:t>7</w:t>
            </w:r>
          </w:p>
        </w:tc>
        <w:tc>
          <w:tcPr>
            <w:tcW w:w="5300" w:type="dxa"/>
            <w:vAlign w:val="center"/>
          </w:tcPr>
          <w:p w14:paraId="6117D0E2">
            <w:pPr>
              <w:adjustRightInd/>
              <w:snapToGrid/>
              <w:spacing w:line="360" w:lineRule="exact"/>
              <w:rPr>
                <w:rFonts w:ascii="宋体" w:hAnsi="宋体" w:cs="宋体"/>
                <w:color w:val="auto"/>
                <w:szCs w:val="21"/>
                <w:highlight w:val="none"/>
              </w:rPr>
            </w:pPr>
            <w:r>
              <w:rPr>
                <w:rFonts w:hint="eastAsia" w:ascii="宋体" w:hAnsi="宋体" w:cs="宋体"/>
                <w:color w:val="auto"/>
                <w:szCs w:val="21"/>
                <w:highlight w:val="none"/>
              </w:rPr>
              <w:t>服务单位响应时间超过2小时或拒绝派单的，每次扣5分；</w:t>
            </w:r>
          </w:p>
        </w:tc>
        <w:tc>
          <w:tcPr>
            <w:tcW w:w="700" w:type="dxa"/>
            <w:vAlign w:val="center"/>
          </w:tcPr>
          <w:p w14:paraId="65C1DD9C">
            <w:pPr>
              <w:adjustRightInd/>
              <w:snapToGrid/>
              <w:spacing w:line="360" w:lineRule="exact"/>
              <w:jc w:val="center"/>
              <w:rPr>
                <w:rFonts w:ascii="宋体" w:hAnsi="宋体" w:cs="宋体"/>
                <w:color w:val="auto"/>
                <w:szCs w:val="21"/>
                <w:highlight w:val="none"/>
              </w:rPr>
            </w:pPr>
            <w:r>
              <w:rPr>
                <w:rFonts w:hint="eastAsia" w:ascii="宋体" w:hAnsi="宋体" w:cs="宋体"/>
                <w:color w:val="auto"/>
                <w:szCs w:val="21"/>
                <w:highlight w:val="none"/>
              </w:rPr>
              <w:t>10</w:t>
            </w:r>
          </w:p>
        </w:tc>
        <w:tc>
          <w:tcPr>
            <w:tcW w:w="662" w:type="dxa"/>
            <w:vAlign w:val="center"/>
          </w:tcPr>
          <w:p w14:paraId="470B63B7">
            <w:pPr>
              <w:adjustRightInd/>
              <w:snapToGrid/>
              <w:spacing w:line="360" w:lineRule="exact"/>
              <w:jc w:val="center"/>
              <w:rPr>
                <w:rFonts w:ascii="宋体" w:hAnsi="宋体" w:cs="宋体"/>
                <w:color w:val="auto"/>
                <w:szCs w:val="21"/>
                <w:highlight w:val="none"/>
              </w:rPr>
            </w:pPr>
          </w:p>
        </w:tc>
        <w:tc>
          <w:tcPr>
            <w:tcW w:w="965" w:type="dxa"/>
            <w:vAlign w:val="center"/>
          </w:tcPr>
          <w:p w14:paraId="04BEAAFB">
            <w:pPr>
              <w:adjustRightInd/>
              <w:snapToGrid/>
              <w:spacing w:line="360" w:lineRule="exact"/>
              <w:jc w:val="center"/>
              <w:rPr>
                <w:rFonts w:ascii="宋体" w:hAnsi="宋体" w:cs="宋体"/>
                <w:color w:val="auto"/>
                <w:szCs w:val="21"/>
                <w:highlight w:val="none"/>
              </w:rPr>
            </w:pPr>
          </w:p>
        </w:tc>
      </w:tr>
      <w:tr w14:paraId="427843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95" w:type="dxa"/>
            <w:vAlign w:val="center"/>
          </w:tcPr>
          <w:p w14:paraId="189DA4A5">
            <w:pPr>
              <w:adjustRightInd/>
              <w:snapToGrid/>
              <w:spacing w:line="360" w:lineRule="exact"/>
              <w:jc w:val="center"/>
              <w:rPr>
                <w:rFonts w:ascii="宋体" w:hAnsi="宋体" w:cs="宋体"/>
                <w:color w:val="auto"/>
                <w:szCs w:val="21"/>
                <w:highlight w:val="none"/>
              </w:rPr>
            </w:pPr>
            <w:r>
              <w:rPr>
                <w:rFonts w:hint="eastAsia" w:ascii="宋体" w:hAnsi="宋体" w:cs="宋体"/>
                <w:color w:val="auto"/>
                <w:szCs w:val="21"/>
                <w:highlight w:val="none"/>
              </w:rPr>
              <w:t>8</w:t>
            </w:r>
          </w:p>
        </w:tc>
        <w:tc>
          <w:tcPr>
            <w:tcW w:w="5300" w:type="dxa"/>
            <w:vAlign w:val="center"/>
          </w:tcPr>
          <w:p w14:paraId="1883E5CC">
            <w:pPr>
              <w:adjustRightInd/>
              <w:snapToGrid/>
              <w:spacing w:line="360" w:lineRule="exact"/>
              <w:rPr>
                <w:rFonts w:ascii="宋体" w:hAnsi="宋体" w:cs="宋体"/>
                <w:color w:val="auto"/>
                <w:szCs w:val="21"/>
                <w:highlight w:val="none"/>
              </w:rPr>
            </w:pPr>
            <w:r>
              <w:rPr>
                <w:rFonts w:hint="eastAsia" w:ascii="宋体" w:hAnsi="宋体" w:cs="宋体"/>
                <w:color w:val="auto"/>
                <w:szCs w:val="21"/>
                <w:highlight w:val="none"/>
              </w:rPr>
              <w:t>发现服务单位与采购</w:t>
            </w:r>
            <w:r>
              <w:rPr>
                <w:rFonts w:hint="eastAsia" w:ascii="宋体" w:hAnsi="宋体" w:cs="宋体"/>
                <w:color w:val="auto"/>
                <w:szCs w:val="21"/>
                <w:highlight w:val="none"/>
                <w:lang w:val="en-US" w:eastAsia="zh-CN"/>
              </w:rPr>
              <w:t>人</w:t>
            </w:r>
            <w:r>
              <w:rPr>
                <w:rFonts w:hint="eastAsia" w:ascii="宋体" w:hAnsi="宋体" w:cs="宋体"/>
                <w:color w:val="auto"/>
                <w:szCs w:val="21"/>
                <w:highlight w:val="none"/>
              </w:rPr>
              <w:t>人员存在勾结、回扣、虚报车辆损坏情况等情形，经认定每次扣5分；</w:t>
            </w:r>
          </w:p>
        </w:tc>
        <w:tc>
          <w:tcPr>
            <w:tcW w:w="700" w:type="dxa"/>
            <w:vAlign w:val="center"/>
          </w:tcPr>
          <w:p w14:paraId="1239EEFF">
            <w:pPr>
              <w:adjustRightInd/>
              <w:snapToGrid/>
              <w:spacing w:line="360" w:lineRule="exact"/>
              <w:jc w:val="center"/>
              <w:rPr>
                <w:rFonts w:ascii="宋体" w:hAnsi="宋体" w:cs="宋体"/>
                <w:color w:val="auto"/>
                <w:szCs w:val="21"/>
                <w:highlight w:val="none"/>
              </w:rPr>
            </w:pPr>
            <w:r>
              <w:rPr>
                <w:rFonts w:hint="eastAsia" w:ascii="宋体" w:hAnsi="宋体" w:cs="宋体"/>
                <w:color w:val="auto"/>
                <w:szCs w:val="21"/>
                <w:highlight w:val="none"/>
              </w:rPr>
              <w:t>20</w:t>
            </w:r>
          </w:p>
        </w:tc>
        <w:tc>
          <w:tcPr>
            <w:tcW w:w="662" w:type="dxa"/>
            <w:vAlign w:val="center"/>
          </w:tcPr>
          <w:p w14:paraId="5E35EF5E">
            <w:pPr>
              <w:adjustRightInd/>
              <w:snapToGrid/>
              <w:spacing w:line="360" w:lineRule="exact"/>
              <w:jc w:val="center"/>
              <w:rPr>
                <w:rFonts w:ascii="宋体" w:hAnsi="宋体" w:cs="宋体"/>
                <w:color w:val="auto"/>
                <w:szCs w:val="21"/>
                <w:highlight w:val="none"/>
              </w:rPr>
            </w:pPr>
          </w:p>
        </w:tc>
        <w:tc>
          <w:tcPr>
            <w:tcW w:w="965" w:type="dxa"/>
            <w:vAlign w:val="center"/>
          </w:tcPr>
          <w:p w14:paraId="43A2A43C">
            <w:pPr>
              <w:adjustRightInd/>
              <w:snapToGrid/>
              <w:spacing w:line="360" w:lineRule="exact"/>
              <w:jc w:val="center"/>
              <w:rPr>
                <w:rFonts w:ascii="宋体" w:hAnsi="宋体" w:cs="宋体"/>
                <w:color w:val="auto"/>
                <w:szCs w:val="21"/>
                <w:highlight w:val="none"/>
              </w:rPr>
            </w:pPr>
          </w:p>
        </w:tc>
      </w:tr>
      <w:tr w14:paraId="68F9D6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95" w:type="dxa"/>
            <w:vAlign w:val="center"/>
          </w:tcPr>
          <w:p w14:paraId="72798CA2">
            <w:pPr>
              <w:adjustRightInd/>
              <w:snapToGrid/>
              <w:spacing w:line="360" w:lineRule="exact"/>
              <w:jc w:val="center"/>
              <w:rPr>
                <w:rFonts w:ascii="宋体" w:hAnsi="宋体" w:cs="宋体"/>
                <w:color w:val="auto"/>
                <w:szCs w:val="21"/>
                <w:highlight w:val="none"/>
              </w:rPr>
            </w:pPr>
            <w:r>
              <w:rPr>
                <w:rFonts w:hint="eastAsia" w:ascii="宋体" w:hAnsi="宋体" w:cs="宋体"/>
                <w:color w:val="auto"/>
                <w:szCs w:val="21"/>
                <w:highlight w:val="none"/>
              </w:rPr>
              <w:t>9</w:t>
            </w:r>
          </w:p>
        </w:tc>
        <w:tc>
          <w:tcPr>
            <w:tcW w:w="5300" w:type="dxa"/>
            <w:vAlign w:val="center"/>
          </w:tcPr>
          <w:p w14:paraId="50B57C5A">
            <w:pPr>
              <w:adjustRightInd/>
              <w:snapToGrid/>
              <w:spacing w:line="360" w:lineRule="exact"/>
              <w:rPr>
                <w:rFonts w:ascii="宋体" w:hAnsi="宋体" w:cs="宋体"/>
                <w:color w:val="auto"/>
                <w:szCs w:val="21"/>
                <w:highlight w:val="none"/>
              </w:rPr>
            </w:pPr>
            <w:r>
              <w:rPr>
                <w:rFonts w:hint="eastAsia" w:ascii="宋体" w:hAnsi="宋体" w:cs="宋体"/>
                <w:color w:val="auto"/>
                <w:szCs w:val="21"/>
                <w:highlight w:val="none"/>
              </w:rPr>
              <w:t>发现服务单位未履行保密义务，存在车辆维修信息披露的情形，每次扣5分</w:t>
            </w:r>
          </w:p>
        </w:tc>
        <w:tc>
          <w:tcPr>
            <w:tcW w:w="700" w:type="dxa"/>
            <w:vAlign w:val="center"/>
          </w:tcPr>
          <w:p w14:paraId="4BB13F81">
            <w:pPr>
              <w:adjustRightInd/>
              <w:snapToGrid/>
              <w:spacing w:line="360" w:lineRule="exact"/>
              <w:jc w:val="center"/>
              <w:rPr>
                <w:rFonts w:ascii="宋体" w:hAnsi="宋体" w:cs="宋体"/>
                <w:color w:val="auto"/>
                <w:szCs w:val="21"/>
                <w:highlight w:val="none"/>
              </w:rPr>
            </w:pPr>
            <w:r>
              <w:rPr>
                <w:rFonts w:hint="eastAsia" w:ascii="宋体" w:hAnsi="宋体" w:cs="宋体"/>
                <w:color w:val="auto"/>
                <w:szCs w:val="21"/>
                <w:highlight w:val="none"/>
              </w:rPr>
              <w:t>10</w:t>
            </w:r>
          </w:p>
        </w:tc>
        <w:tc>
          <w:tcPr>
            <w:tcW w:w="662" w:type="dxa"/>
            <w:vAlign w:val="center"/>
          </w:tcPr>
          <w:p w14:paraId="4C3D8ACC">
            <w:pPr>
              <w:adjustRightInd/>
              <w:snapToGrid/>
              <w:spacing w:line="360" w:lineRule="exact"/>
              <w:jc w:val="center"/>
              <w:rPr>
                <w:rFonts w:ascii="宋体" w:hAnsi="宋体" w:cs="宋体"/>
                <w:color w:val="auto"/>
                <w:szCs w:val="21"/>
                <w:highlight w:val="none"/>
              </w:rPr>
            </w:pPr>
          </w:p>
        </w:tc>
        <w:tc>
          <w:tcPr>
            <w:tcW w:w="965" w:type="dxa"/>
            <w:vAlign w:val="center"/>
          </w:tcPr>
          <w:p w14:paraId="32F42C86">
            <w:pPr>
              <w:adjustRightInd/>
              <w:snapToGrid/>
              <w:spacing w:line="360" w:lineRule="exact"/>
              <w:jc w:val="center"/>
              <w:rPr>
                <w:rFonts w:ascii="宋体" w:hAnsi="宋体" w:cs="宋体"/>
                <w:color w:val="auto"/>
                <w:szCs w:val="21"/>
                <w:highlight w:val="none"/>
              </w:rPr>
            </w:pPr>
          </w:p>
        </w:tc>
      </w:tr>
      <w:tr w14:paraId="7E8377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5" w:hRule="atLeast"/>
        </w:trPr>
        <w:tc>
          <w:tcPr>
            <w:tcW w:w="895" w:type="dxa"/>
            <w:vAlign w:val="center"/>
          </w:tcPr>
          <w:p w14:paraId="621154C2">
            <w:pPr>
              <w:adjustRightInd/>
              <w:snapToGrid/>
              <w:spacing w:line="360" w:lineRule="exact"/>
              <w:jc w:val="center"/>
              <w:rPr>
                <w:rFonts w:hint="eastAsia" w:ascii="宋体" w:hAnsi="宋体" w:eastAsia="宋体" w:cs="宋体"/>
                <w:color w:val="auto"/>
                <w:szCs w:val="21"/>
                <w:highlight w:val="none"/>
                <w:lang w:val="en-US" w:eastAsia="zh-CN"/>
              </w:rPr>
            </w:pPr>
            <w:r>
              <w:rPr>
                <w:rFonts w:hint="eastAsia" w:ascii="宋体" w:hAnsi="宋体" w:cs="宋体"/>
                <w:color w:val="auto"/>
                <w:szCs w:val="21"/>
                <w:highlight w:val="none"/>
                <w:lang w:val="en-US" w:eastAsia="zh-CN"/>
              </w:rPr>
              <w:t>合计</w:t>
            </w:r>
          </w:p>
        </w:tc>
        <w:tc>
          <w:tcPr>
            <w:tcW w:w="5300" w:type="dxa"/>
            <w:vAlign w:val="center"/>
          </w:tcPr>
          <w:p w14:paraId="6BF00BB3">
            <w:pPr>
              <w:adjustRightInd/>
              <w:snapToGrid/>
              <w:spacing w:line="360" w:lineRule="exact"/>
              <w:rPr>
                <w:rFonts w:hint="eastAsia" w:ascii="宋体" w:hAnsi="宋体" w:cs="宋体"/>
                <w:color w:val="auto"/>
                <w:szCs w:val="21"/>
                <w:highlight w:val="none"/>
              </w:rPr>
            </w:pPr>
          </w:p>
        </w:tc>
        <w:tc>
          <w:tcPr>
            <w:tcW w:w="700" w:type="dxa"/>
            <w:vAlign w:val="center"/>
          </w:tcPr>
          <w:p w14:paraId="556B66CF">
            <w:pPr>
              <w:adjustRightInd/>
              <w:snapToGrid/>
              <w:spacing w:line="360" w:lineRule="exact"/>
              <w:jc w:val="center"/>
              <w:rPr>
                <w:rFonts w:hint="eastAsia" w:ascii="宋体" w:hAnsi="宋体" w:cs="宋体"/>
                <w:color w:val="auto"/>
                <w:szCs w:val="21"/>
                <w:highlight w:val="none"/>
              </w:rPr>
            </w:pPr>
          </w:p>
        </w:tc>
        <w:tc>
          <w:tcPr>
            <w:tcW w:w="662" w:type="dxa"/>
            <w:vAlign w:val="center"/>
          </w:tcPr>
          <w:p w14:paraId="3E8BB0E6">
            <w:pPr>
              <w:adjustRightInd/>
              <w:snapToGrid/>
              <w:spacing w:line="360" w:lineRule="exact"/>
              <w:jc w:val="center"/>
              <w:rPr>
                <w:rFonts w:ascii="宋体" w:hAnsi="宋体" w:cs="宋体"/>
                <w:color w:val="auto"/>
                <w:szCs w:val="21"/>
                <w:highlight w:val="none"/>
              </w:rPr>
            </w:pPr>
          </w:p>
        </w:tc>
        <w:tc>
          <w:tcPr>
            <w:tcW w:w="965" w:type="dxa"/>
            <w:vAlign w:val="center"/>
          </w:tcPr>
          <w:p w14:paraId="3542FB21">
            <w:pPr>
              <w:adjustRightInd/>
              <w:snapToGrid/>
              <w:spacing w:line="360" w:lineRule="exact"/>
              <w:jc w:val="center"/>
              <w:rPr>
                <w:rFonts w:ascii="宋体" w:hAnsi="宋体" w:cs="宋体"/>
                <w:color w:val="auto"/>
                <w:szCs w:val="21"/>
                <w:highlight w:val="none"/>
              </w:rPr>
            </w:pPr>
          </w:p>
        </w:tc>
      </w:tr>
    </w:tbl>
    <w:p w14:paraId="1B4B2920">
      <w:pPr>
        <w:ind w:firstLine="0" w:firstLineChars="0"/>
        <w:rPr>
          <w:rFonts w:ascii="宋体" w:hAnsi="宋体" w:cs="宋体"/>
          <w:b/>
          <w:bCs/>
          <w:color w:val="auto"/>
          <w:szCs w:val="21"/>
          <w:highlight w:val="none"/>
        </w:rPr>
      </w:pPr>
    </w:p>
    <w:p w14:paraId="57CB6252">
      <w:pPr>
        <w:ind w:firstLine="0" w:firstLineChars="0"/>
        <w:rPr>
          <w:rFonts w:ascii="宋体" w:hAnsi="宋体" w:cs="宋体"/>
          <w:b/>
          <w:bCs/>
          <w:color w:val="auto"/>
          <w:szCs w:val="21"/>
          <w:highlight w:val="none"/>
        </w:rPr>
      </w:pPr>
      <w:r>
        <w:rPr>
          <w:rFonts w:hint="eastAsia" w:ascii="宋体" w:hAnsi="宋体" w:cs="宋体"/>
          <w:b/>
          <w:bCs/>
          <w:color w:val="auto"/>
          <w:szCs w:val="21"/>
          <w:highlight w:val="none"/>
        </w:rPr>
        <w:br w:type="page"/>
      </w:r>
    </w:p>
    <w:p w14:paraId="4F2FBC5D">
      <w:pPr>
        <w:ind w:firstLine="422" w:firstLineChars="200"/>
        <w:rPr>
          <w:rFonts w:ascii="宋体" w:hAnsi="宋体" w:cs="宋体"/>
          <w:b/>
          <w:bCs/>
          <w:color w:val="auto"/>
          <w:szCs w:val="21"/>
          <w:highlight w:val="none"/>
        </w:rPr>
      </w:pPr>
      <w:r>
        <w:rPr>
          <w:rFonts w:hint="eastAsia" w:ascii="宋体" w:hAnsi="宋体" w:cs="宋体"/>
          <w:b/>
          <w:bCs/>
          <w:color w:val="auto"/>
          <w:szCs w:val="21"/>
          <w:highlight w:val="none"/>
        </w:rPr>
        <w:t>附件3：《阳光合作协议》</w:t>
      </w:r>
    </w:p>
    <w:p w14:paraId="4935546D">
      <w:pPr>
        <w:rPr>
          <w:rFonts w:ascii="宋体" w:hAnsi="宋体" w:cs="Times New Roman"/>
          <w:b/>
          <w:color w:val="auto"/>
          <w:sz w:val="24"/>
          <w:highlight w:val="none"/>
        </w:rPr>
      </w:pPr>
    </w:p>
    <w:p w14:paraId="663BD8B3">
      <w:pPr>
        <w:jc w:val="center"/>
        <w:rPr>
          <w:b/>
          <w:bCs/>
          <w:color w:val="auto"/>
          <w:szCs w:val="21"/>
          <w:highlight w:val="none"/>
        </w:rPr>
      </w:pPr>
      <w:r>
        <w:rPr>
          <w:rFonts w:hint="eastAsia"/>
          <w:b/>
          <w:bCs/>
          <w:color w:val="auto"/>
          <w:szCs w:val="21"/>
          <w:highlight w:val="none"/>
        </w:rPr>
        <w:t>阳光合作协议</w:t>
      </w:r>
    </w:p>
    <w:p w14:paraId="2EE9018C">
      <w:pPr>
        <w:spacing w:before="180" w:beforeLines="50" w:after="180" w:afterLines="50"/>
        <w:ind w:firstLine="420" w:firstLineChars="200"/>
        <w:contextualSpacing/>
        <w:rPr>
          <w:rFonts w:ascii="宋体" w:hAnsi="宋体"/>
          <w:color w:val="auto"/>
          <w:szCs w:val="21"/>
          <w:highlight w:val="none"/>
        </w:rPr>
      </w:pPr>
    </w:p>
    <w:p w14:paraId="30F98E54">
      <w:pPr>
        <w:spacing w:before="180" w:beforeLines="50" w:after="180" w:afterLines="50"/>
        <w:ind w:firstLine="420" w:firstLineChars="200"/>
        <w:contextualSpacing/>
        <w:rPr>
          <w:rFonts w:ascii="宋体" w:hAnsi="宋体"/>
          <w:color w:val="auto"/>
          <w:szCs w:val="21"/>
          <w:highlight w:val="none"/>
        </w:rPr>
      </w:pPr>
      <w:r>
        <w:rPr>
          <w:rFonts w:hint="eastAsia" w:ascii="宋体" w:hAnsi="宋体"/>
          <w:color w:val="auto"/>
          <w:szCs w:val="21"/>
          <w:highlight w:val="none"/>
        </w:rPr>
        <w:t>甲方：</w:t>
      </w:r>
      <w:r>
        <w:rPr>
          <w:rFonts w:hint="eastAsia" w:ascii="宋体" w:hAnsi="宋体"/>
          <w:color w:val="auto"/>
          <w:szCs w:val="21"/>
          <w:highlight w:val="none"/>
          <w:u w:val="single"/>
        </w:rPr>
        <w:t xml:space="preserve">                                      </w:t>
      </w:r>
    </w:p>
    <w:p w14:paraId="795C2992">
      <w:pPr>
        <w:spacing w:before="180" w:beforeLines="50" w:after="180" w:afterLines="50"/>
        <w:ind w:firstLine="420" w:firstLineChars="200"/>
        <w:contextualSpacing/>
        <w:rPr>
          <w:rFonts w:ascii="宋体" w:hAnsi="宋体"/>
          <w:color w:val="auto"/>
          <w:szCs w:val="21"/>
          <w:highlight w:val="none"/>
        </w:rPr>
      </w:pPr>
      <w:r>
        <w:rPr>
          <w:rFonts w:hint="eastAsia" w:ascii="宋体" w:hAnsi="宋体"/>
          <w:color w:val="auto"/>
          <w:szCs w:val="21"/>
          <w:highlight w:val="none"/>
        </w:rPr>
        <w:t>乙方：</w:t>
      </w:r>
      <w:r>
        <w:rPr>
          <w:rFonts w:hint="eastAsia" w:ascii="宋体" w:hAnsi="宋体"/>
          <w:color w:val="auto"/>
          <w:szCs w:val="21"/>
          <w:highlight w:val="none"/>
          <w:u w:val="single"/>
        </w:rPr>
        <w:t xml:space="preserve">                                       </w:t>
      </w:r>
    </w:p>
    <w:p w14:paraId="12EF8479">
      <w:pPr>
        <w:spacing w:before="180" w:beforeLines="50" w:after="180" w:afterLines="50"/>
        <w:ind w:firstLine="420" w:firstLineChars="200"/>
        <w:contextualSpacing/>
        <w:rPr>
          <w:rFonts w:ascii="宋体" w:hAnsi="宋体"/>
          <w:color w:val="auto"/>
          <w:szCs w:val="21"/>
          <w:highlight w:val="none"/>
        </w:rPr>
      </w:pPr>
    </w:p>
    <w:p w14:paraId="6A7D1AAC">
      <w:pPr>
        <w:spacing w:before="180" w:beforeLines="50" w:after="180" w:afterLines="50"/>
        <w:ind w:firstLine="420" w:firstLineChars="200"/>
        <w:contextualSpacing/>
        <w:rPr>
          <w:rFonts w:ascii="宋体" w:hAnsi="宋体"/>
          <w:color w:val="auto"/>
          <w:szCs w:val="21"/>
          <w:highlight w:val="none"/>
        </w:rPr>
      </w:pPr>
      <w:r>
        <w:rPr>
          <w:rFonts w:hint="eastAsia" w:ascii="宋体" w:hAnsi="宋体"/>
          <w:color w:val="auto"/>
          <w:szCs w:val="21"/>
          <w:highlight w:val="none"/>
        </w:rPr>
        <w:t>甲乙双方于</w:t>
      </w:r>
      <w:r>
        <w:rPr>
          <w:rFonts w:hint="eastAsia" w:ascii="宋体" w:hAnsi="宋体"/>
          <w:color w:val="auto"/>
          <w:szCs w:val="21"/>
          <w:highlight w:val="none"/>
          <w:u w:val="single"/>
        </w:rPr>
        <w:t xml:space="preserve">      </w:t>
      </w:r>
      <w:r>
        <w:rPr>
          <w:rFonts w:hint="eastAsia" w:ascii="宋体" w:hAnsi="宋体"/>
          <w:color w:val="auto"/>
          <w:szCs w:val="21"/>
          <w:highlight w:val="none"/>
        </w:rPr>
        <w:t>年</w:t>
      </w:r>
      <w:r>
        <w:rPr>
          <w:rFonts w:hint="eastAsia" w:ascii="宋体" w:hAnsi="宋体"/>
          <w:color w:val="auto"/>
          <w:szCs w:val="21"/>
          <w:highlight w:val="none"/>
          <w:u w:val="single"/>
        </w:rPr>
        <w:t xml:space="preserve">      </w:t>
      </w:r>
      <w:r>
        <w:rPr>
          <w:rFonts w:hint="eastAsia" w:ascii="宋体" w:hAnsi="宋体"/>
          <w:color w:val="auto"/>
          <w:szCs w:val="21"/>
          <w:highlight w:val="none"/>
        </w:rPr>
        <w:t>月</w:t>
      </w:r>
      <w:r>
        <w:rPr>
          <w:rFonts w:hint="eastAsia" w:ascii="宋体" w:hAnsi="宋体"/>
          <w:color w:val="auto"/>
          <w:szCs w:val="21"/>
          <w:highlight w:val="none"/>
          <w:u w:val="single"/>
        </w:rPr>
        <w:t xml:space="preserve">      </w:t>
      </w:r>
      <w:r>
        <w:rPr>
          <w:rFonts w:hint="eastAsia" w:ascii="宋体" w:hAnsi="宋体"/>
          <w:color w:val="auto"/>
          <w:szCs w:val="21"/>
          <w:highlight w:val="none"/>
        </w:rPr>
        <w:t>日签署了《……合同》（以下简称原合同），为加强双方阳光合作，保证职员职业安全，甲乙双方经协商签订本协议并作为双方共同遵守的阳光合作行为准则。</w:t>
      </w:r>
    </w:p>
    <w:p w14:paraId="5ED72001">
      <w:pPr>
        <w:spacing w:before="180" w:beforeLines="50" w:after="180" w:afterLines="50"/>
        <w:ind w:firstLine="422" w:firstLineChars="200"/>
        <w:contextualSpacing/>
        <w:rPr>
          <w:rFonts w:ascii="宋体" w:hAnsi="宋体"/>
          <w:b/>
          <w:bCs/>
          <w:color w:val="auto"/>
          <w:szCs w:val="21"/>
          <w:highlight w:val="none"/>
        </w:rPr>
      </w:pPr>
      <w:r>
        <w:rPr>
          <w:rFonts w:hint="eastAsia" w:ascii="宋体" w:hAnsi="宋体"/>
          <w:b/>
          <w:bCs/>
          <w:color w:val="auto"/>
          <w:szCs w:val="21"/>
          <w:highlight w:val="none"/>
        </w:rPr>
        <w:t>一、甲方责任</w:t>
      </w:r>
    </w:p>
    <w:p w14:paraId="69453A8D">
      <w:pPr>
        <w:spacing w:before="180" w:beforeLines="50" w:after="180" w:afterLines="50"/>
        <w:ind w:firstLine="420" w:firstLineChars="200"/>
        <w:contextualSpacing/>
        <w:rPr>
          <w:rFonts w:ascii="宋体" w:hAnsi="宋体"/>
          <w:color w:val="auto"/>
          <w:szCs w:val="21"/>
          <w:highlight w:val="none"/>
        </w:rPr>
      </w:pPr>
      <w:r>
        <w:rPr>
          <w:rFonts w:hint="eastAsia" w:ascii="宋体" w:hAnsi="宋体"/>
          <w:color w:val="auto"/>
          <w:szCs w:val="21"/>
          <w:highlight w:val="none"/>
        </w:rPr>
        <w:t>1.甲方有责任向乙方介绍本单位有关采购管理通用原则和本协议的规定。</w:t>
      </w:r>
    </w:p>
    <w:p w14:paraId="40AA14A9">
      <w:pPr>
        <w:spacing w:before="180" w:beforeLines="50" w:after="180" w:afterLines="50"/>
        <w:ind w:firstLine="420" w:firstLineChars="200"/>
        <w:contextualSpacing/>
        <w:rPr>
          <w:rFonts w:ascii="宋体" w:hAnsi="宋体"/>
          <w:color w:val="auto"/>
          <w:szCs w:val="21"/>
          <w:highlight w:val="none"/>
        </w:rPr>
      </w:pPr>
      <w:r>
        <w:rPr>
          <w:rFonts w:hint="eastAsia" w:ascii="宋体" w:hAnsi="宋体"/>
          <w:color w:val="auto"/>
          <w:szCs w:val="21"/>
          <w:highlight w:val="none"/>
        </w:rPr>
        <w:t>2.甲方有责任对本单位相关人员进行阳光合作教育。</w:t>
      </w:r>
    </w:p>
    <w:p w14:paraId="14A4E9DD">
      <w:pPr>
        <w:spacing w:before="180" w:beforeLines="50" w:after="180" w:afterLines="50"/>
        <w:ind w:firstLine="420" w:firstLineChars="200"/>
        <w:contextualSpacing/>
        <w:rPr>
          <w:rFonts w:ascii="宋体" w:hAnsi="宋体"/>
          <w:color w:val="auto"/>
          <w:szCs w:val="21"/>
          <w:highlight w:val="none"/>
        </w:rPr>
      </w:pPr>
      <w:r>
        <w:rPr>
          <w:rFonts w:hint="eastAsia" w:ascii="宋体" w:hAnsi="宋体"/>
          <w:color w:val="auto"/>
          <w:szCs w:val="21"/>
          <w:highlight w:val="none"/>
        </w:rPr>
        <w:t xml:space="preserve">3.甲方人员应严格遵守本单位有关阳光合作管理的规定，不得接受乙方任何形式的回扣、实物、现金、有价证券、礼券等有价物品，不得参加乙方提供的旅游或其他可能影响职务行为公正履行的活动。 </w:t>
      </w:r>
    </w:p>
    <w:p w14:paraId="66C9538D">
      <w:pPr>
        <w:spacing w:before="180" w:beforeLines="50" w:after="180" w:afterLines="50"/>
        <w:ind w:firstLine="420" w:firstLineChars="200"/>
        <w:contextualSpacing/>
        <w:rPr>
          <w:rFonts w:ascii="宋体" w:hAnsi="宋体"/>
          <w:color w:val="auto"/>
          <w:szCs w:val="21"/>
          <w:highlight w:val="none"/>
        </w:rPr>
      </w:pPr>
      <w:r>
        <w:rPr>
          <w:rFonts w:hint="eastAsia" w:ascii="宋体" w:hAnsi="宋体"/>
          <w:color w:val="auto"/>
          <w:szCs w:val="21"/>
          <w:highlight w:val="none"/>
        </w:rPr>
        <w:t>4.甲方人员如违反阳光合作管理制度及本协议规定，甲方视情节轻重、影响大小给予行政及经济处罚。</w:t>
      </w:r>
    </w:p>
    <w:p w14:paraId="2E2465A5">
      <w:pPr>
        <w:spacing w:before="180" w:beforeLines="50" w:after="180" w:afterLines="50"/>
        <w:ind w:firstLine="420" w:firstLineChars="200"/>
        <w:contextualSpacing/>
        <w:rPr>
          <w:rFonts w:ascii="宋体" w:hAnsi="宋体"/>
          <w:color w:val="auto"/>
          <w:szCs w:val="21"/>
          <w:highlight w:val="none"/>
        </w:rPr>
      </w:pPr>
      <w:r>
        <w:rPr>
          <w:rFonts w:hint="eastAsia" w:ascii="宋体" w:hAnsi="宋体"/>
          <w:color w:val="auto"/>
          <w:szCs w:val="21"/>
          <w:highlight w:val="none"/>
        </w:rPr>
        <w:t>5．对于乙方举报甲方人员违反阳光合作规定的情况，甲方应及时进行调查，根据调查情况进行处理，并将调查结果向乙方反馈。</w:t>
      </w:r>
    </w:p>
    <w:p w14:paraId="36BC4CA7">
      <w:pPr>
        <w:spacing w:before="180" w:beforeLines="50" w:after="180" w:afterLines="50"/>
        <w:ind w:firstLine="420" w:firstLineChars="200"/>
        <w:contextualSpacing/>
        <w:rPr>
          <w:rFonts w:ascii="宋体" w:hAnsi="宋体"/>
          <w:color w:val="auto"/>
          <w:szCs w:val="21"/>
          <w:highlight w:val="none"/>
        </w:rPr>
      </w:pPr>
      <w:r>
        <w:rPr>
          <w:rFonts w:hint="eastAsia" w:ascii="宋体" w:hAnsi="宋体"/>
          <w:color w:val="auto"/>
          <w:szCs w:val="21"/>
          <w:highlight w:val="none"/>
        </w:rPr>
        <w:t>6.接受举报的一方应为举报方保密，不得对举报方进行报复，对举报属实和严格遵守《阳光合作协议》的合作方，在同等条件下给予后续合作的优先权。</w:t>
      </w:r>
    </w:p>
    <w:p w14:paraId="6093A6B5">
      <w:pPr>
        <w:spacing w:before="180" w:beforeLines="50" w:after="180" w:afterLines="50"/>
        <w:ind w:firstLine="422" w:firstLineChars="200"/>
        <w:contextualSpacing/>
        <w:rPr>
          <w:rFonts w:ascii="宋体" w:hAnsi="宋体"/>
          <w:b/>
          <w:bCs/>
          <w:color w:val="auto"/>
          <w:szCs w:val="21"/>
          <w:highlight w:val="none"/>
        </w:rPr>
      </w:pPr>
      <w:r>
        <w:rPr>
          <w:rFonts w:hint="eastAsia" w:ascii="宋体" w:hAnsi="宋体"/>
          <w:b/>
          <w:bCs/>
          <w:color w:val="auto"/>
          <w:szCs w:val="21"/>
          <w:highlight w:val="none"/>
        </w:rPr>
        <w:t>二、乙方责任</w:t>
      </w:r>
    </w:p>
    <w:p w14:paraId="3B253EF4">
      <w:pPr>
        <w:spacing w:before="180" w:beforeLines="50" w:after="180" w:afterLines="50"/>
        <w:ind w:firstLine="420" w:firstLineChars="200"/>
        <w:contextualSpacing/>
        <w:rPr>
          <w:rFonts w:ascii="宋体" w:hAnsi="宋体"/>
          <w:color w:val="auto"/>
          <w:szCs w:val="21"/>
          <w:highlight w:val="none"/>
        </w:rPr>
      </w:pPr>
      <w:r>
        <w:rPr>
          <w:rFonts w:hint="eastAsia" w:ascii="宋体" w:hAnsi="宋体"/>
          <w:color w:val="auto"/>
          <w:szCs w:val="21"/>
          <w:highlight w:val="none"/>
        </w:rPr>
        <w:t>1.乙方应保证乙方人员了解甲方有关采购管理通用原则和及本协议的规定，并遵照执行。</w:t>
      </w:r>
    </w:p>
    <w:p w14:paraId="0289E52F">
      <w:pPr>
        <w:spacing w:before="180" w:beforeLines="50" w:after="180" w:afterLines="50"/>
        <w:ind w:firstLine="420" w:firstLineChars="200"/>
        <w:contextualSpacing/>
        <w:rPr>
          <w:rFonts w:ascii="宋体" w:hAnsi="宋体"/>
          <w:color w:val="auto"/>
          <w:szCs w:val="21"/>
          <w:highlight w:val="none"/>
        </w:rPr>
      </w:pPr>
      <w:r>
        <w:rPr>
          <w:rFonts w:hint="eastAsia" w:ascii="宋体" w:hAnsi="宋体"/>
          <w:color w:val="auto"/>
          <w:szCs w:val="21"/>
          <w:highlight w:val="none"/>
        </w:rPr>
        <w:t>2.乙方不得以任何形式给予甲方人员回扣、赠送实物、现金、有价证券、礼券等有价物品或提供旅游等其他可能影响职务行为公正履行的活动（以下统称“财物”）。</w:t>
      </w:r>
    </w:p>
    <w:p w14:paraId="12E10757">
      <w:pPr>
        <w:spacing w:before="180" w:beforeLines="50" w:after="180" w:afterLines="50"/>
        <w:ind w:firstLine="420" w:firstLineChars="200"/>
        <w:contextualSpacing/>
        <w:rPr>
          <w:rFonts w:ascii="宋体" w:hAnsi="宋体"/>
          <w:color w:val="auto"/>
          <w:szCs w:val="21"/>
          <w:highlight w:val="none"/>
        </w:rPr>
      </w:pPr>
      <w:r>
        <w:rPr>
          <w:rFonts w:hint="eastAsia" w:ascii="宋体" w:hAnsi="宋体"/>
          <w:color w:val="auto"/>
          <w:szCs w:val="21"/>
          <w:highlight w:val="none"/>
        </w:rPr>
        <w:t>3.乙方有责任接受甲方对乙方在合作期间阳光合作管理执行情况的监督，并对甲方相关调查工作主动配合。</w:t>
      </w:r>
    </w:p>
    <w:p w14:paraId="0CDCB2CC">
      <w:pPr>
        <w:spacing w:before="180" w:beforeLines="50" w:after="180" w:afterLines="50"/>
        <w:ind w:firstLine="420" w:firstLineChars="200"/>
        <w:contextualSpacing/>
        <w:rPr>
          <w:rFonts w:ascii="宋体" w:hAnsi="宋体"/>
          <w:color w:val="auto"/>
          <w:szCs w:val="21"/>
          <w:highlight w:val="none"/>
        </w:rPr>
      </w:pPr>
      <w:r>
        <w:rPr>
          <w:rFonts w:hint="eastAsia" w:ascii="宋体" w:hAnsi="宋体"/>
          <w:color w:val="auto"/>
          <w:szCs w:val="21"/>
          <w:highlight w:val="none"/>
        </w:rPr>
        <w:t>4.乙方有义务就甲方人员任何形式的索取或收受财物行为及时向甲方（直接联系人为东莞实业投资控股集团有限公司法律合规部）举报。如乙方或其人员向甲方人员给予财物，或甲方人员向乙方索取财物，乙方满足其要求并且未向甲方举报的，一经查实（包括但不限于被甲方核实属实，或者被司法机关或第三方核实属实的），甲方将在内部通报；乙方除应向甲方赔偿由此给甲方造成的损失外，乙方还应向甲方支付相当于原合同总价的10%的违约金，并对乙方知情不报人员进行相应处罚；连续出现2次及以上类似情况或者如因乙方在合作期间贿赂甲方人员，被司法机关立案查处核实属实的，甲方有权解除原合同，如甲方解除原合同的，则乙方应退还甲方所支付的所有款项并按原合同与本合同约定承担违约责任，且五年之内不得作为东实集团（东莞实业投资控股集团有限公司及下属子公司）合格供应商。</w:t>
      </w:r>
    </w:p>
    <w:p w14:paraId="0F83EE74">
      <w:pPr>
        <w:spacing w:before="180" w:beforeLines="50" w:after="180" w:afterLines="50"/>
        <w:ind w:firstLine="420" w:firstLineChars="200"/>
        <w:contextualSpacing/>
        <w:rPr>
          <w:rFonts w:ascii="宋体" w:hAnsi="宋体"/>
          <w:color w:val="auto"/>
          <w:szCs w:val="21"/>
          <w:highlight w:val="none"/>
        </w:rPr>
      </w:pPr>
      <w:r>
        <w:rPr>
          <w:rFonts w:hint="eastAsia" w:ascii="宋体" w:hAnsi="宋体"/>
          <w:color w:val="auto"/>
          <w:szCs w:val="21"/>
          <w:highlight w:val="none"/>
        </w:rPr>
        <w:t xml:space="preserve">5．甲方接受乙方实名或匿名举报，保证为举报者的信息保密，常设举报部门及电话： </w:t>
      </w:r>
    </w:p>
    <w:p w14:paraId="02A4BC07">
      <w:pPr>
        <w:spacing w:before="180" w:beforeLines="50" w:after="180" w:afterLines="50"/>
        <w:ind w:firstLine="420" w:firstLineChars="200"/>
        <w:contextualSpacing/>
        <w:rPr>
          <w:rFonts w:ascii="宋体" w:hAnsi="宋体"/>
          <w:color w:val="auto"/>
          <w:szCs w:val="21"/>
          <w:highlight w:val="none"/>
        </w:rPr>
      </w:pPr>
      <w:r>
        <w:rPr>
          <w:rFonts w:hint="eastAsia" w:ascii="宋体" w:hAnsi="宋体"/>
          <w:color w:val="auto"/>
          <w:szCs w:val="21"/>
          <w:highlight w:val="none"/>
        </w:rPr>
        <w:t>举报受理部门：东莞实业投资控股集团有限公司法律合规部</w:t>
      </w:r>
    </w:p>
    <w:p w14:paraId="4A3E56AA">
      <w:pPr>
        <w:spacing w:before="180" w:beforeLines="50" w:after="180" w:afterLines="50"/>
        <w:ind w:firstLine="420" w:firstLineChars="200"/>
        <w:contextualSpacing/>
        <w:rPr>
          <w:rFonts w:ascii="宋体" w:hAnsi="宋体"/>
          <w:color w:val="auto"/>
          <w:szCs w:val="21"/>
          <w:highlight w:val="none"/>
        </w:rPr>
      </w:pPr>
      <w:r>
        <w:rPr>
          <w:rFonts w:hint="eastAsia" w:ascii="宋体" w:hAnsi="宋体"/>
          <w:color w:val="auto"/>
          <w:szCs w:val="21"/>
          <w:highlight w:val="none"/>
        </w:rPr>
        <w:t>东实集团举报邮箱：dgsyxf@163.com</w:t>
      </w:r>
    </w:p>
    <w:p w14:paraId="71CFB59F">
      <w:pPr>
        <w:spacing w:before="180" w:beforeLines="50" w:after="180" w:afterLines="50"/>
        <w:ind w:firstLine="420" w:firstLineChars="200"/>
        <w:contextualSpacing/>
        <w:rPr>
          <w:rFonts w:ascii="宋体" w:hAnsi="宋体"/>
          <w:color w:val="auto"/>
          <w:szCs w:val="21"/>
          <w:highlight w:val="none"/>
        </w:rPr>
      </w:pPr>
      <w:r>
        <w:rPr>
          <w:rFonts w:hint="eastAsia" w:ascii="宋体" w:hAnsi="宋体"/>
          <w:color w:val="auto"/>
          <w:szCs w:val="21"/>
          <w:highlight w:val="none"/>
        </w:rPr>
        <w:t>东实集团举报电话：0769-28820703（周一至周五9:00-12:00和14:00-18:00）</w:t>
      </w:r>
    </w:p>
    <w:p w14:paraId="68EE19B2">
      <w:pPr>
        <w:spacing w:before="180" w:beforeLines="50" w:after="180" w:afterLines="50"/>
        <w:ind w:firstLine="420" w:firstLineChars="200"/>
        <w:contextualSpacing/>
        <w:rPr>
          <w:rFonts w:ascii="宋体" w:hAnsi="宋体"/>
          <w:color w:val="auto"/>
          <w:szCs w:val="21"/>
          <w:highlight w:val="none"/>
        </w:rPr>
      </w:pPr>
      <w:r>
        <w:rPr>
          <w:rFonts w:hint="eastAsia" w:ascii="宋体" w:hAnsi="宋体"/>
          <w:color w:val="auto"/>
          <w:szCs w:val="21"/>
          <w:highlight w:val="none"/>
        </w:rPr>
        <w:t>邮寄地址：东莞市东城区八一路1号机关二号大院9号楼，东莞实业投资控股集团有限公司法律合规部收，邮编523000。</w:t>
      </w:r>
    </w:p>
    <w:p w14:paraId="02EBA1EB">
      <w:pPr>
        <w:spacing w:before="180" w:beforeLines="50" w:after="180" w:afterLines="50"/>
        <w:ind w:firstLine="422" w:firstLineChars="200"/>
        <w:contextualSpacing/>
        <w:rPr>
          <w:rFonts w:ascii="宋体" w:hAnsi="宋体"/>
          <w:b/>
          <w:bCs/>
          <w:color w:val="auto"/>
          <w:szCs w:val="21"/>
          <w:highlight w:val="none"/>
        </w:rPr>
      </w:pPr>
      <w:r>
        <w:rPr>
          <w:rFonts w:hint="eastAsia" w:ascii="宋体" w:hAnsi="宋体"/>
          <w:b/>
          <w:bCs/>
          <w:color w:val="auto"/>
          <w:szCs w:val="21"/>
          <w:highlight w:val="none"/>
        </w:rPr>
        <w:t>三、其他</w:t>
      </w:r>
    </w:p>
    <w:p w14:paraId="017FC507">
      <w:pPr>
        <w:spacing w:before="180" w:beforeLines="50" w:after="180" w:afterLines="50"/>
        <w:ind w:firstLine="420" w:firstLineChars="200"/>
        <w:contextualSpacing/>
        <w:rPr>
          <w:rFonts w:ascii="宋体" w:hAnsi="宋体"/>
          <w:color w:val="auto"/>
          <w:szCs w:val="21"/>
          <w:highlight w:val="none"/>
        </w:rPr>
      </w:pPr>
      <w:r>
        <w:rPr>
          <w:rFonts w:hint="eastAsia" w:ascii="宋体" w:hAnsi="宋体"/>
          <w:color w:val="auto"/>
          <w:szCs w:val="21"/>
          <w:highlight w:val="none"/>
        </w:rPr>
        <w:t>1.本协议是原合同的补充协议，与原合同有同等法律效力。</w:t>
      </w:r>
    </w:p>
    <w:p w14:paraId="2851CDC8">
      <w:pPr>
        <w:spacing w:before="180" w:beforeLines="50" w:after="180" w:afterLines="50"/>
        <w:ind w:firstLine="420" w:firstLineChars="200"/>
        <w:contextualSpacing/>
        <w:rPr>
          <w:rFonts w:ascii="宋体" w:hAnsi="宋体"/>
          <w:color w:val="auto"/>
          <w:szCs w:val="21"/>
          <w:highlight w:val="none"/>
        </w:rPr>
      </w:pPr>
      <w:r>
        <w:rPr>
          <w:rFonts w:hint="eastAsia" w:ascii="宋体" w:hAnsi="宋体"/>
          <w:color w:val="auto"/>
          <w:szCs w:val="21"/>
          <w:highlight w:val="none"/>
        </w:rPr>
        <w:t>2.本协议一式陆份，甲方执肆份，乙方执贰份,具有同等法律效力。</w:t>
      </w:r>
    </w:p>
    <w:p w14:paraId="086A489A">
      <w:pPr>
        <w:spacing w:before="180" w:beforeLines="50" w:after="180" w:afterLines="50"/>
        <w:ind w:firstLine="420" w:firstLineChars="200"/>
        <w:contextualSpacing/>
        <w:rPr>
          <w:rFonts w:ascii="宋体" w:hAnsi="宋体"/>
          <w:color w:val="auto"/>
          <w:szCs w:val="21"/>
          <w:highlight w:val="none"/>
        </w:rPr>
      </w:pPr>
      <w:r>
        <w:rPr>
          <w:rFonts w:hint="eastAsia" w:ascii="宋体" w:hAnsi="宋体"/>
          <w:color w:val="auto"/>
          <w:szCs w:val="21"/>
          <w:highlight w:val="none"/>
        </w:rPr>
        <w:t>3.本协议经双方签署后生效。</w:t>
      </w:r>
    </w:p>
    <w:p w14:paraId="6AD33D2A">
      <w:pPr>
        <w:adjustRightInd/>
        <w:snapToGrid/>
        <w:ind w:firstLine="420" w:firstLineChars="200"/>
        <w:contextualSpacing/>
        <w:jc w:val="both"/>
        <w:rPr>
          <w:rFonts w:ascii="楷体" w:hAnsi="楷体" w:eastAsia="楷体"/>
          <w:color w:val="auto"/>
          <w:szCs w:val="21"/>
          <w:highlight w:val="none"/>
        </w:rPr>
      </w:pPr>
    </w:p>
    <w:p w14:paraId="463D3994">
      <w:pPr>
        <w:spacing w:before="180" w:beforeLines="50" w:after="180" w:afterLines="50"/>
        <w:ind w:firstLine="420" w:firstLineChars="200"/>
        <w:contextualSpacing/>
        <w:rPr>
          <w:rFonts w:ascii="宋体" w:hAnsi="宋体"/>
          <w:color w:val="auto"/>
          <w:szCs w:val="21"/>
          <w:highlight w:val="none"/>
        </w:rPr>
      </w:pPr>
      <w:r>
        <w:rPr>
          <w:rFonts w:hint="eastAsia" w:ascii="宋体" w:hAnsi="宋体"/>
          <w:color w:val="auto"/>
          <w:szCs w:val="21"/>
          <w:highlight w:val="none"/>
        </w:rPr>
        <w:t xml:space="preserve">甲方（盖章）：                      乙方（盖章）： </w:t>
      </w:r>
    </w:p>
    <w:p w14:paraId="301379F0">
      <w:pPr>
        <w:spacing w:before="180" w:beforeLines="50" w:after="180" w:afterLines="50"/>
        <w:ind w:firstLine="420" w:firstLineChars="200"/>
        <w:contextualSpacing/>
        <w:rPr>
          <w:rFonts w:ascii="宋体" w:hAnsi="宋体"/>
          <w:color w:val="auto"/>
          <w:szCs w:val="21"/>
          <w:highlight w:val="none"/>
        </w:rPr>
      </w:pPr>
    </w:p>
    <w:p w14:paraId="76C96983">
      <w:pPr>
        <w:spacing w:before="180" w:beforeLines="50" w:after="180" w:afterLines="50"/>
        <w:ind w:firstLine="420" w:firstLineChars="200"/>
        <w:contextualSpacing/>
        <w:rPr>
          <w:rFonts w:ascii="宋体" w:hAnsi="宋体"/>
          <w:color w:val="auto"/>
          <w:szCs w:val="21"/>
          <w:highlight w:val="none"/>
        </w:rPr>
      </w:pPr>
      <w:r>
        <w:rPr>
          <w:rFonts w:hint="eastAsia" w:ascii="宋体" w:hAnsi="宋体"/>
          <w:color w:val="auto"/>
          <w:szCs w:val="21"/>
          <w:highlight w:val="none"/>
        </w:rPr>
        <w:t>法定代表人（授权代表）：</w:t>
      </w:r>
      <w:r>
        <w:rPr>
          <w:rFonts w:hint="eastAsia" w:ascii="宋体" w:hAnsi="宋体"/>
          <w:color w:val="auto"/>
          <w:szCs w:val="21"/>
          <w:highlight w:val="none"/>
        </w:rPr>
        <w:tab/>
      </w:r>
      <w:r>
        <w:rPr>
          <w:rFonts w:hint="eastAsia" w:ascii="宋体" w:hAnsi="宋体"/>
          <w:color w:val="auto"/>
          <w:szCs w:val="21"/>
          <w:highlight w:val="none"/>
        </w:rPr>
        <w:t xml:space="preserve">      法定代表人（授权代表）：</w:t>
      </w:r>
    </w:p>
    <w:p w14:paraId="71F42F2B">
      <w:pPr>
        <w:spacing w:before="180" w:beforeLines="50" w:after="180" w:afterLines="50"/>
        <w:ind w:firstLine="420" w:firstLineChars="200"/>
        <w:contextualSpacing/>
        <w:rPr>
          <w:rFonts w:ascii="宋体" w:hAnsi="宋体"/>
          <w:color w:val="auto"/>
          <w:szCs w:val="21"/>
          <w:highlight w:val="none"/>
        </w:rPr>
      </w:pPr>
    </w:p>
    <w:p w14:paraId="2B7983EE">
      <w:pPr>
        <w:numPr>
          <w:ilvl w:val="-1"/>
          <w:numId w:val="0"/>
        </w:numPr>
        <w:rPr>
          <w:rFonts w:hint="eastAsia"/>
          <w:color w:val="auto"/>
          <w:sz w:val="28"/>
          <w:szCs w:val="28"/>
          <w:highlight w:val="none"/>
        </w:rPr>
      </w:pPr>
    </w:p>
    <w:bookmarkEnd w:id="190"/>
    <w:p w14:paraId="5E0A837B">
      <w:pPr>
        <w:pStyle w:val="21"/>
        <w:ind w:firstLine="0" w:firstLineChars="0"/>
        <w:jc w:val="left"/>
        <w:rPr>
          <w:rFonts w:ascii="宋体" w:hAnsi="宋体"/>
          <w:bCs/>
          <w:color w:val="auto"/>
          <w:kern w:val="0"/>
          <w:highlight w:val="none"/>
        </w:rPr>
      </w:pPr>
      <w:bookmarkStart w:id="201" w:name="_Hlt109815959"/>
      <w:bookmarkEnd w:id="201"/>
    </w:p>
    <w:p w14:paraId="65AAE953">
      <w:pPr>
        <w:tabs>
          <w:tab w:val="left" w:pos="420"/>
        </w:tabs>
        <w:spacing w:line="660" w:lineRule="exact"/>
        <w:ind w:left="200"/>
        <w:jc w:val="center"/>
        <w:rPr>
          <w:rFonts w:ascii="宋体" w:hAnsi="宋体"/>
          <w:color w:val="auto"/>
          <w:sz w:val="44"/>
          <w:highlight w:val="none"/>
        </w:rPr>
      </w:pPr>
      <w:bookmarkStart w:id="202" w:name="_MON_1652865172"/>
      <w:bookmarkEnd w:id="202"/>
      <w:bookmarkStart w:id="203" w:name="设计变更通知单"/>
      <w:bookmarkEnd w:id="203"/>
      <w:bookmarkStart w:id="204" w:name="现场签证通知单"/>
      <w:bookmarkEnd w:id="204"/>
    </w:p>
    <w:p w14:paraId="3A3CEB0A">
      <w:pPr>
        <w:pStyle w:val="21"/>
        <w:ind w:firstLine="0" w:firstLineChars="0"/>
        <w:jc w:val="left"/>
        <w:rPr>
          <w:rFonts w:ascii="宋体" w:hAnsi="宋体"/>
          <w:bCs/>
          <w:color w:val="auto"/>
          <w:kern w:val="0"/>
          <w:highlight w:val="none"/>
        </w:rPr>
      </w:pPr>
    </w:p>
    <w:p w14:paraId="1D5C2086">
      <w:pPr>
        <w:tabs>
          <w:tab w:val="left" w:pos="420"/>
        </w:tabs>
        <w:spacing w:line="660" w:lineRule="exact"/>
        <w:ind w:left="200"/>
        <w:jc w:val="center"/>
        <w:rPr>
          <w:rFonts w:ascii="宋体" w:hAnsi="宋体"/>
          <w:color w:val="auto"/>
          <w:sz w:val="44"/>
          <w:highlight w:val="none"/>
        </w:rPr>
      </w:pPr>
    </w:p>
    <w:p w14:paraId="12D933D3">
      <w:pPr>
        <w:rPr>
          <w:rFonts w:hint="eastAsia"/>
          <w:color w:val="auto"/>
          <w:sz w:val="28"/>
          <w:szCs w:val="28"/>
          <w:highlight w:val="none"/>
        </w:rPr>
      </w:pPr>
      <w:bookmarkStart w:id="205" w:name="_Toc17124"/>
      <w:r>
        <w:rPr>
          <w:rFonts w:hint="eastAsia"/>
          <w:color w:val="auto"/>
          <w:sz w:val="28"/>
          <w:szCs w:val="28"/>
          <w:highlight w:val="none"/>
        </w:rPr>
        <w:br w:type="page"/>
      </w:r>
    </w:p>
    <w:p w14:paraId="024A5C98">
      <w:pPr>
        <w:pStyle w:val="2"/>
        <w:spacing w:before="0" w:after="0" w:line="240" w:lineRule="auto"/>
        <w:rPr>
          <w:color w:val="auto"/>
          <w:sz w:val="28"/>
          <w:szCs w:val="28"/>
          <w:highlight w:val="none"/>
        </w:rPr>
      </w:pPr>
      <w:bookmarkStart w:id="206" w:name="_Toc12789"/>
      <w:r>
        <w:rPr>
          <w:rFonts w:hint="eastAsia"/>
          <w:color w:val="auto"/>
          <w:sz w:val="28"/>
          <w:szCs w:val="28"/>
          <w:highlight w:val="none"/>
        </w:rPr>
        <w:t>第六部分附件－投标文件格式</w:t>
      </w:r>
      <w:bookmarkEnd w:id="205"/>
      <w:bookmarkEnd w:id="206"/>
    </w:p>
    <w:p w14:paraId="780224A1">
      <w:pPr>
        <w:rPr>
          <w:color w:val="auto"/>
          <w:highlight w:val="none"/>
        </w:rPr>
      </w:pPr>
    </w:p>
    <w:p w14:paraId="6AF364B6">
      <w:pPr>
        <w:pStyle w:val="4"/>
        <w:widowControl w:val="0"/>
        <w:overflowPunct w:val="0"/>
        <w:spacing w:line="240" w:lineRule="auto"/>
        <w:rPr>
          <w:rFonts w:ascii="宋体" w:hAnsi="宋体"/>
          <w:color w:val="auto"/>
          <w:sz w:val="21"/>
          <w:szCs w:val="21"/>
          <w:highlight w:val="none"/>
        </w:rPr>
      </w:pPr>
      <w:bookmarkStart w:id="207" w:name="_Toc8707"/>
      <w:bookmarkStart w:id="208" w:name="_Toc25786"/>
      <w:r>
        <w:rPr>
          <w:rFonts w:hint="eastAsia" w:ascii="宋体" w:hAnsi="宋体"/>
          <w:color w:val="auto"/>
          <w:sz w:val="21"/>
          <w:szCs w:val="21"/>
          <w:highlight w:val="none"/>
        </w:rPr>
        <w:t>投标文件目录</w:t>
      </w:r>
      <w:bookmarkEnd w:id="207"/>
      <w:bookmarkEnd w:id="208"/>
    </w:p>
    <w:p w14:paraId="46BEBBE2">
      <w:pPr>
        <w:jc w:val="center"/>
        <w:rPr>
          <w:rFonts w:ascii="黑体" w:eastAsia="黑体"/>
          <w:color w:val="auto"/>
          <w:sz w:val="32"/>
          <w:szCs w:val="32"/>
          <w:highlight w:val="none"/>
        </w:rPr>
      </w:pPr>
    </w:p>
    <w:p w14:paraId="0F91DB09">
      <w:pPr>
        <w:jc w:val="center"/>
        <w:rPr>
          <w:rFonts w:ascii="黑体" w:eastAsia="黑体"/>
          <w:color w:val="auto"/>
          <w:sz w:val="32"/>
          <w:szCs w:val="32"/>
          <w:highlight w:val="none"/>
        </w:rPr>
      </w:pPr>
      <w:r>
        <w:rPr>
          <w:rFonts w:hint="eastAsia" w:ascii="黑体" w:eastAsia="黑体"/>
          <w:color w:val="auto"/>
          <w:sz w:val="32"/>
          <w:szCs w:val="32"/>
          <w:highlight w:val="none"/>
        </w:rPr>
        <w:t>目录</w:t>
      </w:r>
    </w:p>
    <w:p w14:paraId="3185CEB2">
      <w:pPr>
        <w:numPr>
          <w:ilvl w:val="0"/>
          <w:numId w:val="11"/>
        </w:numPr>
        <w:adjustRightInd/>
        <w:snapToGrid/>
        <w:spacing w:line="276" w:lineRule="auto"/>
        <w:rPr>
          <w:rFonts w:hint="eastAsia" w:ascii="宋体" w:hAnsi="宋体"/>
          <w:color w:val="auto"/>
          <w:sz w:val="21"/>
          <w:szCs w:val="21"/>
          <w:highlight w:val="none"/>
        </w:rPr>
      </w:pPr>
      <w:r>
        <w:rPr>
          <w:rFonts w:hint="eastAsia" w:ascii="宋体" w:hAnsi="宋体"/>
          <w:color w:val="auto"/>
          <w:sz w:val="21"/>
          <w:szCs w:val="21"/>
          <w:highlight w:val="none"/>
        </w:rPr>
        <w:t>开标一览表格式</w:t>
      </w:r>
    </w:p>
    <w:p w14:paraId="1DB87DFC">
      <w:pPr>
        <w:numPr>
          <w:ilvl w:val="0"/>
          <w:numId w:val="11"/>
        </w:numPr>
        <w:adjustRightInd/>
        <w:snapToGrid/>
        <w:spacing w:line="276" w:lineRule="auto"/>
        <w:rPr>
          <w:rFonts w:hint="eastAsia" w:ascii="宋体" w:hAnsi="宋体"/>
          <w:b w:val="0"/>
          <w:bCs w:val="0"/>
          <w:color w:val="auto"/>
          <w:sz w:val="21"/>
          <w:szCs w:val="21"/>
          <w:highlight w:val="none"/>
        </w:rPr>
      </w:pPr>
      <w:r>
        <w:rPr>
          <w:rFonts w:hint="eastAsia" w:ascii="宋体" w:hAnsi="宋体"/>
          <w:b w:val="0"/>
          <w:bCs w:val="0"/>
          <w:color w:val="auto"/>
          <w:sz w:val="21"/>
          <w:szCs w:val="21"/>
          <w:highlight w:val="none"/>
        </w:rPr>
        <w:t>投标书格式</w:t>
      </w:r>
    </w:p>
    <w:p w14:paraId="3DBB7642">
      <w:pPr>
        <w:numPr>
          <w:ilvl w:val="0"/>
          <w:numId w:val="11"/>
        </w:numPr>
        <w:adjustRightInd/>
        <w:snapToGrid/>
        <w:spacing w:line="276" w:lineRule="auto"/>
        <w:rPr>
          <w:rFonts w:hint="eastAsia" w:ascii="宋体" w:hAnsi="宋体"/>
          <w:color w:val="auto"/>
          <w:sz w:val="21"/>
          <w:szCs w:val="21"/>
          <w:highlight w:val="none"/>
        </w:rPr>
      </w:pPr>
      <w:r>
        <w:rPr>
          <w:rFonts w:hint="eastAsia" w:ascii="宋体" w:hAnsi="宋体"/>
          <w:color w:val="auto"/>
          <w:sz w:val="21"/>
          <w:szCs w:val="21"/>
          <w:highlight w:val="none"/>
        </w:rPr>
        <w:t>法定代表人证明书格式</w:t>
      </w:r>
    </w:p>
    <w:p w14:paraId="7484ED30">
      <w:pPr>
        <w:numPr>
          <w:ilvl w:val="0"/>
          <w:numId w:val="11"/>
        </w:numPr>
        <w:adjustRightInd/>
        <w:snapToGrid/>
        <w:spacing w:line="276" w:lineRule="auto"/>
        <w:rPr>
          <w:rFonts w:hint="eastAsia" w:ascii="宋体" w:hAnsi="宋体"/>
          <w:color w:val="auto"/>
          <w:sz w:val="21"/>
          <w:szCs w:val="21"/>
          <w:highlight w:val="none"/>
        </w:rPr>
      </w:pPr>
      <w:r>
        <w:rPr>
          <w:rFonts w:hint="eastAsia" w:ascii="宋体" w:hAnsi="宋体"/>
          <w:color w:val="auto"/>
          <w:sz w:val="21"/>
          <w:szCs w:val="21"/>
          <w:highlight w:val="none"/>
        </w:rPr>
        <w:t>法定代表人授权书格式</w:t>
      </w:r>
    </w:p>
    <w:p w14:paraId="1FAAA73C">
      <w:pPr>
        <w:numPr>
          <w:ilvl w:val="0"/>
          <w:numId w:val="11"/>
        </w:numPr>
        <w:adjustRightInd/>
        <w:snapToGrid/>
        <w:spacing w:line="276" w:lineRule="auto"/>
        <w:rPr>
          <w:rFonts w:hint="eastAsia" w:ascii="宋体" w:hAnsi="宋体"/>
          <w:color w:val="auto"/>
          <w:sz w:val="21"/>
          <w:szCs w:val="21"/>
          <w:highlight w:val="none"/>
        </w:rPr>
      </w:pPr>
      <w:r>
        <w:rPr>
          <w:rFonts w:hint="eastAsia" w:ascii="宋体" w:hAnsi="宋体"/>
          <w:color w:val="auto"/>
          <w:sz w:val="21"/>
          <w:szCs w:val="21"/>
          <w:highlight w:val="none"/>
        </w:rPr>
        <w:t>资格申明</w:t>
      </w:r>
    </w:p>
    <w:p w14:paraId="71167823">
      <w:pPr>
        <w:numPr>
          <w:ilvl w:val="0"/>
          <w:numId w:val="11"/>
        </w:numPr>
        <w:adjustRightInd/>
        <w:snapToGrid/>
        <w:spacing w:line="276" w:lineRule="auto"/>
        <w:rPr>
          <w:rFonts w:hint="eastAsia" w:ascii="宋体" w:hAnsi="宋体"/>
          <w:color w:val="auto"/>
          <w:sz w:val="21"/>
          <w:szCs w:val="21"/>
          <w:highlight w:val="none"/>
        </w:rPr>
      </w:pPr>
      <w:r>
        <w:rPr>
          <w:rFonts w:hint="eastAsia" w:ascii="宋体" w:hAnsi="宋体" w:cs="宋体"/>
          <w:color w:val="auto"/>
          <w:sz w:val="21"/>
          <w:szCs w:val="21"/>
          <w:highlight w:val="none"/>
        </w:rPr>
        <w:t>投标人资格证明文件</w:t>
      </w:r>
    </w:p>
    <w:p w14:paraId="3797080A">
      <w:pPr>
        <w:numPr>
          <w:ilvl w:val="0"/>
          <w:numId w:val="11"/>
        </w:numPr>
        <w:adjustRightInd/>
        <w:snapToGrid/>
        <w:spacing w:line="276" w:lineRule="auto"/>
        <w:rPr>
          <w:rFonts w:hint="eastAsia" w:ascii="宋体" w:hAnsi="宋体"/>
          <w:color w:val="auto"/>
          <w:sz w:val="21"/>
          <w:szCs w:val="21"/>
          <w:highlight w:val="none"/>
        </w:rPr>
      </w:pPr>
      <w:r>
        <w:rPr>
          <w:rFonts w:hint="eastAsia" w:ascii="宋体" w:hAnsi="宋体"/>
          <w:color w:val="auto"/>
          <w:sz w:val="21"/>
          <w:szCs w:val="21"/>
          <w:highlight w:val="none"/>
        </w:rPr>
        <w:t>在经营活动中没有重大违法记录的书面声明格式</w:t>
      </w:r>
    </w:p>
    <w:p w14:paraId="507AB7F4">
      <w:pPr>
        <w:numPr>
          <w:ilvl w:val="0"/>
          <w:numId w:val="11"/>
        </w:numPr>
        <w:adjustRightInd/>
        <w:snapToGrid/>
        <w:spacing w:line="276" w:lineRule="auto"/>
        <w:rPr>
          <w:rFonts w:hint="eastAsia" w:ascii="宋体" w:hAnsi="宋体"/>
          <w:color w:val="auto"/>
          <w:sz w:val="21"/>
          <w:szCs w:val="21"/>
          <w:highlight w:val="none"/>
        </w:rPr>
      </w:pPr>
      <w:r>
        <w:rPr>
          <w:rFonts w:hint="eastAsia" w:ascii="宋体" w:hAnsi="宋体"/>
          <w:color w:val="auto"/>
          <w:sz w:val="21"/>
          <w:szCs w:val="21"/>
          <w:highlight w:val="none"/>
        </w:rPr>
        <w:t>承诺书格式</w:t>
      </w:r>
    </w:p>
    <w:p w14:paraId="5C1D8B03">
      <w:pPr>
        <w:numPr>
          <w:ilvl w:val="0"/>
          <w:numId w:val="11"/>
        </w:numPr>
        <w:adjustRightInd/>
        <w:snapToGrid/>
        <w:spacing w:line="276" w:lineRule="auto"/>
        <w:rPr>
          <w:rFonts w:hint="eastAsia" w:ascii="宋体" w:hAnsi="宋体"/>
          <w:color w:val="auto"/>
          <w:sz w:val="21"/>
          <w:szCs w:val="21"/>
          <w:highlight w:val="none"/>
        </w:rPr>
      </w:pPr>
      <w:r>
        <w:rPr>
          <w:rFonts w:hint="eastAsia" w:ascii="宋体" w:hAnsi="宋体"/>
          <w:color w:val="auto"/>
          <w:sz w:val="21"/>
          <w:szCs w:val="21"/>
          <w:highlight w:val="none"/>
        </w:rPr>
        <w:t>星号条款承诺书</w:t>
      </w:r>
    </w:p>
    <w:p w14:paraId="799FAAFB">
      <w:pPr>
        <w:numPr>
          <w:ilvl w:val="0"/>
          <w:numId w:val="11"/>
        </w:numPr>
        <w:adjustRightInd/>
        <w:snapToGrid/>
        <w:spacing w:line="276" w:lineRule="auto"/>
        <w:rPr>
          <w:rFonts w:hint="eastAsia" w:ascii="宋体" w:hAnsi="宋体"/>
          <w:color w:val="auto"/>
          <w:sz w:val="21"/>
          <w:szCs w:val="21"/>
          <w:highlight w:val="none"/>
        </w:rPr>
      </w:pPr>
      <w:r>
        <w:rPr>
          <w:rFonts w:hint="eastAsia" w:ascii="宋体" w:hAnsi="宋体"/>
          <w:color w:val="auto"/>
          <w:sz w:val="21"/>
          <w:szCs w:val="21"/>
          <w:highlight w:val="none"/>
          <w:lang w:val="en-US" w:eastAsia="zh-CN"/>
        </w:rPr>
        <w:t>场地证明材料</w:t>
      </w:r>
    </w:p>
    <w:p w14:paraId="66FF17C1">
      <w:pPr>
        <w:numPr>
          <w:ilvl w:val="0"/>
          <w:numId w:val="11"/>
        </w:numPr>
        <w:adjustRightInd/>
        <w:snapToGrid/>
        <w:spacing w:line="276" w:lineRule="auto"/>
        <w:rPr>
          <w:rFonts w:hint="eastAsia" w:ascii="宋体" w:hAnsi="宋体"/>
          <w:color w:val="auto"/>
          <w:sz w:val="21"/>
          <w:szCs w:val="21"/>
          <w:highlight w:val="none"/>
        </w:rPr>
      </w:pPr>
      <w:r>
        <w:rPr>
          <w:rFonts w:hint="eastAsia" w:ascii="宋体" w:hAnsi="宋体"/>
          <w:color w:val="auto"/>
          <w:sz w:val="21"/>
          <w:szCs w:val="21"/>
          <w:highlight w:val="none"/>
        </w:rPr>
        <w:t>业绩表</w:t>
      </w:r>
    </w:p>
    <w:p w14:paraId="378D10EA">
      <w:pPr>
        <w:numPr>
          <w:ilvl w:val="0"/>
          <w:numId w:val="11"/>
        </w:numPr>
        <w:adjustRightInd/>
        <w:snapToGrid/>
        <w:spacing w:line="276" w:lineRule="auto"/>
        <w:rPr>
          <w:rFonts w:hint="eastAsia" w:ascii="宋体" w:hAnsi="宋体"/>
          <w:b w:val="0"/>
          <w:bCs w:val="0"/>
          <w:color w:val="auto"/>
          <w:sz w:val="21"/>
          <w:szCs w:val="21"/>
          <w:highlight w:val="none"/>
        </w:rPr>
      </w:pPr>
      <w:r>
        <w:rPr>
          <w:rFonts w:hint="eastAsia" w:ascii="宋体" w:hAnsi="宋体"/>
          <w:b w:val="0"/>
          <w:bCs w:val="0"/>
          <w:color w:val="auto"/>
          <w:szCs w:val="21"/>
          <w:highlight w:val="none"/>
        </w:rPr>
        <w:t>依法缴纳税收及无欠税的证明材料</w:t>
      </w:r>
    </w:p>
    <w:p w14:paraId="1D79513B">
      <w:pPr>
        <w:numPr>
          <w:ilvl w:val="0"/>
          <w:numId w:val="11"/>
        </w:numPr>
        <w:adjustRightInd/>
        <w:snapToGrid/>
        <w:spacing w:line="276" w:lineRule="auto"/>
        <w:rPr>
          <w:rFonts w:hint="eastAsia" w:ascii="宋体" w:hAnsi="宋体"/>
          <w:b w:val="0"/>
          <w:bCs w:val="0"/>
          <w:color w:val="auto"/>
          <w:sz w:val="21"/>
          <w:szCs w:val="21"/>
          <w:highlight w:val="none"/>
        </w:rPr>
      </w:pPr>
      <w:r>
        <w:rPr>
          <w:rFonts w:hint="eastAsia" w:ascii="宋体" w:hAnsi="宋体"/>
          <w:color w:val="auto"/>
          <w:sz w:val="21"/>
          <w:szCs w:val="21"/>
          <w:highlight w:val="none"/>
        </w:rPr>
        <w:t>用户需求条款偏离表格式</w:t>
      </w:r>
    </w:p>
    <w:p w14:paraId="34080DD0">
      <w:pPr>
        <w:numPr>
          <w:ilvl w:val="0"/>
          <w:numId w:val="11"/>
        </w:numPr>
        <w:adjustRightInd/>
        <w:snapToGrid/>
        <w:spacing w:line="276" w:lineRule="auto"/>
        <w:rPr>
          <w:rFonts w:hint="eastAsia" w:ascii="宋体" w:hAnsi="宋体"/>
          <w:b w:val="0"/>
          <w:bCs w:val="0"/>
          <w:color w:val="auto"/>
          <w:sz w:val="21"/>
          <w:szCs w:val="21"/>
          <w:highlight w:val="none"/>
        </w:rPr>
      </w:pPr>
      <w:r>
        <w:rPr>
          <w:rFonts w:hint="eastAsia" w:ascii="宋体" w:hAnsi="宋体"/>
          <w:color w:val="auto"/>
          <w:sz w:val="21"/>
          <w:szCs w:val="21"/>
          <w:highlight w:val="none"/>
        </w:rPr>
        <w:t>投标保证金汇入情况说明格式</w:t>
      </w:r>
    </w:p>
    <w:p w14:paraId="28DF7044">
      <w:pPr>
        <w:adjustRightInd/>
        <w:snapToGrid/>
        <w:spacing w:line="276" w:lineRule="auto"/>
        <w:rPr>
          <w:rFonts w:ascii="宋体" w:hAnsi="宋体"/>
          <w:color w:val="auto"/>
          <w:szCs w:val="21"/>
          <w:highlight w:val="none"/>
        </w:rPr>
      </w:pPr>
    </w:p>
    <w:p w14:paraId="54CC6BF5">
      <w:pPr>
        <w:adjustRightInd/>
        <w:snapToGrid/>
        <w:spacing w:line="276" w:lineRule="auto"/>
        <w:rPr>
          <w:rFonts w:ascii="宋体" w:hAnsi="宋体"/>
          <w:color w:val="auto"/>
          <w:szCs w:val="21"/>
          <w:highlight w:val="none"/>
        </w:rPr>
      </w:pPr>
      <w:r>
        <w:rPr>
          <w:rFonts w:hint="eastAsia" w:ascii="宋体" w:hAnsi="宋体"/>
          <w:color w:val="auto"/>
          <w:szCs w:val="21"/>
          <w:highlight w:val="none"/>
        </w:rPr>
        <w:t>注：</w:t>
      </w:r>
    </w:p>
    <w:p w14:paraId="41248C20">
      <w:pPr>
        <w:adjustRightInd/>
        <w:snapToGrid/>
        <w:spacing w:line="276" w:lineRule="auto"/>
        <w:rPr>
          <w:rFonts w:ascii="宋体" w:hAnsi="宋体"/>
          <w:color w:val="auto"/>
          <w:szCs w:val="21"/>
          <w:highlight w:val="none"/>
        </w:rPr>
      </w:pPr>
      <w:r>
        <w:rPr>
          <w:rFonts w:hint="eastAsia" w:ascii="宋体" w:hAnsi="宋体"/>
          <w:color w:val="auto"/>
          <w:szCs w:val="21"/>
          <w:highlight w:val="none"/>
        </w:rPr>
        <w:t>1、投标人</w:t>
      </w:r>
      <w:r>
        <w:rPr>
          <w:rFonts w:hint="eastAsia" w:ascii="宋体" w:hAnsi="宋体"/>
          <w:color w:val="auto"/>
          <w:szCs w:val="21"/>
          <w:highlight w:val="none"/>
          <w:lang w:val="en-US" w:eastAsia="zh-CN"/>
        </w:rPr>
        <w:t>可自拟</w:t>
      </w:r>
      <w:r>
        <w:rPr>
          <w:rFonts w:hint="eastAsia" w:ascii="宋体" w:hAnsi="宋体"/>
          <w:color w:val="auto"/>
          <w:szCs w:val="21"/>
          <w:highlight w:val="none"/>
        </w:rPr>
        <w:t>投标文件目录。</w:t>
      </w:r>
      <w:r>
        <w:rPr>
          <w:rFonts w:ascii="宋体" w:hAnsi="宋体"/>
          <w:color w:val="auto"/>
          <w:szCs w:val="21"/>
          <w:highlight w:val="none"/>
        </w:rPr>
        <w:br w:type="page"/>
      </w:r>
    </w:p>
    <w:p w14:paraId="20363DC2">
      <w:pPr>
        <w:pStyle w:val="6"/>
        <w:spacing w:before="0"/>
        <w:ind w:left="0"/>
        <w:rPr>
          <w:color w:val="auto"/>
          <w:highlight w:val="none"/>
        </w:rPr>
      </w:pPr>
    </w:p>
    <w:p w14:paraId="21356B2F">
      <w:pPr>
        <w:rPr>
          <w:color w:val="auto"/>
          <w:highlight w:val="none"/>
        </w:rPr>
      </w:pPr>
    </w:p>
    <w:p w14:paraId="48EC5BFB">
      <w:pPr>
        <w:rPr>
          <w:color w:val="auto"/>
          <w:highlight w:val="none"/>
        </w:rPr>
      </w:pPr>
    </w:p>
    <w:p w14:paraId="5E4D8B9F">
      <w:pPr>
        <w:rPr>
          <w:color w:val="auto"/>
          <w:highlight w:val="none"/>
        </w:rPr>
      </w:pPr>
    </w:p>
    <w:p w14:paraId="296DBB85">
      <w:pPr>
        <w:adjustRightInd/>
        <w:snapToGrid/>
        <w:spacing w:line="276" w:lineRule="auto"/>
        <w:jc w:val="left"/>
        <w:rPr>
          <w:rFonts w:ascii="黑体" w:eastAsia="黑体"/>
          <w:color w:val="auto"/>
          <w:sz w:val="52"/>
          <w:szCs w:val="52"/>
          <w:highlight w:val="none"/>
        </w:rPr>
      </w:pPr>
      <w:bookmarkStart w:id="209" w:name="_Toc18450"/>
      <w:bookmarkStart w:id="210" w:name="_Toc30918"/>
      <w:bookmarkStart w:id="211" w:name="_Toc28154"/>
      <w:bookmarkStart w:id="212" w:name="_Toc20335"/>
      <w:bookmarkStart w:id="213" w:name="_Toc21746"/>
    </w:p>
    <w:p w14:paraId="26B31C89">
      <w:pPr>
        <w:pStyle w:val="2"/>
        <w:spacing w:before="0" w:after="0" w:line="360" w:lineRule="auto"/>
        <w:jc w:val="center"/>
        <w:rPr>
          <w:color w:val="auto"/>
          <w:sz w:val="72"/>
          <w:szCs w:val="72"/>
          <w:highlight w:val="none"/>
        </w:rPr>
      </w:pPr>
      <w:bookmarkStart w:id="214" w:name="_Toc17082"/>
      <w:bookmarkStart w:id="215" w:name="_Toc9213"/>
      <w:r>
        <w:rPr>
          <w:rFonts w:hint="eastAsia"/>
          <w:color w:val="auto"/>
          <w:sz w:val="72"/>
          <w:szCs w:val="72"/>
          <w:highlight w:val="none"/>
          <w:lang w:val="en-US" w:eastAsia="zh-CN"/>
        </w:rPr>
        <w:t>投标</w:t>
      </w:r>
      <w:r>
        <w:rPr>
          <w:rFonts w:hint="eastAsia"/>
          <w:color w:val="auto"/>
          <w:sz w:val="72"/>
          <w:szCs w:val="72"/>
          <w:highlight w:val="none"/>
        </w:rPr>
        <w:t>文件</w:t>
      </w:r>
      <w:bookmarkEnd w:id="209"/>
      <w:bookmarkEnd w:id="210"/>
      <w:bookmarkEnd w:id="214"/>
      <w:bookmarkEnd w:id="215"/>
      <w:bookmarkStart w:id="216" w:name="_Hlt10456397"/>
      <w:bookmarkEnd w:id="216"/>
      <w:bookmarkStart w:id="217" w:name="_Hlt10519799"/>
      <w:bookmarkEnd w:id="217"/>
    </w:p>
    <w:p w14:paraId="0D6578AE">
      <w:pPr>
        <w:jc w:val="center"/>
        <w:rPr>
          <w:rFonts w:hint="eastAsia" w:ascii="黑体" w:eastAsia="黑体"/>
          <w:color w:val="auto"/>
          <w:sz w:val="44"/>
          <w:szCs w:val="44"/>
          <w:highlight w:val="none"/>
        </w:rPr>
      </w:pPr>
      <w:r>
        <w:rPr>
          <w:rFonts w:hint="eastAsia" w:ascii="黑体" w:eastAsia="黑体"/>
          <w:color w:val="auto"/>
          <w:sz w:val="44"/>
          <w:szCs w:val="44"/>
          <w:highlight w:val="none"/>
        </w:rPr>
        <w:t>（价格、商务</w:t>
      </w:r>
      <w:r>
        <w:rPr>
          <w:rFonts w:hint="eastAsia" w:ascii="黑体" w:eastAsia="黑体"/>
          <w:color w:val="auto"/>
          <w:sz w:val="44"/>
          <w:szCs w:val="44"/>
          <w:highlight w:val="none"/>
          <w:lang w:val="en-US" w:eastAsia="zh-CN"/>
        </w:rPr>
        <w:t>及</w:t>
      </w:r>
      <w:r>
        <w:rPr>
          <w:rFonts w:hint="eastAsia" w:ascii="黑体" w:eastAsia="黑体"/>
          <w:color w:val="auto"/>
          <w:sz w:val="44"/>
          <w:szCs w:val="44"/>
          <w:highlight w:val="none"/>
        </w:rPr>
        <w:t>技术文件合并装订成册）</w:t>
      </w:r>
      <w:bookmarkEnd w:id="211"/>
      <w:bookmarkEnd w:id="212"/>
      <w:bookmarkEnd w:id="213"/>
    </w:p>
    <w:p w14:paraId="0826C66C">
      <w:pPr>
        <w:jc w:val="center"/>
        <w:rPr>
          <w:rFonts w:hint="default" w:ascii="宋体" w:hAnsi="宋体" w:cs="宋体"/>
          <w:b/>
          <w:bCs/>
          <w:color w:val="auto"/>
          <w:spacing w:val="1280"/>
          <w:w w:val="100"/>
          <w:kern w:val="0"/>
          <w:sz w:val="32"/>
          <w:szCs w:val="32"/>
          <w:highlight w:val="none"/>
          <w:u w:val="none"/>
          <w:fitText w:val="1600" w:id="1947737316"/>
          <w:lang w:val="en-US" w:eastAsia="zh-CN"/>
        </w:rPr>
      </w:pPr>
      <w:r>
        <w:rPr>
          <w:rFonts w:hint="eastAsia" w:ascii="宋体" w:hAnsi="宋体" w:cs="宋体"/>
          <w:b/>
          <w:bCs/>
          <w:color w:val="auto"/>
          <w:kern w:val="0"/>
          <w:sz w:val="32"/>
          <w:szCs w:val="32"/>
          <w:highlight w:val="none"/>
          <w:u w:val="none"/>
          <w:lang w:val="en-US" w:eastAsia="zh-CN"/>
        </w:rPr>
        <w:t>（</w:t>
      </w:r>
      <w:r>
        <w:rPr>
          <w:rFonts w:hint="eastAsia" w:ascii="宋体" w:hAnsi="宋体" w:cs="宋体"/>
          <w:b/>
          <w:bCs/>
          <w:color w:val="auto"/>
          <w:spacing w:val="0"/>
          <w:w w:val="90"/>
          <w:kern w:val="0"/>
          <w:sz w:val="32"/>
          <w:szCs w:val="32"/>
          <w:highlight w:val="none"/>
          <w:u w:val="none"/>
          <w:fitText w:val="1600" w:id="1045640223"/>
          <w:lang w:val="en-US" w:eastAsia="zh-CN"/>
        </w:rPr>
        <w:t>正本/副本</w:t>
      </w:r>
      <w:r>
        <w:rPr>
          <w:rFonts w:hint="eastAsia" w:ascii="宋体" w:hAnsi="宋体" w:cs="宋体"/>
          <w:b/>
          <w:bCs/>
          <w:color w:val="auto"/>
          <w:spacing w:val="2"/>
          <w:w w:val="90"/>
          <w:kern w:val="0"/>
          <w:sz w:val="32"/>
          <w:szCs w:val="32"/>
          <w:highlight w:val="none"/>
          <w:u w:val="none"/>
          <w:fitText w:val="1600" w:id="1045640223"/>
          <w:lang w:val="en-US" w:eastAsia="zh-CN"/>
        </w:rPr>
        <w:t>）</w:t>
      </w:r>
    </w:p>
    <w:p w14:paraId="3A5B54D8">
      <w:pPr>
        <w:pStyle w:val="6"/>
        <w:rPr>
          <w:color w:val="auto"/>
        </w:rPr>
      </w:pPr>
    </w:p>
    <w:p w14:paraId="63DD04F8">
      <w:pPr>
        <w:adjustRightInd/>
        <w:snapToGrid/>
        <w:spacing w:line="276" w:lineRule="auto"/>
        <w:rPr>
          <w:rFonts w:ascii="宋体" w:hAnsi="宋体"/>
          <w:color w:val="auto"/>
          <w:szCs w:val="21"/>
          <w:highlight w:val="none"/>
        </w:rPr>
      </w:pPr>
    </w:p>
    <w:p w14:paraId="2F8C318C">
      <w:pPr>
        <w:adjustRightInd/>
        <w:snapToGrid/>
        <w:spacing w:line="276" w:lineRule="auto"/>
        <w:rPr>
          <w:rFonts w:ascii="宋体" w:hAnsi="宋体"/>
          <w:color w:val="auto"/>
          <w:szCs w:val="21"/>
          <w:highlight w:val="none"/>
        </w:rPr>
      </w:pPr>
    </w:p>
    <w:p w14:paraId="4CEEB9E3">
      <w:pPr>
        <w:adjustRightInd/>
        <w:snapToGrid/>
        <w:spacing w:line="276" w:lineRule="auto"/>
        <w:rPr>
          <w:rFonts w:ascii="宋体" w:hAnsi="宋体"/>
          <w:color w:val="auto"/>
          <w:szCs w:val="21"/>
          <w:highlight w:val="none"/>
        </w:rPr>
      </w:pPr>
    </w:p>
    <w:p w14:paraId="2103CBDD">
      <w:pPr>
        <w:adjustRightInd/>
        <w:snapToGrid/>
        <w:spacing w:line="276" w:lineRule="auto"/>
        <w:rPr>
          <w:rFonts w:ascii="宋体" w:hAnsi="宋体"/>
          <w:b/>
          <w:bCs/>
          <w:color w:val="auto"/>
          <w:sz w:val="32"/>
          <w:szCs w:val="32"/>
          <w:highlight w:val="none"/>
        </w:rPr>
      </w:pPr>
      <w:r>
        <w:rPr>
          <w:rFonts w:hint="eastAsia" w:ascii="宋体" w:hAnsi="宋体"/>
          <w:b/>
          <w:bCs/>
          <w:color w:val="auto"/>
          <w:sz w:val="32"/>
          <w:szCs w:val="32"/>
          <w:highlight w:val="none"/>
        </w:rPr>
        <w:t>项目名称：</w:t>
      </w:r>
    </w:p>
    <w:p w14:paraId="507CF339">
      <w:pPr>
        <w:adjustRightInd/>
        <w:snapToGrid/>
        <w:spacing w:line="276" w:lineRule="auto"/>
        <w:rPr>
          <w:rFonts w:ascii="宋体" w:hAnsi="宋体"/>
          <w:b/>
          <w:bCs/>
          <w:color w:val="auto"/>
          <w:sz w:val="32"/>
          <w:szCs w:val="32"/>
          <w:highlight w:val="none"/>
        </w:rPr>
      </w:pPr>
      <w:r>
        <w:rPr>
          <w:rFonts w:hint="eastAsia" w:ascii="宋体" w:hAnsi="宋体"/>
          <w:b/>
          <w:bCs/>
          <w:color w:val="auto"/>
          <w:sz w:val="32"/>
          <w:szCs w:val="32"/>
          <w:highlight w:val="none"/>
        </w:rPr>
        <w:t>项目编号：</w:t>
      </w:r>
    </w:p>
    <w:p w14:paraId="19E69977">
      <w:pPr>
        <w:adjustRightInd/>
        <w:snapToGrid/>
        <w:spacing w:line="276" w:lineRule="auto"/>
        <w:rPr>
          <w:rFonts w:ascii="宋体" w:hAnsi="宋体"/>
          <w:b/>
          <w:bCs/>
          <w:color w:val="auto"/>
          <w:sz w:val="32"/>
          <w:szCs w:val="32"/>
          <w:highlight w:val="none"/>
        </w:rPr>
      </w:pPr>
      <w:r>
        <w:rPr>
          <w:rFonts w:hint="eastAsia" w:ascii="宋体" w:hAnsi="宋体"/>
          <w:b/>
          <w:bCs/>
          <w:color w:val="auto"/>
          <w:sz w:val="32"/>
          <w:szCs w:val="32"/>
          <w:highlight w:val="none"/>
        </w:rPr>
        <w:t>投标人名称：</w:t>
      </w:r>
    </w:p>
    <w:p w14:paraId="37653A84">
      <w:pPr>
        <w:adjustRightInd/>
        <w:snapToGrid/>
        <w:spacing w:line="276" w:lineRule="auto"/>
        <w:rPr>
          <w:rFonts w:ascii="宋体" w:hAnsi="宋体"/>
          <w:b/>
          <w:bCs/>
          <w:color w:val="auto"/>
          <w:sz w:val="32"/>
          <w:szCs w:val="32"/>
          <w:highlight w:val="none"/>
        </w:rPr>
      </w:pPr>
      <w:r>
        <w:rPr>
          <w:rFonts w:hint="eastAsia" w:ascii="宋体" w:hAnsi="宋体"/>
          <w:b/>
          <w:bCs/>
          <w:color w:val="auto"/>
          <w:sz w:val="32"/>
          <w:szCs w:val="32"/>
          <w:highlight w:val="none"/>
        </w:rPr>
        <w:t>日      期：</w:t>
      </w:r>
    </w:p>
    <w:p w14:paraId="552B7453">
      <w:pPr>
        <w:adjustRightInd/>
        <w:snapToGrid/>
        <w:spacing w:line="276" w:lineRule="auto"/>
        <w:rPr>
          <w:rFonts w:ascii="宋体" w:hAnsi="宋体"/>
          <w:color w:val="auto"/>
          <w:szCs w:val="21"/>
          <w:highlight w:val="none"/>
        </w:rPr>
      </w:pPr>
    </w:p>
    <w:p w14:paraId="4E6FBBE3">
      <w:pPr>
        <w:adjustRightInd/>
        <w:snapToGrid/>
        <w:spacing w:line="276" w:lineRule="auto"/>
        <w:rPr>
          <w:rFonts w:ascii="宋体" w:hAnsi="宋体"/>
          <w:color w:val="auto"/>
          <w:szCs w:val="21"/>
          <w:highlight w:val="none"/>
        </w:rPr>
      </w:pPr>
    </w:p>
    <w:p w14:paraId="063C1739">
      <w:pPr>
        <w:adjustRightInd/>
        <w:snapToGrid/>
        <w:spacing w:line="276" w:lineRule="auto"/>
        <w:rPr>
          <w:rFonts w:ascii="宋体" w:hAnsi="宋体"/>
          <w:color w:val="auto"/>
          <w:szCs w:val="21"/>
          <w:highlight w:val="none"/>
        </w:rPr>
      </w:pPr>
    </w:p>
    <w:p w14:paraId="01CDC4BD">
      <w:pPr>
        <w:adjustRightInd/>
        <w:snapToGrid/>
        <w:spacing w:line="276" w:lineRule="auto"/>
        <w:rPr>
          <w:rFonts w:ascii="宋体" w:hAnsi="宋体"/>
          <w:color w:val="auto"/>
          <w:szCs w:val="21"/>
          <w:highlight w:val="none"/>
        </w:rPr>
      </w:pPr>
    </w:p>
    <w:p w14:paraId="10EF3973">
      <w:pPr>
        <w:adjustRightInd/>
        <w:snapToGrid/>
        <w:spacing w:line="276" w:lineRule="auto"/>
        <w:rPr>
          <w:rFonts w:ascii="宋体" w:hAnsi="宋体"/>
          <w:color w:val="auto"/>
          <w:szCs w:val="21"/>
          <w:highlight w:val="none"/>
        </w:rPr>
      </w:pPr>
    </w:p>
    <w:p w14:paraId="7282A766">
      <w:pPr>
        <w:adjustRightInd/>
        <w:snapToGrid/>
        <w:spacing w:line="276" w:lineRule="auto"/>
        <w:rPr>
          <w:rFonts w:ascii="宋体" w:hAnsi="宋体"/>
          <w:color w:val="auto"/>
          <w:szCs w:val="21"/>
          <w:highlight w:val="none"/>
        </w:rPr>
      </w:pPr>
    </w:p>
    <w:p w14:paraId="637C54B1">
      <w:pPr>
        <w:adjustRightInd/>
        <w:snapToGrid/>
        <w:spacing w:line="276" w:lineRule="auto"/>
        <w:rPr>
          <w:rFonts w:ascii="宋体" w:hAnsi="宋体"/>
          <w:color w:val="auto"/>
          <w:szCs w:val="21"/>
          <w:highlight w:val="none"/>
        </w:rPr>
      </w:pPr>
    </w:p>
    <w:p w14:paraId="58DC9DF5">
      <w:pPr>
        <w:adjustRightInd/>
        <w:snapToGrid/>
        <w:spacing w:line="276" w:lineRule="auto"/>
        <w:rPr>
          <w:color w:val="auto"/>
          <w:spacing w:val="323"/>
          <w:w w:val="100"/>
          <w:kern w:val="0"/>
          <w:highlight w:val="none"/>
          <w:fitText w:val="1600" w:id="70211570"/>
        </w:rPr>
      </w:pPr>
    </w:p>
    <w:p w14:paraId="347CFA93">
      <w:pPr>
        <w:pStyle w:val="12"/>
        <w:ind w:left="0"/>
        <w:rPr>
          <w:color w:val="auto"/>
          <w:spacing w:val="323"/>
          <w:kern w:val="0"/>
          <w:highlight w:val="none"/>
          <w:fitText w:val="1600" w:id="70211570"/>
        </w:rPr>
      </w:pPr>
    </w:p>
    <w:p w14:paraId="59A3F4DB">
      <w:pPr>
        <w:adjustRightInd/>
        <w:snapToGrid/>
        <w:spacing w:line="276" w:lineRule="auto"/>
        <w:rPr>
          <w:rFonts w:ascii="宋体" w:hAnsi="宋体"/>
          <w:color w:val="auto"/>
          <w:spacing w:val="1"/>
          <w:kern w:val="0"/>
          <w:szCs w:val="21"/>
          <w:highlight w:val="none"/>
          <w:fitText w:val="1600" w:id="70211570"/>
        </w:rPr>
      </w:pPr>
      <w:r>
        <w:rPr>
          <w:rFonts w:hint="eastAsia" w:ascii="宋体" w:hAnsi="宋体"/>
          <w:color w:val="auto"/>
          <w:spacing w:val="323"/>
          <w:kern w:val="0"/>
          <w:szCs w:val="21"/>
          <w:highlight w:val="none"/>
          <w:fitText w:val="1600" w:id="70211570"/>
        </w:rPr>
        <w:br w:type="page"/>
      </w:r>
    </w:p>
    <w:p w14:paraId="5DC45952">
      <w:pPr>
        <w:pStyle w:val="4"/>
        <w:widowControl w:val="0"/>
        <w:overflowPunct w:val="0"/>
        <w:spacing w:line="240" w:lineRule="auto"/>
        <w:rPr>
          <w:rFonts w:ascii="宋体" w:hAnsi="宋体"/>
          <w:color w:val="auto"/>
          <w:sz w:val="21"/>
          <w:szCs w:val="21"/>
          <w:highlight w:val="none"/>
        </w:rPr>
      </w:pPr>
      <w:bookmarkStart w:id="218" w:name="_Toc1232"/>
      <w:bookmarkStart w:id="219" w:name="_Toc12960"/>
      <w:r>
        <w:rPr>
          <w:rFonts w:hint="eastAsia" w:ascii="宋体" w:hAnsi="宋体"/>
          <w:color w:val="auto"/>
          <w:sz w:val="21"/>
          <w:szCs w:val="21"/>
          <w:highlight w:val="none"/>
        </w:rPr>
        <w:t>附件</w:t>
      </w:r>
      <w:r>
        <w:rPr>
          <w:rFonts w:hint="eastAsia" w:ascii="宋体" w:hAnsi="宋体"/>
          <w:color w:val="auto"/>
          <w:sz w:val="21"/>
          <w:szCs w:val="21"/>
          <w:highlight w:val="none"/>
          <w:lang w:val="en-US" w:eastAsia="zh-CN"/>
        </w:rPr>
        <w:t>1</w:t>
      </w:r>
      <w:r>
        <w:rPr>
          <w:rFonts w:hint="eastAsia" w:ascii="宋体" w:hAnsi="宋体"/>
          <w:color w:val="auto"/>
          <w:sz w:val="21"/>
          <w:szCs w:val="21"/>
          <w:highlight w:val="none"/>
        </w:rPr>
        <w:t>.开标一览表格式</w:t>
      </w:r>
      <w:bookmarkEnd w:id="218"/>
      <w:bookmarkEnd w:id="219"/>
    </w:p>
    <w:p w14:paraId="149288CA">
      <w:pPr>
        <w:jc w:val="center"/>
        <w:rPr>
          <w:rFonts w:ascii="黑体" w:eastAsia="黑体"/>
          <w:color w:val="auto"/>
          <w:sz w:val="32"/>
          <w:szCs w:val="32"/>
          <w:highlight w:val="none"/>
        </w:rPr>
      </w:pPr>
      <w:r>
        <w:rPr>
          <w:rFonts w:hint="eastAsia" w:ascii="黑体" w:eastAsia="黑体"/>
          <w:color w:val="auto"/>
          <w:sz w:val="32"/>
          <w:szCs w:val="32"/>
          <w:highlight w:val="none"/>
        </w:rPr>
        <w:t>开标一览表</w:t>
      </w:r>
    </w:p>
    <w:p w14:paraId="564C16B3">
      <w:pPr>
        <w:rPr>
          <w:color w:val="auto"/>
          <w:highlight w:val="none"/>
        </w:rPr>
      </w:pPr>
    </w:p>
    <w:p w14:paraId="5852F3D1">
      <w:pPr>
        <w:rPr>
          <w:rFonts w:ascii="宋体" w:hAnsi="宋体"/>
          <w:color w:val="auto"/>
          <w:szCs w:val="21"/>
          <w:highlight w:val="none"/>
        </w:rPr>
      </w:pPr>
      <w:r>
        <w:rPr>
          <w:rFonts w:hint="eastAsia" w:ascii="宋体" w:hAnsi="宋体"/>
          <w:color w:val="auto"/>
          <w:szCs w:val="21"/>
          <w:highlight w:val="none"/>
        </w:rPr>
        <w:t>投标人名称：</w:t>
      </w:r>
    </w:p>
    <w:p w14:paraId="1CDA14C2">
      <w:pPr>
        <w:rPr>
          <w:color w:val="auto"/>
          <w:highlight w:val="none"/>
        </w:rPr>
      </w:pPr>
      <w:r>
        <w:rPr>
          <w:rFonts w:hint="eastAsia" w:ascii="宋体" w:hAnsi="宋体"/>
          <w:color w:val="auto"/>
          <w:szCs w:val="21"/>
          <w:highlight w:val="none"/>
        </w:rPr>
        <w:t>采购项目编号：</w:t>
      </w:r>
    </w:p>
    <w:tbl>
      <w:tblPr>
        <w:tblStyle w:val="16"/>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095"/>
        <w:gridCol w:w="1877"/>
        <w:gridCol w:w="1937"/>
        <w:gridCol w:w="1669"/>
        <w:gridCol w:w="941"/>
      </w:tblGrid>
      <w:tr w14:paraId="7BF88D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73" w:hRule="atLeast"/>
          <w:jc w:val="center"/>
        </w:trPr>
        <w:tc>
          <w:tcPr>
            <w:tcW w:w="1229" w:type="pct"/>
            <w:tcBorders>
              <w:top w:val="single" w:color="auto" w:sz="4" w:space="0"/>
              <w:left w:val="single" w:color="auto" w:sz="4" w:space="0"/>
              <w:bottom w:val="single" w:color="auto" w:sz="4" w:space="0"/>
              <w:right w:val="single" w:color="auto" w:sz="4" w:space="0"/>
            </w:tcBorders>
            <w:vAlign w:val="center"/>
          </w:tcPr>
          <w:p w14:paraId="6CD244EA">
            <w:pPr>
              <w:tabs>
                <w:tab w:val="left" w:pos="1734"/>
                <w:tab w:val="left" w:pos="2814"/>
                <w:tab w:val="left" w:pos="3894"/>
                <w:tab w:val="left" w:pos="5334"/>
                <w:tab w:val="left" w:pos="6414"/>
                <w:tab w:val="left" w:pos="8574"/>
                <w:tab w:val="left" w:pos="9654"/>
              </w:tabs>
              <w:jc w:val="center"/>
              <w:rPr>
                <w:rFonts w:ascii="宋体" w:hAnsi="宋体" w:cs="宋体"/>
                <w:color w:val="auto"/>
                <w:szCs w:val="21"/>
                <w:highlight w:val="none"/>
              </w:rPr>
            </w:pPr>
            <w:r>
              <w:rPr>
                <w:rFonts w:hint="eastAsia" w:ascii="宋体" w:hAnsi="宋体"/>
                <w:color w:val="auto"/>
                <w:szCs w:val="21"/>
                <w:highlight w:val="none"/>
              </w:rPr>
              <w:t>项目名称</w:t>
            </w:r>
          </w:p>
        </w:tc>
        <w:tc>
          <w:tcPr>
            <w:tcW w:w="1101" w:type="pct"/>
            <w:tcBorders>
              <w:top w:val="single" w:color="auto" w:sz="4" w:space="0"/>
              <w:left w:val="single" w:color="auto" w:sz="4" w:space="0"/>
              <w:bottom w:val="single" w:color="auto" w:sz="4" w:space="0"/>
              <w:right w:val="single" w:color="auto" w:sz="4" w:space="0"/>
            </w:tcBorders>
            <w:vAlign w:val="center"/>
          </w:tcPr>
          <w:p w14:paraId="18233635">
            <w:pPr>
              <w:tabs>
                <w:tab w:val="left" w:pos="1734"/>
                <w:tab w:val="left" w:pos="2814"/>
                <w:tab w:val="left" w:pos="3894"/>
                <w:tab w:val="left" w:pos="5334"/>
                <w:tab w:val="left" w:pos="6414"/>
                <w:tab w:val="left" w:pos="8574"/>
                <w:tab w:val="left" w:pos="9654"/>
              </w:tabs>
              <w:jc w:val="center"/>
              <w:rPr>
                <w:rFonts w:ascii="宋体" w:hAnsi="宋体" w:cs="宋体"/>
                <w:color w:val="auto"/>
                <w:szCs w:val="21"/>
                <w:highlight w:val="none"/>
              </w:rPr>
            </w:pPr>
            <w:r>
              <w:rPr>
                <w:rFonts w:hint="eastAsia" w:ascii="宋体" w:hAnsi="宋体" w:cs="宋体"/>
                <w:color w:val="auto"/>
                <w:szCs w:val="21"/>
                <w:highlight w:val="none"/>
                <w:lang w:val="en-US" w:eastAsia="zh-CN"/>
              </w:rPr>
              <w:t>统一</w:t>
            </w:r>
            <w:r>
              <w:rPr>
                <w:rFonts w:hint="eastAsia" w:ascii="宋体" w:hAnsi="宋体" w:eastAsia="宋体" w:cs="宋体"/>
                <w:color w:val="auto"/>
                <w:szCs w:val="21"/>
                <w:highlight w:val="none"/>
              </w:rPr>
              <w:t>下浮率报价（%）</w:t>
            </w:r>
          </w:p>
        </w:tc>
        <w:tc>
          <w:tcPr>
            <w:tcW w:w="1136" w:type="pct"/>
            <w:tcBorders>
              <w:top w:val="single" w:color="auto" w:sz="4" w:space="0"/>
              <w:left w:val="single" w:color="auto" w:sz="4" w:space="0"/>
              <w:bottom w:val="single" w:color="auto" w:sz="4" w:space="0"/>
              <w:right w:val="single" w:color="auto" w:sz="4" w:space="0"/>
            </w:tcBorders>
            <w:vAlign w:val="center"/>
          </w:tcPr>
          <w:p w14:paraId="7EAFF66B">
            <w:pPr>
              <w:tabs>
                <w:tab w:val="left" w:pos="1734"/>
                <w:tab w:val="left" w:pos="2814"/>
                <w:tab w:val="left" w:pos="3894"/>
                <w:tab w:val="left" w:pos="5334"/>
                <w:tab w:val="left" w:pos="6414"/>
                <w:tab w:val="left" w:pos="8574"/>
                <w:tab w:val="left" w:pos="9654"/>
              </w:tabs>
              <w:jc w:val="center"/>
              <w:rPr>
                <w:rFonts w:hint="eastAsia" w:ascii="宋体" w:hAnsi="宋体" w:cs="宋体"/>
                <w:color w:val="auto"/>
                <w:szCs w:val="21"/>
                <w:highlight w:val="none"/>
              </w:rPr>
            </w:pPr>
            <w:r>
              <w:rPr>
                <w:rFonts w:hint="eastAsia" w:ascii="宋体" w:hAnsi="宋体" w:cs="宋体"/>
                <w:color w:val="auto"/>
                <w:kern w:val="28"/>
                <w:szCs w:val="21"/>
                <w:highlight w:val="none"/>
              </w:rPr>
              <w:t>税率</w:t>
            </w:r>
            <w:r>
              <w:rPr>
                <w:rFonts w:hint="eastAsia" w:ascii="宋体" w:hAnsi="宋体" w:cs="宋体"/>
                <w:color w:val="auto"/>
                <w:kern w:val="28"/>
                <w:szCs w:val="21"/>
                <w:highlight w:val="none"/>
                <w:lang w:eastAsia="zh-CN"/>
              </w:rPr>
              <w:t>（</w:t>
            </w:r>
            <w:r>
              <w:rPr>
                <w:rFonts w:hint="eastAsia" w:ascii="宋体" w:hAnsi="宋体" w:cs="宋体"/>
                <w:color w:val="auto"/>
                <w:kern w:val="28"/>
                <w:szCs w:val="21"/>
                <w:highlight w:val="none"/>
                <w:lang w:val="en-US" w:eastAsia="zh-CN"/>
              </w:rPr>
              <w:t>增值税专用发票</w:t>
            </w:r>
            <w:r>
              <w:rPr>
                <w:rFonts w:hint="eastAsia" w:ascii="宋体" w:hAnsi="宋体" w:cs="宋体"/>
                <w:color w:val="auto"/>
                <w:kern w:val="28"/>
                <w:szCs w:val="21"/>
                <w:highlight w:val="none"/>
                <w:lang w:eastAsia="zh-CN"/>
              </w:rPr>
              <w:t>）</w:t>
            </w:r>
          </w:p>
        </w:tc>
        <w:tc>
          <w:tcPr>
            <w:tcW w:w="979" w:type="pct"/>
            <w:tcBorders>
              <w:top w:val="single" w:color="auto" w:sz="4" w:space="0"/>
              <w:left w:val="single" w:color="auto" w:sz="4" w:space="0"/>
              <w:bottom w:val="single" w:color="auto" w:sz="4" w:space="0"/>
              <w:right w:val="single" w:color="auto" w:sz="4" w:space="0"/>
            </w:tcBorders>
            <w:vAlign w:val="center"/>
          </w:tcPr>
          <w:p w14:paraId="11DD614F">
            <w:pPr>
              <w:tabs>
                <w:tab w:val="left" w:pos="1734"/>
                <w:tab w:val="left" w:pos="2814"/>
                <w:tab w:val="left" w:pos="3894"/>
                <w:tab w:val="left" w:pos="5334"/>
                <w:tab w:val="left" w:pos="6414"/>
                <w:tab w:val="left" w:pos="8574"/>
                <w:tab w:val="left" w:pos="9654"/>
              </w:tabs>
              <w:jc w:val="center"/>
              <w:rPr>
                <w:rFonts w:ascii="宋体" w:hAnsi="宋体" w:cs="宋体"/>
                <w:color w:val="auto"/>
                <w:szCs w:val="21"/>
                <w:highlight w:val="none"/>
              </w:rPr>
            </w:pPr>
            <w:r>
              <w:rPr>
                <w:rFonts w:hint="eastAsia" w:ascii="宋体" w:hAnsi="宋体" w:cs="宋体"/>
                <w:color w:val="auto"/>
                <w:szCs w:val="21"/>
                <w:highlight w:val="none"/>
              </w:rPr>
              <w:t>服务期</w:t>
            </w:r>
          </w:p>
        </w:tc>
        <w:tc>
          <w:tcPr>
            <w:tcW w:w="552" w:type="pct"/>
            <w:tcBorders>
              <w:top w:val="single" w:color="auto" w:sz="4" w:space="0"/>
              <w:left w:val="single" w:color="auto" w:sz="4" w:space="0"/>
              <w:bottom w:val="single" w:color="auto" w:sz="4" w:space="0"/>
              <w:right w:val="single" w:color="auto" w:sz="4" w:space="0"/>
            </w:tcBorders>
            <w:vAlign w:val="center"/>
          </w:tcPr>
          <w:p w14:paraId="27A5A1AA">
            <w:pPr>
              <w:tabs>
                <w:tab w:val="left" w:pos="1734"/>
                <w:tab w:val="left" w:pos="2814"/>
                <w:tab w:val="left" w:pos="3894"/>
                <w:tab w:val="left" w:pos="5334"/>
                <w:tab w:val="left" w:pos="6414"/>
                <w:tab w:val="left" w:pos="8574"/>
                <w:tab w:val="left" w:pos="9654"/>
              </w:tabs>
              <w:jc w:val="center"/>
              <w:rPr>
                <w:rFonts w:ascii="宋体" w:hAnsi="宋体" w:cs="宋体"/>
                <w:color w:val="auto"/>
                <w:szCs w:val="21"/>
                <w:highlight w:val="none"/>
              </w:rPr>
            </w:pPr>
            <w:r>
              <w:rPr>
                <w:rFonts w:hint="eastAsia" w:ascii="宋体" w:hAnsi="宋体" w:cs="宋体"/>
                <w:color w:val="auto"/>
                <w:szCs w:val="21"/>
                <w:highlight w:val="none"/>
              </w:rPr>
              <w:t>备注</w:t>
            </w:r>
          </w:p>
        </w:tc>
      </w:tr>
      <w:tr w14:paraId="1A79F7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21" w:hRule="atLeast"/>
          <w:jc w:val="center"/>
        </w:trPr>
        <w:tc>
          <w:tcPr>
            <w:tcW w:w="1229" w:type="pct"/>
            <w:tcBorders>
              <w:top w:val="single" w:color="auto" w:sz="4" w:space="0"/>
              <w:left w:val="single" w:color="auto" w:sz="4" w:space="0"/>
              <w:bottom w:val="single" w:color="auto" w:sz="4" w:space="0"/>
              <w:right w:val="single" w:color="auto" w:sz="4" w:space="0"/>
            </w:tcBorders>
            <w:vAlign w:val="center"/>
          </w:tcPr>
          <w:p w14:paraId="6D6A80E5">
            <w:pPr>
              <w:tabs>
                <w:tab w:val="left" w:pos="1734"/>
                <w:tab w:val="left" w:pos="2814"/>
                <w:tab w:val="left" w:pos="3894"/>
                <w:tab w:val="left" w:pos="5334"/>
                <w:tab w:val="left" w:pos="6414"/>
                <w:tab w:val="left" w:pos="8574"/>
                <w:tab w:val="left" w:pos="9654"/>
              </w:tabs>
              <w:jc w:val="center"/>
              <w:rPr>
                <w:rFonts w:hint="eastAsia" w:ascii="宋体" w:hAnsi="宋体" w:eastAsia="宋体" w:cs="宋体"/>
                <w:color w:val="auto"/>
                <w:szCs w:val="21"/>
                <w:highlight w:val="none"/>
                <w:lang w:val="en-US" w:eastAsia="zh-CN"/>
              </w:rPr>
            </w:pPr>
            <w:r>
              <w:rPr>
                <w:rFonts w:hint="eastAsia" w:ascii="宋体" w:hAnsi="宋体" w:cs="宋体"/>
                <w:color w:val="auto"/>
                <w:szCs w:val="21"/>
                <w:highlight w:val="none"/>
                <w:lang w:eastAsia="zh-CN"/>
              </w:rPr>
              <w:t>餐厨项目2025年度定点维修服务项目（</w:t>
            </w:r>
            <w:r>
              <w:rPr>
                <w:rFonts w:hint="eastAsia" w:ascii="宋体" w:hAnsi="宋体" w:cs="宋体"/>
                <w:color w:val="auto"/>
                <w:szCs w:val="21"/>
                <w:highlight w:val="none"/>
                <w:lang w:val="en-US" w:eastAsia="zh-CN"/>
              </w:rPr>
              <w:t>第三次</w:t>
            </w:r>
            <w:r>
              <w:rPr>
                <w:rFonts w:hint="eastAsia" w:ascii="宋体" w:hAnsi="宋体" w:cs="宋体"/>
                <w:color w:val="auto"/>
                <w:szCs w:val="21"/>
                <w:highlight w:val="none"/>
                <w:lang w:eastAsia="zh-CN"/>
              </w:rPr>
              <w:t>采购）</w:t>
            </w:r>
          </w:p>
        </w:tc>
        <w:tc>
          <w:tcPr>
            <w:tcW w:w="1101" w:type="pct"/>
            <w:tcBorders>
              <w:top w:val="single" w:color="auto" w:sz="4" w:space="0"/>
              <w:left w:val="single" w:color="auto" w:sz="4" w:space="0"/>
              <w:bottom w:val="single" w:color="auto" w:sz="4" w:space="0"/>
              <w:right w:val="single" w:color="auto" w:sz="4" w:space="0"/>
            </w:tcBorders>
            <w:vAlign w:val="center"/>
          </w:tcPr>
          <w:p w14:paraId="02F3A0F1">
            <w:pPr>
              <w:tabs>
                <w:tab w:val="left" w:pos="1734"/>
                <w:tab w:val="left" w:pos="2814"/>
                <w:tab w:val="left" w:pos="3894"/>
                <w:tab w:val="left" w:pos="5334"/>
                <w:tab w:val="left" w:pos="6414"/>
                <w:tab w:val="left" w:pos="8574"/>
                <w:tab w:val="left" w:pos="9654"/>
              </w:tabs>
              <w:jc w:val="center"/>
              <w:rPr>
                <w:rFonts w:hint="default" w:ascii="宋体" w:hAnsi="宋体" w:eastAsia="宋体" w:cs="宋体"/>
                <w:color w:val="auto"/>
                <w:szCs w:val="21"/>
                <w:highlight w:val="none"/>
                <w:lang w:val="en-US" w:eastAsia="zh-CN"/>
              </w:rPr>
            </w:pPr>
            <w:r>
              <w:rPr>
                <w:rFonts w:hint="eastAsia" w:ascii="宋体" w:hAnsi="宋体" w:cs="宋体"/>
                <w:color w:val="auto"/>
                <w:szCs w:val="21"/>
                <w:highlight w:val="none"/>
                <w:u w:val="single"/>
                <w:lang w:val="en-US" w:eastAsia="zh-CN"/>
              </w:rPr>
              <w:t xml:space="preserve">    </w:t>
            </w:r>
            <w:r>
              <w:rPr>
                <w:rFonts w:hint="eastAsia" w:ascii="宋体" w:hAnsi="宋体" w:eastAsia="宋体" w:cs="宋体"/>
                <w:color w:val="auto"/>
                <w:szCs w:val="21"/>
                <w:highlight w:val="none"/>
              </w:rPr>
              <w:t>%</w:t>
            </w:r>
          </w:p>
        </w:tc>
        <w:tc>
          <w:tcPr>
            <w:tcW w:w="1136" w:type="pct"/>
            <w:tcBorders>
              <w:top w:val="single" w:color="auto" w:sz="4" w:space="0"/>
              <w:left w:val="single" w:color="auto" w:sz="4" w:space="0"/>
              <w:bottom w:val="single" w:color="auto" w:sz="4" w:space="0"/>
              <w:right w:val="single" w:color="auto" w:sz="4" w:space="0"/>
            </w:tcBorders>
            <w:vAlign w:val="center"/>
          </w:tcPr>
          <w:p w14:paraId="14CE6C33">
            <w:pPr>
              <w:tabs>
                <w:tab w:val="left" w:pos="1734"/>
                <w:tab w:val="left" w:pos="2814"/>
                <w:tab w:val="left" w:pos="3894"/>
                <w:tab w:val="left" w:pos="5334"/>
                <w:tab w:val="left" w:pos="6414"/>
                <w:tab w:val="left" w:pos="8574"/>
                <w:tab w:val="left" w:pos="9654"/>
              </w:tabs>
              <w:jc w:val="center"/>
              <w:rPr>
                <w:rFonts w:ascii="宋体" w:hAnsi="宋体" w:cs="宋体"/>
                <w:color w:val="auto"/>
                <w:szCs w:val="21"/>
                <w:highlight w:val="none"/>
              </w:rPr>
            </w:pPr>
          </w:p>
        </w:tc>
        <w:tc>
          <w:tcPr>
            <w:tcW w:w="979" w:type="pct"/>
            <w:tcBorders>
              <w:top w:val="single" w:color="auto" w:sz="4" w:space="0"/>
              <w:left w:val="single" w:color="auto" w:sz="4" w:space="0"/>
              <w:bottom w:val="single" w:color="auto" w:sz="4" w:space="0"/>
              <w:right w:val="single" w:color="auto" w:sz="4" w:space="0"/>
            </w:tcBorders>
            <w:vAlign w:val="center"/>
          </w:tcPr>
          <w:p w14:paraId="4B2E1385">
            <w:pPr>
              <w:tabs>
                <w:tab w:val="left" w:pos="1734"/>
                <w:tab w:val="left" w:pos="2814"/>
                <w:tab w:val="left" w:pos="3894"/>
                <w:tab w:val="left" w:pos="5334"/>
                <w:tab w:val="left" w:pos="6414"/>
                <w:tab w:val="left" w:pos="8574"/>
                <w:tab w:val="left" w:pos="9654"/>
              </w:tabs>
              <w:jc w:val="center"/>
              <w:rPr>
                <w:rFonts w:ascii="宋体" w:hAnsi="宋体" w:cs="宋体"/>
                <w:color w:val="auto"/>
                <w:szCs w:val="21"/>
                <w:highlight w:val="none"/>
              </w:rPr>
            </w:pPr>
            <w:r>
              <w:rPr>
                <w:rFonts w:hint="eastAsia" w:ascii="宋体" w:hAnsi="宋体" w:cs="宋体"/>
                <w:color w:val="auto"/>
                <w:szCs w:val="21"/>
                <w:highlight w:val="none"/>
              </w:rPr>
              <w:t>自发出中标通知书之日起服务期1年或达到项目预算金额</w:t>
            </w:r>
          </w:p>
        </w:tc>
        <w:tc>
          <w:tcPr>
            <w:tcW w:w="552" w:type="pct"/>
            <w:tcBorders>
              <w:top w:val="single" w:color="auto" w:sz="4" w:space="0"/>
              <w:left w:val="single" w:color="auto" w:sz="4" w:space="0"/>
              <w:bottom w:val="single" w:color="auto" w:sz="4" w:space="0"/>
              <w:right w:val="single" w:color="auto" w:sz="4" w:space="0"/>
            </w:tcBorders>
            <w:vAlign w:val="center"/>
          </w:tcPr>
          <w:p w14:paraId="51149524">
            <w:pPr>
              <w:tabs>
                <w:tab w:val="left" w:pos="1734"/>
                <w:tab w:val="left" w:pos="2814"/>
                <w:tab w:val="left" w:pos="3894"/>
                <w:tab w:val="left" w:pos="5334"/>
                <w:tab w:val="left" w:pos="6414"/>
                <w:tab w:val="left" w:pos="8574"/>
                <w:tab w:val="left" w:pos="9654"/>
              </w:tabs>
              <w:jc w:val="center"/>
              <w:rPr>
                <w:rFonts w:ascii="宋体" w:hAnsi="宋体" w:cs="宋体"/>
                <w:color w:val="auto"/>
                <w:szCs w:val="21"/>
                <w:highlight w:val="none"/>
              </w:rPr>
            </w:pPr>
          </w:p>
        </w:tc>
      </w:tr>
    </w:tbl>
    <w:p w14:paraId="441E723A">
      <w:pPr>
        <w:rPr>
          <w:rFonts w:ascii="宋体" w:hAnsi="宋体"/>
          <w:color w:val="auto"/>
          <w:szCs w:val="21"/>
          <w:highlight w:val="none"/>
        </w:rPr>
      </w:pPr>
    </w:p>
    <w:p w14:paraId="64F7D37F">
      <w:pPr>
        <w:ind w:firstLine="359" w:firstLineChars="171"/>
        <w:rPr>
          <w:rFonts w:ascii="宋体" w:hAnsi="宋体"/>
          <w:color w:val="auto"/>
          <w:szCs w:val="21"/>
          <w:highlight w:val="none"/>
        </w:rPr>
      </w:pPr>
    </w:p>
    <w:p w14:paraId="7FAEBA20">
      <w:pPr>
        <w:ind w:firstLine="359" w:firstLineChars="171"/>
        <w:rPr>
          <w:rFonts w:ascii="宋体" w:hAnsi="宋体"/>
          <w:color w:val="auto"/>
          <w:szCs w:val="21"/>
          <w:highlight w:val="none"/>
        </w:rPr>
      </w:pPr>
      <w:r>
        <w:rPr>
          <w:rFonts w:hint="eastAsia" w:ascii="宋体" w:hAnsi="宋体"/>
          <w:color w:val="auto"/>
          <w:szCs w:val="21"/>
          <w:highlight w:val="none"/>
        </w:rPr>
        <w:t>投标人代表签字：</w:t>
      </w:r>
    </w:p>
    <w:p w14:paraId="39A4EC71">
      <w:pPr>
        <w:ind w:firstLine="359" w:firstLineChars="171"/>
        <w:rPr>
          <w:rFonts w:ascii="宋体" w:hAnsi="宋体"/>
          <w:color w:val="auto"/>
          <w:szCs w:val="21"/>
          <w:highlight w:val="none"/>
        </w:rPr>
      </w:pPr>
      <w:r>
        <w:rPr>
          <w:rFonts w:hint="eastAsia" w:ascii="宋体" w:hAnsi="宋体"/>
          <w:color w:val="auto"/>
          <w:szCs w:val="21"/>
          <w:highlight w:val="none"/>
        </w:rPr>
        <w:t>投标人盖章：</w:t>
      </w:r>
    </w:p>
    <w:p w14:paraId="46185AC7">
      <w:pPr>
        <w:ind w:firstLine="359" w:firstLineChars="171"/>
        <w:rPr>
          <w:rFonts w:ascii="宋体" w:hAnsi="宋体"/>
          <w:color w:val="auto"/>
          <w:szCs w:val="21"/>
          <w:highlight w:val="none"/>
        </w:rPr>
      </w:pPr>
      <w:r>
        <w:rPr>
          <w:rFonts w:hint="eastAsia" w:ascii="宋体" w:hAnsi="宋体"/>
          <w:color w:val="auto"/>
          <w:szCs w:val="21"/>
          <w:highlight w:val="none"/>
        </w:rPr>
        <w:t>日期：</w:t>
      </w:r>
    </w:p>
    <w:p w14:paraId="6FE19F0D">
      <w:pPr>
        <w:ind w:firstLine="359" w:firstLineChars="171"/>
        <w:rPr>
          <w:rFonts w:ascii="宋体" w:hAnsi="宋体"/>
          <w:color w:val="auto"/>
          <w:szCs w:val="21"/>
          <w:highlight w:val="none"/>
        </w:rPr>
      </w:pPr>
    </w:p>
    <w:p w14:paraId="02D81E5D">
      <w:pPr>
        <w:ind w:left="391" w:hanging="390" w:hangingChars="186"/>
        <w:rPr>
          <w:rFonts w:ascii="宋体" w:hAnsi="宋体"/>
          <w:color w:val="auto"/>
          <w:szCs w:val="21"/>
          <w:highlight w:val="none"/>
        </w:rPr>
      </w:pPr>
      <w:r>
        <w:rPr>
          <w:rFonts w:hint="eastAsia" w:ascii="宋体" w:hAnsi="宋体"/>
          <w:color w:val="auto"/>
          <w:szCs w:val="21"/>
          <w:highlight w:val="none"/>
        </w:rPr>
        <w:t xml:space="preserve">    注：</w:t>
      </w:r>
    </w:p>
    <w:p w14:paraId="5289ED5C">
      <w:pPr>
        <w:numPr>
          <w:ilvl w:val="0"/>
          <w:numId w:val="12"/>
        </w:numPr>
        <w:ind w:firstLine="420" w:firstLineChars="200"/>
        <w:rPr>
          <w:rFonts w:ascii="宋体" w:hAnsi="宋体"/>
          <w:color w:val="auto"/>
          <w:szCs w:val="21"/>
          <w:highlight w:val="none"/>
        </w:rPr>
      </w:pPr>
      <w:r>
        <w:rPr>
          <w:rFonts w:hint="eastAsia" w:ascii="宋体" w:hAnsi="宋体"/>
          <w:color w:val="auto"/>
          <w:szCs w:val="21"/>
          <w:highlight w:val="none"/>
        </w:rPr>
        <w:t>本项目以下浮率报价，统一下浮率报价范围为[0%,100%]，投标人报价方式非统一下浮率报价形式或统一下浮率报价超出报价范围的将被视为非实质性响应而予以投标无效处理。本项目以《</w:t>
      </w:r>
      <w:r>
        <w:rPr>
          <w:rFonts w:hint="eastAsia" w:ascii="宋体" w:hAnsi="宋体"/>
          <w:color w:val="auto"/>
          <w:szCs w:val="21"/>
          <w:highlight w:val="none"/>
          <w:lang w:val="en-US" w:eastAsia="zh-CN"/>
        </w:rPr>
        <w:t>餐厨项目车辆维修</w:t>
      </w:r>
      <w:r>
        <w:rPr>
          <w:rFonts w:hint="eastAsia" w:ascii="宋体" w:hAnsi="宋体"/>
          <w:color w:val="auto"/>
          <w:szCs w:val="21"/>
          <w:highlight w:val="none"/>
        </w:rPr>
        <w:t>配件及工时单价限价表》规定的配件费用及工时费用的单价最高限价为基准进行统一下浮率报价。</w:t>
      </w:r>
    </w:p>
    <w:p w14:paraId="2DD24175">
      <w:pPr>
        <w:numPr>
          <w:ilvl w:val="0"/>
          <w:numId w:val="12"/>
        </w:numPr>
        <w:ind w:firstLine="420" w:firstLineChars="200"/>
        <w:rPr>
          <w:rFonts w:ascii="宋体" w:hAnsi="宋体"/>
          <w:color w:val="auto"/>
          <w:szCs w:val="21"/>
          <w:highlight w:val="none"/>
        </w:rPr>
      </w:pPr>
      <w:r>
        <w:rPr>
          <w:rFonts w:hint="eastAsia" w:ascii="宋体" w:hAnsi="宋体"/>
          <w:color w:val="auto"/>
          <w:szCs w:val="21"/>
          <w:highlight w:val="none"/>
        </w:rPr>
        <w:t>温馨提示：未按采购文件要求报价、填写开标一览表是导致投标人废标的常见问题，请投标人仔细填写，认真核对。</w:t>
      </w:r>
    </w:p>
    <w:p w14:paraId="38778F11">
      <w:pPr>
        <w:adjustRightInd/>
        <w:snapToGrid/>
        <w:spacing w:line="240" w:lineRule="auto"/>
        <w:rPr>
          <w:rFonts w:ascii="宋体" w:hAnsi="宋体" w:eastAsia="宋体"/>
          <w:color w:val="auto"/>
          <w:szCs w:val="21"/>
          <w:highlight w:val="none"/>
        </w:rPr>
      </w:pPr>
      <w:r>
        <w:rPr>
          <w:rFonts w:hint="eastAsia" w:ascii="宋体" w:hAnsi="宋体"/>
          <w:color w:val="auto"/>
          <w:szCs w:val="21"/>
          <w:highlight w:val="none"/>
        </w:rPr>
        <w:br w:type="page"/>
      </w:r>
    </w:p>
    <w:p w14:paraId="1C392B95">
      <w:pPr>
        <w:outlineLvl w:val="3"/>
        <w:rPr>
          <w:b/>
          <w:bCs/>
          <w:color w:val="auto"/>
          <w:highlight w:val="none"/>
        </w:rPr>
      </w:pPr>
      <w:bookmarkStart w:id="220" w:name="_Toc16059"/>
      <w:bookmarkStart w:id="221" w:name="_Toc11732"/>
      <w:bookmarkStart w:id="222" w:name="_Toc19972"/>
      <w:r>
        <w:rPr>
          <w:rFonts w:hint="eastAsia" w:ascii="宋体" w:hAnsi="宋体"/>
          <w:b/>
          <w:bCs/>
          <w:color w:val="auto"/>
          <w:sz w:val="21"/>
          <w:szCs w:val="21"/>
          <w:highlight w:val="none"/>
        </w:rPr>
        <w:t>附件</w:t>
      </w:r>
      <w:r>
        <w:rPr>
          <w:rFonts w:hint="eastAsia" w:ascii="宋体" w:hAnsi="宋体"/>
          <w:b/>
          <w:bCs/>
          <w:color w:val="auto"/>
          <w:sz w:val="21"/>
          <w:szCs w:val="21"/>
          <w:highlight w:val="none"/>
          <w:lang w:val="en-US" w:eastAsia="zh-CN"/>
        </w:rPr>
        <w:t>2</w:t>
      </w:r>
      <w:r>
        <w:rPr>
          <w:rFonts w:hint="eastAsia" w:ascii="宋体" w:hAnsi="宋体"/>
          <w:b/>
          <w:bCs/>
          <w:color w:val="auto"/>
          <w:sz w:val="21"/>
          <w:szCs w:val="21"/>
          <w:highlight w:val="none"/>
        </w:rPr>
        <w:t>.投标书格式</w:t>
      </w:r>
      <w:bookmarkEnd w:id="220"/>
      <w:bookmarkEnd w:id="221"/>
    </w:p>
    <w:p w14:paraId="4959D4D7">
      <w:pPr>
        <w:jc w:val="center"/>
        <w:rPr>
          <w:rFonts w:ascii="宋体" w:hAnsi="宋体"/>
          <w:color w:val="auto"/>
          <w:spacing w:val="1390"/>
          <w:kern w:val="0"/>
          <w:szCs w:val="21"/>
          <w:highlight w:val="none"/>
          <w:fitText w:val="1600" w:id="1764384445"/>
        </w:rPr>
      </w:pPr>
      <w:r>
        <w:rPr>
          <w:rFonts w:hint="eastAsia" w:ascii="黑体" w:eastAsia="黑体"/>
          <w:color w:val="auto"/>
          <w:spacing w:val="37"/>
          <w:kern w:val="0"/>
          <w:sz w:val="32"/>
          <w:szCs w:val="32"/>
          <w:highlight w:val="none"/>
          <w:fitText w:val="1108" w:id="886006286"/>
        </w:rPr>
        <w:t>投标</w:t>
      </w:r>
      <w:r>
        <w:rPr>
          <w:rFonts w:hint="eastAsia" w:ascii="黑体" w:eastAsia="黑体"/>
          <w:color w:val="auto"/>
          <w:spacing w:val="0"/>
          <w:kern w:val="0"/>
          <w:sz w:val="32"/>
          <w:szCs w:val="32"/>
          <w:highlight w:val="none"/>
          <w:fitText w:val="1108" w:id="886006286"/>
        </w:rPr>
        <w:t>书</w:t>
      </w:r>
    </w:p>
    <w:p w14:paraId="7225463E">
      <w:pPr>
        <w:pStyle w:val="22"/>
        <w:spacing w:line="420" w:lineRule="atLeast"/>
        <w:ind w:firstLine="0" w:firstLineChars="0"/>
        <w:rPr>
          <w:rFonts w:ascii="宋体" w:eastAsia="宋体"/>
          <w:color w:val="auto"/>
          <w:sz w:val="21"/>
          <w:szCs w:val="21"/>
          <w:highlight w:val="none"/>
        </w:rPr>
      </w:pPr>
      <w:r>
        <w:rPr>
          <w:rFonts w:hint="eastAsia" w:ascii="宋体" w:eastAsia="宋体"/>
          <w:color w:val="auto"/>
          <w:sz w:val="21"/>
          <w:szCs w:val="21"/>
          <w:highlight w:val="none"/>
        </w:rPr>
        <w:t>致：</w:t>
      </w:r>
      <w:r>
        <w:rPr>
          <w:rFonts w:hint="eastAsia" w:ascii="宋体" w:eastAsia="宋体"/>
          <w:color w:val="auto"/>
          <w:sz w:val="21"/>
          <w:szCs w:val="21"/>
          <w:highlight w:val="none"/>
          <w:lang w:val="en-US" w:eastAsia="zh-CN"/>
        </w:rPr>
        <w:t>广东政通</w:t>
      </w:r>
      <w:r>
        <w:rPr>
          <w:rFonts w:hint="eastAsia" w:ascii="宋体" w:eastAsia="宋体"/>
          <w:color w:val="auto"/>
          <w:sz w:val="21"/>
          <w:szCs w:val="21"/>
          <w:highlight w:val="none"/>
        </w:rPr>
        <w:t>招标有限公司</w:t>
      </w:r>
    </w:p>
    <w:p w14:paraId="54D47FF5">
      <w:pPr>
        <w:rPr>
          <w:rFonts w:ascii="宋体" w:hAnsi="宋体"/>
          <w:color w:val="auto"/>
          <w:spacing w:val="1390"/>
          <w:kern w:val="0"/>
          <w:szCs w:val="21"/>
          <w:highlight w:val="none"/>
          <w:fitText w:val="1600" w:id="1231831253"/>
        </w:rPr>
      </w:pPr>
    </w:p>
    <w:p w14:paraId="137183FB">
      <w:pPr>
        <w:ind w:firstLine="420" w:firstLineChars="200"/>
        <w:rPr>
          <w:rFonts w:ascii="宋体" w:hAnsi="宋体"/>
          <w:color w:val="auto"/>
          <w:szCs w:val="21"/>
          <w:highlight w:val="none"/>
        </w:rPr>
      </w:pPr>
      <w:r>
        <w:rPr>
          <w:rFonts w:hint="eastAsia" w:ascii="宋体" w:hAnsi="宋体"/>
          <w:color w:val="auto"/>
          <w:szCs w:val="21"/>
          <w:highlight w:val="none"/>
        </w:rPr>
        <w:t>根据贵方为</w:t>
      </w:r>
      <w:r>
        <w:rPr>
          <w:rFonts w:hint="eastAsia" w:ascii="宋体" w:hAnsi="宋体"/>
          <w:color w:val="auto"/>
          <w:szCs w:val="21"/>
          <w:highlight w:val="none"/>
          <w:u w:val="single"/>
        </w:rPr>
        <w:t>（项目名称）（采购项目编号）</w:t>
      </w:r>
      <w:r>
        <w:rPr>
          <w:rFonts w:hint="eastAsia" w:ascii="宋体" w:hAnsi="宋体"/>
          <w:color w:val="auto"/>
          <w:szCs w:val="21"/>
          <w:highlight w:val="none"/>
        </w:rPr>
        <w:t>项目采购公告/采购邀请，签字代表</w:t>
      </w:r>
      <w:r>
        <w:rPr>
          <w:rFonts w:hint="eastAsia" w:ascii="宋体" w:hAnsi="宋体"/>
          <w:color w:val="auto"/>
          <w:szCs w:val="21"/>
          <w:highlight w:val="none"/>
          <w:u w:val="single"/>
        </w:rPr>
        <w:t>（姓名、职务）</w:t>
      </w:r>
      <w:r>
        <w:rPr>
          <w:rFonts w:hint="eastAsia" w:ascii="宋体" w:hAnsi="宋体"/>
          <w:color w:val="auto"/>
          <w:szCs w:val="21"/>
          <w:highlight w:val="none"/>
        </w:rPr>
        <w:t>经正式授权并代表投标人</w:t>
      </w:r>
      <w:r>
        <w:rPr>
          <w:rFonts w:hint="eastAsia" w:ascii="宋体" w:hAnsi="宋体"/>
          <w:color w:val="auto"/>
          <w:szCs w:val="21"/>
          <w:highlight w:val="none"/>
          <w:u w:val="single"/>
        </w:rPr>
        <w:t>（投标人名称、地址）</w:t>
      </w:r>
      <w:r>
        <w:rPr>
          <w:rFonts w:hint="eastAsia" w:ascii="宋体" w:hAnsi="宋体"/>
          <w:color w:val="auto"/>
          <w:szCs w:val="21"/>
          <w:highlight w:val="none"/>
        </w:rPr>
        <w:t>提交投标文件及“唱标信封”：</w:t>
      </w:r>
    </w:p>
    <w:p w14:paraId="052B7214">
      <w:pPr>
        <w:ind w:firstLine="420" w:firstLineChars="200"/>
        <w:rPr>
          <w:rFonts w:ascii="宋体" w:hAnsi="宋体"/>
          <w:color w:val="auto"/>
          <w:szCs w:val="21"/>
          <w:highlight w:val="none"/>
        </w:rPr>
      </w:pPr>
      <w:r>
        <w:rPr>
          <w:rFonts w:hint="eastAsia" w:ascii="宋体" w:hAnsi="宋体"/>
          <w:color w:val="auto"/>
          <w:szCs w:val="21"/>
          <w:highlight w:val="none"/>
        </w:rPr>
        <w:t xml:space="preserve">在此，签字代表宣布同意如下： </w:t>
      </w:r>
    </w:p>
    <w:p w14:paraId="7C270DA1">
      <w:pPr>
        <w:widowControl w:val="0"/>
        <w:numPr>
          <w:ilvl w:val="0"/>
          <w:numId w:val="13"/>
        </w:numPr>
        <w:adjustRightInd/>
        <w:snapToGrid/>
        <w:jc w:val="both"/>
        <w:rPr>
          <w:rFonts w:ascii="宋体" w:hAnsi="宋体"/>
          <w:color w:val="auto"/>
          <w:szCs w:val="21"/>
          <w:highlight w:val="none"/>
        </w:rPr>
      </w:pPr>
      <w:r>
        <w:rPr>
          <w:rFonts w:hint="eastAsia" w:ascii="宋体" w:hAnsi="宋体"/>
          <w:color w:val="auto"/>
          <w:szCs w:val="21"/>
          <w:highlight w:val="none"/>
        </w:rPr>
        <w:t xml:space="preserve">我方将按采购文件的规定履行合同责任和义务。 </w:t>
      </w:r>
    </w:p>
    <w:p w14:paraId="31EAB06E">
      <w:pPr>
        <w:widowControl w:val="0"/>
        <w:numPr>
          <w:ilvl w:val="0"/>
          <w:numId w:val="13"/>
        </w:numPr>
        <w:adjustRightInd/>
        <w:snapToGrid/>
        <w:jc w:val="both"/>
        <w:rPr>
          <w:rFonts w:ascii="宋体" w:hAnsi="宋体"/>
          <w:color w:val="auto"/>
          <w:szCs w:val="21"/>
          <w:highlight w:val="none"/>
        </w:rPr>
      </w:pPr>
      <w:r>
        <w:rPr>
          <w:rFonts w:hint="eastAsia" w:ascii="宋体" w:hAnsi="宋体"/>
          <w:b/>
          <w:color w:val="auto"/>
          <w:szCs w:val="21"/>
          <w:highlight w:val="none"/>
        </w:rPr>
        <w:t>我方已完整阅读了本项目采购文件的所有内容（包括澄清，以及所有已提供的参考资料和有关附件），并完全理解上述文件所表达的意思，该项目递交投标文件时间截止后，我方承诺不再对上述文件内容进行异议。</w:t>
      </w:r>
    </w:p>
    <w:p w14:paraId="7674C3A5">
      <w:pPr>
        <w:widowControl w:val="0"/>
        <w:numPr>
          <w:ilvl w:val="0"/>
          <w:numId w:val="13"/>
        </w:numPr>
        <w:adjustRightInd/>
        <w:snapToGrid/>
        <w:jc w:val="both"/>
        <w:rPr>
          <w:rFonts w:ascii="宋体" w:hAnsi="宋体"/>
          <w:color w:val="auto"/>
          <w:szCs w:val="21"/>
          <w:highlight w:val="none"/>
        </w:rPr>
      </w:pPr>
      <w:r>
        <w:rPr>
          <w:rFonts w:hint="eastAsia" w:ascii="宋体" w:hAnsi="宋体"/>
          <w:color w:val="auto"/>
          <w:szCs w:val="21"/>
          <w:highlight w:val="none"/>
        </w:rPr>
        <w:t>本投标有效期为自开标日起</w:t>
      </w:r>
      <w:r>
        <w:rPr>
          <w:rFonts w:hint="eastAsia" w:ascii="宋体" w:hAnsi="宋体"/>
          <w:color w:val="auto"/>
          <w:szCs w:val="21"/>
          <w:highlight w:val="none"/>
          <w:u w:val="single"/>
        </w:rPr>
        <w:t>90</w:t>
      </w:r>
      <w:r>
        <w:rPr>
          <w:rFonts w:hint="eastAsia" w:ascii="宋体" w:hAnsi="宋体"/>
          <w:color w:val="auto"/>
          <w:szCs w:val="21"/>
          <w:highlight w:val="none"/>
        </w:rPr>
        <w:t xml:space="preserve">个日历日。 </w:t>
      </w:r>
    </w:p>
    <w:p w14:paraId="1D238298">
      <w:pPr>
        <w:widowControl w:val="0"/>
        <w:numPr>
          <w:ilvl w:val="0"/>
          <w:numId w:val="13"/>
        </w:numPr>
        <w:adjustRightInd/>
        <w:snapToGrid/>
        <w:jc w:val="both"/>
        <w:rPr>
          <w:rFonts w:ascii="宋体" w:hAnsi="宋体"/>
          <w:color w:val="auto"/>
          <w:szCs w:val="21"/>
          <w:highlight w:val="none"/>
        </w:rPr>
      </w:pPr>
      <w:r>
        <w:rPr>
          <w:rFonts w:hint="eastAsia" w:ascii="宋体" w:hAnsi="宋体"/>
          <w:color w:val="auto"/>
          <w:szCs w:val="21"/>
          <w:highlight w:val="none"/>
        </w:rPr>
        <w:t>我方保证遵守投标人须知中关于没收投标保证金的规定。</w:t>
      </w:r>
    </w:p>
    <w:p w14:paraId="4B1039BE">
      <w:pPr>
        <w:widowControl w:val="0"/>
        <w:numPr>
          <w:ilvl w:val="0"/>
          <w:numId w:val="13"/>
        </w:numPr>
        <w:adjustRightInd/>
        <w:snapToGrid/>
        <w:jc w:val="both"/>
        <w:rPr>
          <w:rFonts w:ascii="宋体" w:hAnsi="宋体"/>
          <w:color w:val="auto"/>
          <w:szCs w:val="21"/>
          <w:highlight w:val="none"/>
        </w:rPr>
      </w:pPr>
      <w:r>
        <w:rPr>
          <w:rFonts w:hint="eastAsia" w:ascii="宋体" w:hAnsi="宋体"/>
          <w:color w:val="auto"/>
          <w:szCs w:val="21"/>
          <w:highlight w:val="none"/>
        </w:rPr>
        <w:t xml:space="preserve">我方承诺，与买方聘请的为此项目提供咨询服务的公司及任何附属机构均无关联，我方不是买方的附属机构。 </w:t>
      </w:r>
    </w:p>
    <w:p w14:paraId="1DE1E3E6">
      <w:pPr>
        <w:widowControl w:val="0"/>
        <w:numPr>
          <w:ilvl w:val="0"/>
          <w:numId w:val="13"/>
        </w:numPr>
        <w:adjustRightInd/>
        <w:snapToGrid/>
        <w:jc w:val="both"/>
        <w:rPr>
          <w:rFonts w:ascii="宋体" w:hAnsi="宋体"/>
          <w:color w:val="auto"/>
          <w:szCs w:val="21"/>
          <w:highlight w:val="none"/>
        </w:rPr>
      </w:pPr>
      <w:r>
        <w:rPr>
          <w:rFonts w:hint="eastAsia" w:ascii="宋体" w:hAnsi="宋体"/>
          <w:color w:val="auto"/>
          <w:szCs w:val="21"/>
          <w:highlight w:val="none"/>
        </w:rPr>
        <w:t>我方承诺，我方具备投标人邀请中所要求的资格条件，已清楚采购文件所有要求及有关规定；并承诺参加本次采购活动中，如有违法、违规、弄虚作假行为，所造成的损失、不良后果及法律责任，一律由我方承担；</w:t>
      </w:r>
    </w:p>
    <w:p w14:paraId="6D27A990">
      <w:pPr>
        <w:widowControl w:val="0"/>
        <w:numPr>
          <w:ilvl w:val="0"/>
          <w:numId w:val="13"/>
        </w:numPr>
        <w:adjustRightInd/>
        <w:snapToGrid/>
        <w:jc w:val="both"/>
        <w:rPr>
          <w:rFonts w:ascii="宋体" w:hAnsi="宋体"/>
          <w:color w:val="auto"/>
          <w:szCs w:val="21"/>
          <w:highlight w:val="none"/>
        </w:rPr>
      </w:pPr>
      <w:r>
        <w:rPr>
          <w:rFonts w:hint="eastAsia" w:ascii="宋体" w:hAnsi="宋体"/>
          <w:color w:val="auto"/>
          <w:szCs w:val="21"/>
          <w:highlight w:val="none"/>
        </w:rPr>
        <w:t>我方同意提供按照贵方可能要求的与其投标有关的一切数据或资料。</w:t>
      </w:r>
    </w:p>
    <w:p w14:paraId="3FA038E7">
      <w:pPr>
        <w:widowControl w:val="0"/>
        <w:numPr>
          <w:ilvl w:val="0"/>
          <w:numId w:val="13"/>
        </w:numPr>
        <w:adjustRightInd/>
        <w:snapToGrid/>
        <w:jc w:val="both"/>
        <w:rPr>
          <w:rFonts w:ascii="宋体" w:hAnsi="宋体"/>
          <w:color w:val="auto"/>
          <w:szCs w:val="21"/>
          <w:highlight w:val="none"/>
        </w:rPr>
      </w:pPr>
      <w:r>
        <w:rPr>
          <w:rFonts w:hint="eastAsia" w:ascii="宋体" w:hAnsi="宋体"/>
          <w:color w:val="auto"/>
          <w:szCs w:val="21"/>
          <w:highlight w:val="none"/>
        </w:rPr>
        <w:t>与本投标有关的一切正式信函请寄：</w:t>
      </w:r>
    </w:p>
    <w:p w14:paraId="1131D585">
      <w:pPr>
        <w:rPr>
          <w:rFonts w:ascii="宋体" w:hAnsi="宋体"/>
          <w:color w:val="auto"/>
          <w:szCs w:val="21"/>
          <w:highlight w:val="none"/>
        </w:rPr>
      </w:pPr>
      <w:r>
        <w:rPr>
          <w:rFonts w:hint="eastAsia" w:ascii="宋体" w:hAnsi="宋体"/>
          <w:color w:val="auto"/>
          <w:szCs w:val="21"/>
          <w:highlight w:val="none"/>
        </w:rPr>
        <w:t>地址：　　　　　　　　　　　　　　　　　　　 传真：</w:t>
      </w:r>
    </w:p>
    <w:p w14:paraId="5F5407A4">
      <w:pPr>
        <w:rPr>
          <w:rFonts w:ascii="宋体" w:hAnsi="宋体"/>
          <w:color w:val="auto"/>
          <w:szCs w:val="21"/>
          <w:highlight w:val="none"/>
        </w:rPr>
      </w:pPr>
      <w:r>
        <w:rPr>
          <w:rFonts w:hint="eastAsia" w:ascii="宋体" w:hAnsi="宋体"/>
          <w:color w:val="auto"/>
          <w:szCs w:val="21"/>
          <w:highlight w:val="none"/>
        </w:rPr>
        <w:t>电话/移动电话：　　　　　　　　　　　　　　　电子函件：</w:t>
      </w:r>
    </w:p>
    <w:p w14:paraId="672DB1FE">
      <w:pPr>
        <w:rPr>
          <w:rFonts w:ascii="宋体" w:hAnsi="宋体"/>
          <w:color w:val="auto"/>
          <w:szCs w:val="21"/>
          <w:highlight w:val="none"/>
        </w:rPr>
      </w:pPr>
      <w:r>
        <w:rPr>
          <w:rFonts w:hint="eastAsia" w:ascii="宋体" w:hAnsi="宋体"/>
          <w:color w:val="auto"/>
          <w:szCs w:val="21"/>
          <w:highlight w:val="none"/>
        </w:rPr>
        <w:t xml:space="preserve">投标人代表签字： </w:t>
      </w:r>
    </w:p>
    <w:p w14:paraId="52AEF42A">
      <w:pPr>
        <w:rPr>
          <w:rFonts w:ascii="宋体" w:hAnsi="宋体"/>
          <w:color w:val="auto"/>
          <w:szCs w:val="21"/>
          <w:highlight w:val="none"/>
        </w:rPr>
      </w:pPr>
      <w:r>
        <w:rPr>
          <w:rFonts w:hint="eastAsia" w:ascii="宋体" w:hAnsi="宋体"/>
          <w:color w:val="auto"/>
          <w:szCs w:val="21"/>
          <w:highlight w:val="none"/>
        </w:rPr>
        <w:t xml:space="preserve">投标人名称（全称）： </w:t>
      </w:r>
    </w:p>
    <w:p w14:paraId="53FD4278">
      <w:pPr>
        <w:rPr>
          <w:rFonts w:ascii="宋体" w:hAnsi="宋体"/>
          <w:color w:val="auto"/>
          <w:szCs w:val="21"/>
          <w:highlight w:val="none"/>
        </w:rPr>
      </w:pPr>
      <w:r>
        <w:rPr>
          <w:rFonts w:hint="eastAsia" w:ascii="宋体" w:hAnsi="宋体"/>
          <w:color w:val="auto"/>
          <w:szCs w:val="21"/>
          <w:highlight w:val="none"/>
        </w:rPr>
        <w:t xml:space="preserve">投标人盖章： </w:t>
      </w:r>
    </w:p>
    <w:p w14:paraId="19687BCF">
      <w:pPr>
        <w:rPr>
          <w:rFonts w:ascii="宋体" w:hAnsi="宋体"/>
          <w:color w:val="auto"/>
          <w:szCs w:val="21"/>
          <w:highlight w:val="none"/>
        </w:rPr>
      </w:pPr>
      <w:r>
        <w:rPr>
          <w:rFonts w:hint="eastAsia" w:ascii="宋体" w:hAnsi="宋体"/>
          <w:color w:val="auto"/>
          <w:szCs w:val="21"/>
          <w:highlight w:val="none"/>
        </w:rPr>
        <w:t>投标人开户银行（全称）：</w:t>
      </w:r>
    </w:p>
    <w:p w14:paraId="3B4F395D">
      <w:pPr>
        <w:rPr>
          <w:rFonts w:ascii="宋体" w:hAnsi="宋体"/>
          <w:color w:val="auto"/>
          <w:szCs w:val="21"/>
          <w:highlight w:val="none"/>
        </w:rPr>
      </w:pPr>
      <w:r>
        <w:rPr>
          <w:rFonts w:hint="eastAsia" w:ascii="宋体" w:hAnsi="宋体"/>
          <w:color w:val="auto"/>
          <w:szCs w:val="21"/>
          <w:highlight w:val="none"/>
        </w:rPr>
        <w:t>投标人银行帐号：</w:t>
      </w:r>
    </w:p>
    <w:p w14:paraId="5693D476">
      <w:pPr>
        <w:rPr>
          <w:color w:val="auto"/>
          <w:highlight w:val="none"/>
        </w:rPr>
      </w:pPr>
      <w:r>
        <w:rPr>
          <w:rFonts w:hint="eastAsia" w:ascii="宋体" w:hAnsi="宋体"/>
          <w:color w:val="auto"/>
          <w:szCs w:val="21"/>
          <w:highlight w:val="none"/>
        </w:rPr>
        <w:t>日期：</w:t>
      </w:r>
      <w:r>
        <w:rPr>
          <w:color w:val="auto"/>
          <w:highlight w:val="none"/>
        </w:rPr>
        <w:br w:type="page"/>
      </w:r>
    </w:p>
    <w:p w14:paraId="2B99536F">
      <w:pPr>
        <w:pStyle w:val="4"/>
        <w:widowControl w:val="0"/>
        <w:overflowPunct w:val="0"/>
        <w:spacing w:line="240" w:lineRule="auto"/>
        <w:rPr>
          <w:rFonts w:ascii="宋体" w:hAnsi="宋体"/>
          <w:color w:val="auto"/>
          <w:sz w:val="21"/>
          <w:szCs w:val="21"/>
          <w:highlight w:val="none"/>
        </w:rPr>
      </w:pPr>
      <w:bookmarkStart w:id="223" w:name="_Toc20789"/>
      <w:r>
        <w:rPr>
          <w:rFonts w:hint="eastAsia" w:ascii="宋体" w:hAnsi="宋体"/>
          <w:color w:val="auto"/>
          <w:sz w:val="21"/>
          <w:szCs w:val="21"/>
          <w:highlight w:val="none"/>
        </w:rPr>
        <w:t>附件</w:t>
      </w:r>
      <w:r>
        <w:rPr>
          <w:rFonts w:hint="eastAsia" w:ascii="宋体" w:hAnsi="宋体"/>
          <w:color w:val="auto"/>
          <w:sz w:val="21"/>
          <w:szCs w:val="21"/>
          <w:highlight w:val="none"/>
          <w:lang w:val="en-US" w:eastAsia="zh-CN"/>
        </w:rPr>
        <w:t>3</w:t>
      </w:r>
      <w:r>
        <w:rPr>
          <w:rFonts w:hint="eastAsia" w:ascii="宋体" w:hAnsi="宋体"/>
          <w:color w:val="auto"/>
          <w:sz w:val="21"/>
          <w:szCs w:val="21"/>
          <w:highlight w:val="none"/>
        </w:rPr>
        <w:t>. 法定代表人证明书格式</w:t>
      </w:r>
      <w:bookmarkEnd w:id="222"/>
      <w:bookmarkEnd w:id="223"/>
    </w:p>
    <w:p w14:paraId="53808547">
      <w:pPr>
        <w:rPr>
          <w:color w:val="auto"/>
          <w:highlight w:val="none"/>
        </w:rPr>
      </w:pPr>
    </w:p>
    <w:p w14:paraId="70866D77">
      <w:pPr>
        <w:jc w:val="center"/>
        <w:rPr>
          <w:rFonts w:ascii="黑体" w:eastAsia="黑体"/>
          <w:color w:val="auto"/>
          <w:sz w:val="28"/>
          <w:szCs w:val="28"/>
          <w:highlight w:val="none"/>
        </w:rPr>
      </w:pPr>
      <w:r>
        <w:rPr>
          <w:rFonts w:hint="eastAsia" w:ascii="黑体" w:eastAsia="黑体"/>
          <w:color w:val="auto"/>
          <w:sz w:val="28"/>
          <w:szCs w:val="28"/>
          <w:highlight w:val="none"/>
        </w:rPr>
        <w:t>法定代表人证明书</w:t>
      </w:r>
    </w:p>
    <w:p w14:paraId="68852872">
      <w:pPr>
        <w:pStyle w:val="22"/>
        <w:spacing w:line="420" w:lineRule="atLeast"/>
        <w:ind w:firstLine="0" w:firstLineChars="0"/>
        <w:rPr>
          <w:rFonts w:ascii="宋体" w:eastAsia="宋体"/>
          <w:color w:val="auto"/>
          <w:sz w:val="21"/>
          <w:szCs w:val="21"/>
          <w:highlight w:val="none"/>
        </w:rPr>
      </w:pPr>
      <w:r>
        <w:rPr>
          <w:rFonts w:hint="eastAsia" w:ascii="宋体" w:eastAsia="宋体"/>
          <w:color w:val="auto"/>
          <w:sz w:val="21"/>
          <w:szCs w:val="21"/>
          <w:highlight w:val="none"/>
        </w:rPr>
        <w:t>致：广东政通招标有限公司</w:t>
      </w:r>
    </w:p>
    <w:p w14:paraId="14E96C85">
      <w:pPr>
        <w:pStyle w:val="22"/>
        <w:spacing w:line="420" w:lineRule="atLeast"/>
        <w:ind w:firstLine="433"/>
        <w:rPr>
          <w:rFonts w:ascii="宋体" w:eastAsia="宋体"/>
          <w:color w:val="auto"/>
          <w:sz w:val="21"/>
          <w:szCs w:val="21"/>
          <w:highlight w:val="none"/>
        </w:rPr>
      </w:pPr>
    </w:p>
    <w:p w14:paraId="00E3A40A">
      <w:pPr>
        <w:pStyle w:val="22"/>
        <w:spacing w:line="420" w:lineRule="atLeast"/>
        <w:ind w:firstLine="433"/>
        <w:rPr>
          <w:rFonts w:ascii="宋体" w:eastAsia="宋体"/>
          <w:color w:val="auto"/>
          <w:sz w:val="21"/>
          <w:szCs w:val="21"/>
          <w:highlight w:val="none"/>
          <w:u w:val="single"/>
        </w:rPr>
      </w:pPr>
      <w:r>
        <w:rPr>
          <w:rFonts w:hint="eastAsia" w:ascii="宋体" w:eastAsia="宋体"/>
          <w:color w:val="auto"/>
          <w:sz w:val="21"/>
          <w:szCs w:val="21"/>
          <w:highlight w:val="none"/>
        </w:rPr>
        <w:t>投标人名称:</w:t>
      </w:r>
    </w:p>
    <w:p w14:paraId="011FF3FC">
      <w:pPr>
        <w:pStyle w:val="22"/>
        <w:spacing w:line="420" w:lineRule="atLeast"/>
        <w:ind w:firstLine="433"/>
        <w:rPr>
          <w:rFonts w:ascii="宋体" w:eastAsia="宋体"/>
          <w:color w:val="auto"/>
          <w:sz w:val="21"/>
          <w:szCs w:val="21"/>
          <w:highlight w:val="none"/>
          <w:u w:val="single"/>
        </w:rPr>
      </w:pPr>
      <w:r>
        <w:rPr>
          <w:rFonts w:hint="eastAsia" w:ascii="宋体" w:eastAsia="宋体"/>
          <w:color w:val="auto"/>
          <w:sz w:val="21"/>
          <w:szCs w:val="21"/>
          <w:highlight w:val="none"/>
        </w:rPr>
        <w:t>单 位 性质：</w:t>
      </w:r>
    </w:p>
    <w:p w14:paraId="134D94B0">
      <w:pPr>
        <w:pStyle w:val="22"/>
        <w:spacing w:line="420" w:lineRule="atLeast"/>
        <w:ind w:firstLine="433"/>
        <w:rPr>
          <w:rFonts w:ascii="宋体" w:eastAsia="宋体"/>
          <w:color w:val="auto"/>
          <w:sz w:val="21"/>
          <w:szCs w:val="21"/>
          <w:highlight w:val="none"/>
          <w:u w:val="single"/>
        </w:rPr>
      </w:pPr>
      <w:r>
        <w:rPr>
          <w:rFonts w:hint="eastAsia" w:ascii="宋体" w:eastAsia="宋体"/>
          <w:color w:val="auto"/>
          <w:sz w:val="21"/>
          <w:szCs w:val="21"/>
          <w:highlight w:val="none"/>
        </w:rPr>
        <w:t>地      址：</w:t>
      </w:r>
    </w:p>
    <w:p w14:paraId="4064055A">
      <w:pPr>
        <w:pStyle w:val="22"/>
        <w:spacing w:line="420" w:lineRule="atLeast"/>
        <w:ind w:firstLine="433"/>
        <w:rPr>
          <w:rFonts w:ascii="宋体" w:eastAsia="宋体"/>
          <w:color w:val="auto"/>
          <w:sz w:val="21"/>
          <w:szCs w:val="21"/>
          <w:highlight w:val="none"/>
        </w:rPr>
      </w:pPr>
      <w:r>
        <w:rPr>
          <w:rFonts w:hint="eastAsia" w:ascii="宋体" w:eastAsia="宋体"/>
          <w:color w:val="auto"/>
          <w:sz w:val="21"/>
          <w:szCs w:val="21"/>
          <w:highlight w:val="none"/>
        </w:rPr>
        <w:t>成 立 时间：年月日</w:t>
      </w:r>
    </w:p>
    <w:p w14:paraId="0912DF0C">
      <w:pPr>
        <w:pStyle w:val="22"/>
        <w:spacing w:line="420" w:lineRule="atLeast"/>
        <w:ind w:firstLine="433"/>
        <w:rPr>
          <w:rFonts w:ascii="宋体" w:eastAsia="宋体"/>
          <w:color w:val="auto"/>
          <w:sz w:val="21"/>
          <w:szCs w:val="21"/>
          <w:highlight w:val="none"/>
        </w:rPr>
      </w:pPr>
      <w:r>
        <w:rPr>
          <w:rFonts w:hint="eastAsia" w:ascii="宋体" w:eastAsia="宋体"/>
          <w:color w:val="auto"/>
          <w:sz w:val="21"/>
          <w:szCs w:val="21"/>
          <w:highlight w:val="none"/>
        </w:rPr>
        <w:t>经 营 期限：</w:t>
      </w:r>
    </w:p>
    <w:p w14:paraId="2E9350DE">
      <w:pPr>
        <w:pStyle w:val="22"/>
        <w:spacing w:line="420" w:lineRule="atLeast"/>
        <w:ind w:firstLine="433"/>
        <w:rPr>
          <w:rFonts w:ascii="宋体" w:eastAsia="宋体"/>
          <w:color w:val="auto"/>
          <w:sz w:val="21"/>
          <w:szCs w:val="21"/>
          <w:highlight w:val="none"/>
        </w:rPr>
      </w:pPr>
      <w:r>
        <w:rPr>
          <w:rFonts w:hint="eastAsia" w:ascii="宋体" w:eastAsia="宋体"/>
          <w:color w:val="auto"/>
          <w:sz w:val="21"/>
          <w:szCs w:val="21"/>
          <w:highlight w:val="none"/>
        </w:rPr>
        <w:t>姓名：性别：年龄：职务：</w:t>
      </w:r>
    </w:p>
    <w:p w14:paraId="34832782">
      <w:pPr>
        <w:pStyle w:val="22"/>
        <w:spacing w:line="420" w:lineRule="atLeast"/>
        <w:ind w:firstLine="433"/>
        <w:rPr>
          <w:rFonts w:ascii="宋体" w:eastAsia="宋体"/>
          <w:color w:val="auto"/>
          <w:sz w:val="21"/>
          <w:szCs w:val="21"/>
          <w:highlight w:val="none"/>
        </w:rPr>
      </w:pPr>
      <w:r>
        <w:rPr>
          <w:rFonts w:hint="eastAsia" w:ascii="宋体" w:eastAsia="宋体"/>
          <w:color w:val="auto"/>
          <w:sz w:val="21"/>
          <w:szCs w:val="21"/>
          <w:highlight w:val="none"/>
        </w:rPr>
        <w:t>系（投标人名称）的法定代表人。</w:t>
      </w:r>
    </w:p>
    <w:p w14:paraId="41F6892E">
      <w:pPr>
        <w:spacing w:line="420" w:lineRule="atLeast"/>
        <w:ind w:firstLine="420" w:firstLineChars="200"/>
        <w:rPr>
          <w:rFonts w:ascii="宋体" w:hAnsi="宋体"/>
          <w:color w:val="auto"/>
          <w:szCs w:val="21"/>
          <w:highlight w:val="none"/>
        </w:rPr>
      </w:pPr>
      <w:r>
        <w:rPr>
          <w:rFonts w:hint="eastAsia" w:ascii="宋体" w:hAnsi="宋体"/>
          <w:color w:val="auto"/>
          <w:szCs w:val="21"/>
          <w:highlight w:val="none"/>
        </w:rPr>
        <w:t>特此证明。</w:t>
      </w:r>
    </w:p>
    <w:p w14:paraId="04222A12">
      <w:pPr>
        <w:pStyle w:val="22"/>
        <w:spacing w:line="500" w:lineRule="atLeast"/>
        <w:ind w:firstLine="3517" w:firstLineChars="1675"/>
        <w:rPr>
          <w:rFonts w:ascii="宋体" w:eastAsia="宋体"/>
          <w:color w:val="auto"/>
          <w:sz w:val="21"/>
          <w:szCs w:val="21"/>
          <w:highlight w:val="none"/>
        </w:rPr>
      </w:pPr>
    </w:p>
    <w:p w14:paraId="55E24A67">
      <w:pPr>
        <w:pStyle w:val="22"/>
        <w:spacing w:line="500" w:lineRule="atLeast"/>
        <w:ind w:firstLine="3517" w:firstLineChars="1675"/>
        <w:rPr>
          <w:rFonts w:ascii="宋体" w:eastAsia="宋体"/>
          <w:color w:val="auto"/>
          <w:sz w:val="21"/>
          <w:szCs w:val="21"/>
          <w:highlight w:val="none"/>
        </w:rPr>
      </w:pPr>
      <w:r>
        <w:rPr>
          <w:rFonts w:hint="eastAsia" w:ascii="宋体" w:eastAsia="宋体"/>
          <w:color w:val="auto"/>
          <w:sz w:val="21"/>
          <w:szCs w:val="21"/>
          <w:highlight w:val="none"/>
        </w:rPr>
        <w:t>投标人名称（加盖公章）：</w:t>
      </w:r>
    </w:p>
    <w:p w14:paraId="7D4A8624">
      <w:pPr>
        <w:pStyle w:val="22"/>
        <w:spacing w:line="500" w:lineRule="atLeast"/>
        <w:ind w:firstLine="3517" w:firstLineChars="1675"/>
        <w:rPr>
          <w:rFonts w:ascii="宋体" w:eastAsia="宋体"/>
          <w:color w:val="auto"/>
          <w:sz w:val="21"/>
          <w:szCs w:val="21"/>
          <w:highlight w:val="none"/>
        </w:rPr>
      </w:pPr>
      <w:r>
        <w:rPr>
          <w:rFonts w:hint="eastAsia" w:ascii="宋体" w:eastAsia="宋体"/>
          <w:color w:val="auto"/>
          <w:sz w:val="21"/>
          <w:szCs w:val="21"/>
          <w:highlight w:val="none"/>
        </w:rPr>
        <w:t>法定代表人（签名或盖私章）：</w:t>
      </w:r>
    </w:p>
    <w:p w14:paraId="28981CA5">
      <w:pPr>
        <w:pStyle w:val="22"/>
        <w:spacing w:line="500" w:lineRule="atLeast"/>
        <w:ind w:firstLine="3517" w:firstLineChars="1675"/>
        <w:rPr>
          <w:rFonts w:ascii="宋体" w:eastAsia="宋体"/>
          <w:color w:val="auto"/>
          <w:sz w:val="21"/>
          <w:szCs w:val="21"/>
          <w:highlight w:val="none"/>
        </w:rPr>
      </w:pPr>
      <w:r>
        <w:rPr>
          <w:rFonts w:hint="eastAsia" w:ascii="宋体" w:eastAsia="宋体"/>
          <w:color w:val="auto"/>
          <w:sz w:val="21"/>
          <w:szCs w:val="21"/>
          <w:highlight w:val="none"/>
        </w:rPr>
        <w:t>法定代表人联系方式：</w:t>
      </w:r>
    </w:p>
    <w:p w14:paraId="45AAA1EC">
      <w:pPr>
        <w:pStyle w:val="22"/>
        <w:spacing w:line="500" w:lineRule="atLeast"/>
        <w:ind w:firstLine="3517" w:firstLineChars="1675"/>
        <w:rPr>
          <w:rFonts w:ascii="宋体" w:eastAsia="宋体"/>
          <w:color w:val="auto"/>
          <w:sz w:val="21"/>
          <w:szCs w:val="21"/>
          <w:highlight w:val="none"/>
          <w:u w:val="single"/>
        </w:rPr>
      </w:pPr>
      <w:r>
        <w:rPr>
          <w:rFonts w:hint="eastAsia" w:ascii="宋体" w:eastAsia="宋体"/>
          <w:color w:val="auto"/>
          <w:sz w:val="21"/>
          <w:szCs w:val="21"/>
          <w:highlight w:val="none"/>
        </w:rPr>
        <w:t>身份证号码：</w:t>
      </w:r>
    </w:p>
    <w:p w14:paraId="0A2604CF">
      <w:pPr>
        <w:pStyle w:val="22"/>
        <w:spacing w:line="500" w:lineRule="atLeast"/>
        <w:ind w:firstLine="3507" w:firstLineChars="1670"/>
        <w:rPr>
          <w:rFonts w:ascii="宋体" w:eastAsia="宋体"/>
          <w:color w:val="auto"/>
          <w:sz w:val="21"/>
          <w:szCs w:val="21"/>
          <w:highlight w:val="none"/>
        </w:rPr>
      </w:pPr>
      <w:r>
        <w:rPr>
          <w:rFonts w:hint="eastAsia" w:ascii="宋体" w:eastAsia="宋体"/>
          <w:color w:val="auto"/>
          <w:sz w:val="21"/>
          <w:szCs w:val="21"/>
          <w:highlight w:val="none"/>
        </w:rPr>
        <w:t>日     期：年月日</w:t>
      </w:r>
    </w:p>
    <w:p w14:paraId="2E70D33F">
      <w:pPr>
        <w:ind w:firstLine="420" w:firstLineChars="200"/>
        <w:rPr>
          <w:rFonts w:ascii="宋体" w:hAnsi="宋体"/>
          <w:color w:val="auto"/>
          <w:szCs w:val="21"/>
          <w:highlight w:val="none"/>
        </w:rPr>
      </w:pPr>
    </w:p>
    <w:p w14:paraId="538E2EA5">
      <w:pPr>
        <w:ind w:firstLine="420" w:firstLineChars="200"/>
        <w:rPr>
          <w:rFonts w:ascii="宋体" w:hAnsi="宋体"/>
          <w:color w:val="auto"/>
          <w:szCs w:val="21"/>
          <w:highlight w:val="none"/>
        </w:rPr>
      </w:pPr>
      <w:r>
        <w:rPr>
          <w:rFonts w:hint="eastAsia" w:ascii="宋体" w:hAnsi="宋体"/>
          <w:color w:val="auto"/>
          <w:szCs w:val="21"/>
          <w:highlight w:val="none"/>
        </w:rPr>
        <w:t>注：法定代表人身份证明书需附法人代表身份证复印件。</w:t>
      </w:r>
    </w:p>
    <w:tbl>
      <w:tblPr>
        <w:tblStyle w:val="16"/>
        <w:tblW w:w="8364" w:type="dxa"/>
        <w:jc w:val="center"/>
        <w:tblBorders>
          <w:top w:val="dashed" w:color="auto" w:sz="4" w:space="0"/>
          <w:left w:val="dashed" w:color="auto" w:sz="4" w:space="0"/>
          <w:bottom w:val="dashed" w:color="auto" w:sz="4" w:space="0"/>
          <w:right w:val="dashed" w:color="auto" w:sz="4" w:space="0"/>
          <w:insideH w:val="dashed" w:color="auto" w:sz="4" w:space="0"/>
          <w:insideV w:val="dashed" w:color="auto" w:sz="4" w:space="0"/>
        </w:tblBorders>
        <w:tblLayout w:type="fixed"/>
        <w:tblCellMar>
          <w:top w:w="0" w:type="dxa"/>
          <w:left w:w="108" w:type="dxa"/>
          <w:bottom w:w="0" w:type="dxa"/>
          <w:right w:w="108" w:type="dxa"/>
        </w:tblCellMar>
      </w:tblPr>
      <w:tblGrid>
        <w:gridCol w:w="4182"/>
        <w:gridCol w:w="4182"/>
      </w:tblGrid>
      <w:tr w14:paraId="6567DC36">
        <w:tblPrEx>
          <w:tblBorders>
            <w:top w:val="dashed" w:color="auto" w:sz="4" w:space="0"/>
            <w:left w:val="dashed" w:color="auto" w:sz="4" w:space="0"/>
            <w:bottom w:val="dashed" w:color="auto" w:sz="4" w:space="0"/>
            <w:right w:val="dashed" w:color="auto" w:sz="4" w:space="0"/>
            <w:insideH w:val="dashed" w:color="auto" w:sz="4" w:space="0"/>
            <w:insideV w:val="dashed" w:color="auto" w:sz="4" w:space="0"/>
          </w:tblBorders>
          <w:tblCellMar>
            <w:top w:w="0" w:type="dxa"/>
            <w:left w:w="108" w:type="dxa"/>
            <w:bottom w:w="0" w:type="dxa"/>
            <w:right w:w="108" w:type="dxa"/>
          </w:tblCellMar>
        </w:tblPrEx>
        <w:trPr>
          <w:trHeight w:val="2517" w:hRule="atLeast"/>
          <w:jc w:val="center"/>
        </w:trPr>
        <w:tc>
          <w:tcPr>
            <w:tcW w:w="4182" w:type="dxa"/>
            <w:vAlign w:val="center"/>
          </w:tcPr>
          <w:p w14:paraId="321A9E82">
            <w:pPr>
              <w:pStyle w:val="22"/>
              <w:spacing w:line="460" w:lineRule="exact"/>
              <w:ind w:firstLine="0" w:firstLineChars="0"/>
              <w:jc w:val="center"/>
              <w:rPr>
                <w:rFonts w:ascii="宋体" w:eastAsia="宋体"/>
                <w:color w:val="auto"/>
                <w:sz w:val="22"/>
                <w:highlight w:val="none"/>
              </w:rPr>
            </w:pPr>
            <w:r>
              <w:rPr>
                <w:rFonts w:hint="eastAsia" w:ascii="宋体" w:eastAsia="宋体"/>
                <w:color w:val="auto"/>
                <w:sz w:val="22"/>
                <w:highlight w:val="none"/>
              </w:rPr>
              <w:t>正面</w:t>
            </w:r>
          </w:p>
        </w:tc>
        <w:tc>
          <w:tcPr>
            <w:tcW w:w="4182" w:type="dxa"/>
            <w:vAlign w:val="center"/>
          </w:tcPr>
          <w:p w14:paraId="502E1551">
            <w:pPr>
              <w:pStyle w:val="22"/>
              <w:spacing w:line="460" w:lineRule="exact"/>
              <w:ind w:firstLine="0" w:firstLineChars="0"/>
              <w:jc w:val="center"/>
              <w:rPr>
                <w:rFonts w:ascii="宋体" w:eastAsia="宋体"/>
                <w:color w:val="auto"/>
                <w:sz w:val="22"/>
                <w:highlight w:val="none"/>
              </w:rPr>
            </w:pPr>
            <w:r>
              <w:rPr>
                <w:rFonts w:hint="eastAsia" w:ascii="宋体" w:eastAsia="宋体"/>
                <w:color w:val="auto"/>
                <w:sz w:val="22"/>
                <w:highlight w:val="none"/>
              </w:rPr>
              <w:t>背面</w:t>
            </w:r>
          </w:p>
        </w:tc>
      </w:tr>
    </w:tbl>
    <w:p w14:paraId="3296603D">
      <w:pPr>
        <w:rPr>
          <w:color w:val="auto"/>
          <w:highlight w:val="none"/>
        </w:rPr>
      </w:pPr>
    </w:p>
    <w:p w14:paraId="7BA0B321">
      <w:pPr>
        <w:adjustRightInd/>
        <w:snapToGrid/>
        <w:spacing w:line="276" w:lineRule="auto"/>
        <w:rPr>
          <w:rFonts w:ascii="楷体_GB2312" w:eastAsia="楷体_GB2312" w:hAnsiTheme="majorHAnsi" w:cstheme="majorBidi"/>
          <w:b/>
          <w:bCs/>
          <w:color w:val="auto"/>
          <w:sz w:val="24"/>
          <w:szCs w:val="28"/>
          <w:highlight w:val="none"/>
        </w:rPr>
      </w:pPr>
      <w:r>
        <w:rPr>
          <w:rFonts w:ascii="楷体_GB2312" w:eastAsia="楷体_GB2312"/>
          <w:color w:val="auto"/>
          <w:sz w:val="24"/>
          <w:highlight w:val="none"/>
        </w:rPr>
        <w:br w:type="page"/>
      </w:r>
    </w:p>
    <w:p w14:paraId="07332C12">
      <w:pPr>
        <w:pStyle w:val="4"/>
        <w:widowControl w:val="0"/>
        <w:overflowPunct w:val="0"/>
        <w:spacing w:line="240" w:lineRule="auto"/>
        <w:rPr>
          <w:color w:val="auto"/>
          <w:highlight w:val="none"/>
        </w:rPr>
      </w:pPr>
      <w:bookmarkStart w:id="224" w:name="_Toc19149"/>
      <w:bookmarkStart w:id="225" w:name="_Toc22234"/>
      <w:r>
        <w:rPr>
          <w:rFonts w:hint="eastAsia" w:ascii="宋体" w:hAnsi="宋体"/>
          <w:color w:val="auto"/>
          <w:sz w:val="21"/>
          <w:szCs w:val="21"/>
          <w:highlight w:val="none"/>
        </w:rPr>
        <w:t>附件</w:t>
      </w:r>
      <w:r>
        <w:rPr>
          <w:rFonts w:hint="eastAsia" w:ascii="宋体" w:hAnsi="宋体"/>
          <w:color w:val="auto"/>
          <w:sz w:val="21"/>
          <w:szCs w:val="21"/>
          <w:highlight w:val="none"/>
          <w:lang w:val="en-US" w:eastAsia="zh-CN"/>
        </w:rPr>
        <w:t>4</w:t>
      </w:r>
      <w:r>
        <w:rPr>
          <w:rFonts w:hint="eastAsia" w:ascii="宋体" w:hAnsi="宋体"/>
          <w:color w:val="auto"/>
          <w:sz w:val="21"/>
          <w:szCs w:val="21"/>
          <w:highlight w:val="none"/>
        </w:rPr>
        <w:t>.法定代表人授权书格式</w:t>
      </w:r>
      <w:bookmarkEnd w:id="224"/>
      <w:bookmarkEnd w:id="225"/>
    </w:p>
    <w:p w14:paraId="55D4E061">
      <w:pPr>
        <w:rPr>
          <w:color w:val="auto"/>
          <w:highlight w:val="none"/>
        </w:rPr>
      </w:pPr>
    </w:p>
    <w:p w14:paraId="38073438">
      <w:pPr>
        <w:jc w:val="center"/>
        <w:rPr>
          <w:rFonts w:ascii="黑体" w:eastAsia="黑体"/>
          <w:color w:val="auto"/>
          <w:sz w:val="28"/>
          <w:szCs w:val="28"/>
          <w:highlight w:val="none"/>
        </w:rPr>
      </w:pPr>
      <w:r>
        <w:rPr>
          <w:rFonts w:hint="eastAsia" w:ascii="黑体" w:eastAsia="黑体"/>
          <w:color w:val="auto"/>
          <w:sz w:val="28"/>
          <w:szCs w:val="28"/>
          <w:highlight w:val="none"/>
        </w:rPr>
        <w:t>法定代表人授权书</w:t>
      </w:r>
    </w:p>
    <w:p w14:paraId="37886E4A">
      <w:pPr>
        <w:pStyle w:val="22"/>
        <w:spacing w:line="420" w:lineRule="atLeast"/>
        <w:ind w:firstLine="0" w:firstLineChars="0"/>
        <w:rPr>
          <w:rFonts w:ascii="宋体" w:eastAsia="宋体"/>
          <w:color w:val="auto"/>
          <w:sz w:val="21"/>
          <w:szCs w:val="21"/>
          <w:highlight w:val="none"/>
        </w:rPr>
      </w:pPr>
      <w:r>
        <w:rPr>
          <w:rFonts w:hint="eastAsia" w:ascii="宋体" w:eastAsia="宋体"/>
          <w:color w:val="auto"/>
          <w:sz w:val="21"/>
          <w:szCs w:val="21"/>
          <w:highlight w:val="none"/>
        </w:rPr>
        <w:t>致：广东政通招标有限公司</w:t>
      </w:r>
    </w:p>
    <w:p w14:paraId="1E7215B2">
      <w:pPr>
        <w:pStyle w:val="22"/>
        <w:spacing w:line="420" w:lineRule="atLeast"/>
        <w:ind w:firstLine="433"/>
        <w:rPr>
          <w:rFonts w:ascii="宋体" w:eastAsia="宋体"/>
          <w:color w:val="auto"/>
          <w:sz w:val="21"/>
          <w:szCs w:val="21"/>
          <w:highlight w:val="none"/>
        </w:rPr>
      </w:pPr>
    </w:p>
    <w:p w14:paraId="5C3DF538">
      <w:pPr>
        <w:ind w:firstLine="420" w:firstLineChars="200"/>
        <w:rPr>
          <w:rFonts w:ascii="宋体" w:hAnsi="宋体" w:cs="Times New Roman"/>
          <w:color w:val="auto"/>
          <w:szCs w:val="21"/>
          <w:highlight w:val="none"/>
        </w:rPr>
      </w:pPr>
      <w:r>
        <w:rPr>
          <w:rFonts w:hint="eastAsia" w:ascii="宋体" w:hAnsi="宋体" w:cs="Times New Roman"/>
          <w:color w:val="auto"/>
          <w:szCs w:val="21"/>
          <w:highlight w:val="none"/>
        </w:rPr>
        <w:t>本授权书声明：注册于</w:t>
      </w:r>
      <w:r>
        <w:rPr>
          <w:rFonts w:hint="eastAsia" w:ascii="宋体" w:hAnsi="宋体" w:cs="Times New Roman"/>
          <w:color w:val="auto"/>
          <w:szCs w:val="21"/>
          <w:highlight w:val="none"/>
          <w:u w:val="single"/>
        </w:rPr>
        <w:t>（国家或地区的名称）</w:t>
      </w:r>
      <w:r>
        <w:rPr>
          <w:rFonts w:hint="eastAsia" w:ascii="宋体" w:hAnsi="宋体" w:cs="Times New Roman"/>
          <w:color w:val="auto"/>
          <w:szCs w:val="21"/>
          <w:highlight w:val="none"/>
        </w:rPr>
        <w:t>的</w:t>
      </w:r>
      <w:r>
        <w:rPr>
          <w:rFonts w:hint="eastAsia" w:ascii="宋体" w:hAnsi="宋体" w:cs="Times New Roman"/>
          <w:color w:val="auto"/>
          <w:szCs w:val="21"/>
          <w:highlight w:val="none"/>
          <w:u w:val="single"/>
        </w:rPr>
        <w:t>（单位名称）</w:t>
      </w:r>
      <w:r>
        <w:rPr>
          <w:rFonts w:hint="eastAsia" w:ascii="宋体" w:hAnsi="宋体" w:cs="Times New Roman"/>
          <w:color w:val="auto"/>
          <w:szCs w:val="21"/>
          <w:highlight w:val="none"/>
        </w:rPr>
        <w:t>的在下面签字的</w:t>
      </w:r>
      <w:r>
        <w:rPr>
          <w:rFonts w:hint="eastAsia" w:ascii="宋体" w:hAnsi="宋体" w:cs="Times New Roman"/>
          <w:color w:val="auto"/>
          <w:szCs w:val="21"/>
          <w:highlight w:val="none"/>
          <w:u w:val="single"/>
        </w:rPr>
        <w:t>（法定代表人姓名、职务）</w:t>
      </w:r>
      <w:r>
        <w:rPr>
          <w:rFonts w:hint="eastAsia" w:ascii="宋体" w:hAnsi="宋体" w:cs="Times New Roman"/>
          <w:color w:val="auto"/>
          <w:szCs w:val="21"/>
          <w:highlight w:val="none"/>
        </w:rPr>
        <w:t>代表本单位授权</w:t>
      </w:r>
      <w:r>
        <w:rPr>
          <w:rFonts w:hint="eastAsia" w:ascii="宋体" w:hAnsi="宋体" w:cs="Times New Roman"/>
          <w:color w:val="auto"/>
          <w:szCs w:val="21"/>
          <w:highlight w:val="none"/>
          <w:u w:val="single"/>
        </w:rPr>
        <w:t>（单位名称）</w:t>
      </w:r>
      <w:r>
        <w:rPr>
          <w:rFonts w:hint="eastAsia" w:ascii="宋体" w:hAnsi="宋体" w:cs="Times New Roman"/>
          <w:color w:val="auto"/>
          <w:szCs w:val="21"/>
          <w:highlight w:val="none"/>
        </w:rPr>
        <w:t>的在下面签字的</w:t>
      </w:r>
      <w:r>
        <w:rPr>
          <w:rFonts w:hint="eastAsia" w:ascii="宋体" w:hAnsi="宋体" w:cs="Times New Roman"/>
          <w:color w:val="auto"/>
          <w:szCs w:val="21"/>
          <w:highlight w:val="none"/>
          <w:u w:val="single"/>
        </w:rPr>
        <w:t>（被授权人的姓名、职务）</w:t>
      </w:r>
      <w:r>
        <w:rPr>
          <w:rFonts w:hint="eastAsia" w:ascii="宋体" w:hAnsi="宋体" w:cs="Times New Roman"/>
          <w:color w:val="auto"/>
          <w:szCs w:val="21"/>
          <w:highlight w:val="none"/>
        </w:rPr>
        <w:t>为本单位的合法代理人，就</w:t>
      </w:r>
      <w:r>
        <w:rPr>
          <w:rFonts w:hint="eastAsia" w:ascii="宋体" w:hAnsi="宋体" w:cs="Times New Roman"/>
          <w:color w:val="auto"/>
          <w:szCs w:val="21"/>
          <w:highlight w:val="none"/>
          <w:u w:val="single"/>
        </w:rPr>
        <w:t>（项目名称）</w:t>
      </w:r>
      <w:r>
        <w:rPr>
          <w:rFonts w:hint="eastAsia" w:ascii="宋体" w:hAnsi="宋体" w:cs="Times New Roman"/>
          <w:color w:val="auto"/>
          <w:szCs w:val="21"/>
          <w:highlight w:val="none"/>
        </w:rPr>
        <w:t>投标及参加项目谈判，以本单位名义处理一切与之有关的事务。</w:t>
      </w:r>
    </w:p>
    <w:p w14:paraId="5D95CD4E">
      <w:pPr>
        <w:ind w:firstLine="315" w:firstLineChars="150"/>
        <w:rPr>
          <w:rFonts w:ascii="宋体" w:hAnsi="宋体" w:cs="Times New Roman"/>
          <w:color w:val="auto"/>
          <w:szCs w:val="21"/>
          <w:highlight w:val="none"/>
        </w:rPr>
      </w:pPr>
      <w:r>
        <w:rPr>
          <w:rFonts w:hint="eastAsia" w:ascii="宋体" w:hAnsi="宋体" w:cs="Times New Roman"/>
          <w:color w:val="auto"/>
          <w:szCs w:val="21"/>
          <w:highlight w:val="none"/>
        </w:rPr>
        <w:t>本授权书于</w:t>
      </w:r>
      <w:r>
        <w:rPr>
          <w:rFonts w:hint="eastAsia" w:ascii="宋体" w:hAnsi="宋体" w:cs="Times New Roman"/>
          <w:color w:val="auto"/>
          <w:szCs w:val="21"/>
          <w:highlight w:val="none"/>
          <w:u w:val="single"/>
        </w:rPr>
        <w:t>　　</w:t>
      </w:r>
      <w:r>
        <w:rPr>
          <w:rFonts w:hint="eastAsia" w:ascii="宋体" w:hAnsi="宋体" w:cs="Times New Roman"/>
          <w:color w:val="auto"/>
          <w:szCs w:val="21"/>
          <w:highlight w:val="none"/>
        </w:rPr>
        <w:t>年</w:t>
      </w:r>
      <w:r>
        <w:rPr>
          <w:rFonts w:hint="eastAsia" w:ascii="宋体" w:hAnsi="宋体" w:cs="Times New Roman"/>
          <w:color w:val="auto"/>
          <w:szCs w:val="21"/>
          <w:highlight w:val="none"/>
          <w:u w:val="single"/>
        </w:rPr>
        <w:t>　　</w:t>
      </w:r>
      <w:r>
        <w:rPr>
          <w:rFonts w:hint="eastAsia" w:ascii="宋体" w:hAnsi="宋体" w:cs="Times New Roman"/>
          <w:color w:val="auto"/>
          <w:szCs w:val="21"/>
          <w:highlight w:val="none"/>
        </w:rPr>
        <w:t>月</w:t>
      </w:r>
      <w:r>
        <w:rPr>
          <w:rFonts w:hint="eastAsia" w:ascii="宋体" w:hAnsi="宋体" w:cs="Times New Roman"/>
          <w:color w:val="auto"/>
          <w:szCs w:val="21"/>
          <w:highlight w:val="none"/>
          <w:u w:val="single"/>
        </w:rPr>
        <w:t>　　</w:t>
      </w:r>
      <w:r>
        <w:rPr>
          <w:rFonts w:hint="eastAsia" w:ascii="宋体" w:hAnsi="宋体" w:cs="Times New Roman"/>
          <w:color w:val="auto"/>
          <w:szCs w:val="21"/>
          <w:highlight w:val="none"/>
        </w:rPr>
        <w:t>日签字生效，特此声明。</w:t>
      </w:r>
    </w:p>
    <w:p w14:paraId="14CFFF91">
      <w:pPr>
        <w:pStyle w:val="22"/>
        <w:spacing w:line="500" w:lineRule="atLeast"/>
        <w:ind w:firstLine="3517" w:firstLineChars="1675"/>
        <w:rPr>
          <w:rFonts w:ascii="宋体" w:eastAsia="宋体"/>
          <w:color w:val="auto"/>
          <w:sz w:val="21"/>
          <w:szCs w:val="21"/>
          <w:highlight w:val="none"/>
        </w:rPr>
      </w:pPr>
    </w:p>
    <w:p w14:paraId="2BC10133">
      <w:pPr>
        <w:pStyle w:val="22"/>
        <w:spacing w:line="500" w:lineRule="atLeast"/>
        <w:ind w:firstLine="3517" w:firstLineChars="1675"/>
        <w:rPr>
          <w:rFonts w:ascii="宋体" w:eastAsia="宋体"/>
          <w:color w:val="auto"/>
          <w:sz w:val="21"/>
          <w:szCs w:val="21"/>
          <w:highlight w:val="none"/>
        </w:rPr>
      </w:pPr>
      <w:r>
        <w:rPr>
          <w:rFonts w:hint="eastAsia" w:ascii="宋体" w:eastAsia="宋体"/>
          <w:color w:val="auto"/>
          <w:sz w:val="21"/>
          <w:szCs w:val="21"/>
          <w:highlight w:val="none"/>
        </w:rPr>
        <w:t>投标人名称（加盖公章）：</w:t>
      </w:r>
    </w:p>
    <w:p w14:paraId="7516AE45">
      <w:pPr>
        <w:pStyle w:val="22"/>
        <w:spacing w:line="500" w:lineRule="atLeast"/>
        <w:ind w:firstLine="3517" w:firstLineChars="1675"/>
        <w:rPr>
          <w:rFonts w:ascii="宋体" w:eastAsia="宋体"/>
          <w:color w:val="auto"/>
          <w:sz w:val="21"/>
          <w:szCs w:val="21"/>
          <w:highlight w:val="none"/>
          <w:u w:val="single"/>
        </w:rPr>
      </w:pPr>
      <w:r>
        <w:rPr>
          <w:rFonts w:hint="eastAsia" w:ascii="宋体" w:eastAsia="宋体"/>
          <w:color w:val="auto"/>
          <w:sz w:val="21"/>
          <w:szCs w:val="21"/>
          <w:highlight w:val="none"/>
        </w:rPr>
        <w:t>法定代表人签字（签名或盖私章）：</w:t>
      </w:r>
    </w:p>
    <w:p w14:paraId="32342512">
      <w:pPr>
        <w:pStyle w:val="22"/>
        <w:spacing w:line="500" w:lineRule="atLeast"/>
        <w:ind w:firstLine="3517" w:firstLineChars="1675"/>
        <w:rPr>
          <w:rFonts w:ascii="宋体" w:eastAsia="宋体"/>
          <w:color w:val="auto"/>
          <w:sz w:val="21"/>
          <w:szCs w:val="21"/>
          <w:highlight w:val="none"/>
        </w:rPr>
      </w:pPr>
      <w:r>
        <w:rPr>
          <w:rFonts w:hint="eastAsia" w:ascii="宋体" w:eastAsia="宋体"/>
          <w:color w:val="auto"/>
          <w:sz w:val="21"/>
          <w:szCs w:val="21"/>
          <w:highlight w:val="none"/>
        </w:rPr>
        <w:t>被授权人签字：</w:t>
      </w:r>
    </w:p>
    <w:p w14:paraId="6D66283B">
      <w:pPr>
        <w:pStyle w:val="22"/>
        <w:spacing w:line="500" w:lineRule="atLeast"/>
        <w:ind w:firstLine="3517" w:firstLineChars="1675"/>
        <w:rPr>
          <w:rFonts w:ascii="宋体" w:eastAsia="宋体"/>
          <w:color w:val="auto"/>
          <w:sz w:val="21"/>
          <w:szCs w:val="21"/>
          <w:highlight w:val="none"/>
          <w:u w:val="single"/>
        </w:rPr>
      </w:pPr>
      <w:r>
        <w:rPr>
          <w:rFonts w:hint="eastAsia" w:ascii="宋体" w:eastAsia="宋体"/>
          <w:color w:val="auto"/>
          <w:sz w:val="21"/>
          <w:szCs w:val="21"/>
          <w:highlight w:val="none"/>
        </w:rPr>
        <w:t>职务：</w:t>
      </w:r>
    </w:p>
    <w:p w14:paraId="05D803D2">
      <w:pPr>
        <w:pStyle w:val="22"/>
        <w:spacing w:line="500" w:lineRule="atLeast"/>
        <w:ind w:firstLine="3517" w:firstLineChars="1675"/>
        <w:rPr>
          <w:rFonts w:ascii="宋体" w:eastAsia="宋体"/>
          <w:color w:val="auto"/>
          <w:sz w:val="21"/>
          <w:szCs w:val="21"/>
          <w:highlight w:val="none"/>
        </w:rPr>
      </w:pPr>
      <w:r>
        <w:rPr>
          <w:rFonts w:hint="eastAsia" w:ascii="宋体" w:eastAsia="宋体"/>
          <w:color w:val="auto"/>
          <w:sz w:val="21"/>
          <w:szCs w:val="21"/>
          <w:highlight w:val="none"/>
        </w:rPr>
        <w:t xml:space="preserve">移动电话： </w:t>
      </w:r>
    </w:p>
    <w:p w14:paraId="630F9FF5">
      <w:pPr>
        <w:pStyle w:val="22"/>
        <w:spacing w:line="500" w:lineRule="atLeast"/>
        <w:ind w:firstLine="3517" w:firstLineChars="1675"/>
        <w:rPr>
          <w:rFonts w:ascii="宋体" w:eastAsia="宋体"/>
          <w:color w:val="auto"/>
          <w:sz w:val="21"/>
          <w:szCs w:val="21"/>
          <w:highlight w:val="none"/>
        </w:rPr>
      </w:pPr>
      <w:r>
        <w:rPr>
          <w:rFonts w:hint="eastAsia" w:ascii="宋体" w:eastAsia="宋体"/>
          <w:color w:val="auto"/>
          <w:sz w:val="21"/>
          <w:szCs w:val="21"/>
          <w:highlight w:val="none"/>
        </w:rPr>
        <w:t>详细通讯地址：</w:t>
      </w:r>
    </w:p>
    <w:p w14:paraId="17DDF68E">
      <w:pPr>
        <w:pStyle w:val="22"/>
        <w:spacing w:line="500" w:lineRule="atLeast"/>
        <w:ind w:firstLine="3517" w:firstLineChars="1675"/>
        <w:rPr>
          <w:rFonts w:ascii="宋体" w:eastAsia="宋体"/>
          <w:color w:val="auto"/>
          <w:sz w:val="21"/>
          <w:szCs w:val="21"/>
          <w:highlight w:val="none"/>
        </w:rPr>
      </w:pPr>
      <w:r>
        <w:rPr>
          <w:rFonts w:hint="eastAsia" w:ascii="宋体" w:eastAsia="宋体"/>
          <w:color w:val="auto"/>
          <w:sz w:val="21"/>
          <w:szCs w:val="21"/>
          <w:highlight w:val="none"/>
        </w:rPr>
        <w:t xml:space="preserve">邮箱：                          </w:t>
      </w:r>
    </w:p>
    <w:p w14:paraId="77DB01A3">
      <w:pPr>
        <w:pStyle w:val="22"/>
        <w:spacing w:line="500" w:lineRule="atLeast"/>
        <w:ind w:firstLine="3507" w:firstLineChars="1670"/>
        <w:rPr>
          <w:rFonts w:ascii="宋体" w:eastAsia="宋体"/>
          <w:color w:val="auto"/>
          <w:sz w:val="21"/>
          <w:szCs w:val="21"/>
          <w:highlight w:val="none"/>
        </w:rPr>
      </w:pPr>
      <w:r>
        <w:rPr>
          <w:rFonts w:hint="eastAsia" w:ascii="宋体" w:eastAsia="宋体"/>
          <w:color w:val="auto"/>
          <w:sz w:val="21"/>
          <w:szCs w:val="21"/>
          <w:highlight w:val="none"/>
        </w:rPr>
        <w:t>日     期：</w:t>
      </w:r>
      <w:r>
        <w:rPr>
          <w:rFonts w:hint="eastAsia" w:ascii="宋体" w:eastAsia="宋体"/>
          <w:color w:val="auto"/>
          <w:sz w:val="21"/>
          <w:szCs w:val="21"/>
          <w:highlight w:val="none"/>
          <w:lang w:val="en-US" w:eastAsia="zh-CN"/>
        </w:rPr>
        <w:t xml:space="preserve">  </w:t>
      </w:r>
      <w:r>
        <w:rPr>
          <w:rFonts w:hint="eastAsia" w:ascii="宋体" w:eastAsia="宋体"/>
          <w:color w:val="auto"/>
          <w:sz w:val="21"/>
          <w:szCs w:val="21"/>
          <w:highlight w:val="none"/>
        </w:rPr>
        <w:t>年</w:t>
      </w:r>
      <w:r>
        <w:rPr>
          <w:rFonts w:hint="eastAsia" w:ascii="宋体" w:eastAsia="宋体"/>
          <w:color w:val="auto"/>
          <w:sz w:val="21"/>
          <w:szCs w:val="21"/>
          <w:highlight w:val="none"/>
          <w:lang w:val="en-US" w:eastAsia="zh-CN"/>
        </w:rPr>
        <w:t xml:space="preserve">  </w:t>
      </w:r>
      <w:r>
        <w:rPr>
          <w:rFonts w:hint="eastAsia" w:ascii="宋体" w:eastAsia="宋体"/>
          <w:color w:val="auto"/>
          <w:sz w:val="21"/>
          <w:szCs w:val="21"/>
          <w:highlight w:val="none"/>
        </w:rPr>
        <w:t>月</w:t>
      </w:r>
      <w:r>
        <w:rPr>
          <w:rFonts w:hint="eastAsia" w:ascii="宋体" w:eastAsia="宋体"/>
          <w:color w:val="auto"/>
          <w:sz w:val="21"/>
          <w:szCs w:val="21"/>
          <w:highlight w:val="none"/>
          <w:lang w:val="en-US" w:eastAsia="zh-CN"/>
        </w:rPr>
        <w:t xml:space="preserve">  </w:t>
      </w:r>
      <w:r>
        <w:rPr>
          <w:rFonts w:hint="eastAsia" w:ascii="宋体" w:eastAsia="宋体"/>
          <w:color w:val="auto"/>
          <w:sz w:val="21"/>
          <w:szCs w:val="21"/>
          <w:highlight w:val="none"/>
        </w:rPr>
        <w:t>日</w:t>
      </w:r>
    </w:p>
    <w:p w14:paraId="7CA24079">
      <w:pPr>
        <w:pStyle w:val="22"/>
        <w:spacing w:line="460" w:lineRule="exact"/>
        <w:ind w:firstLine="433"/>
        <w:rPr>
          <w:rFonts w:ascii="宋体" w:eastAsia="宋体"/>
          <w:color w:val="auto"/>
          <w:sz w:val="21"/>
          <w:szCs w:val="21"/>
          <w:highlight w:val="none"/>
        </w:rPr>
      </w:pPr>
    </w:p>
    <w:p w14:paraId="17172B95">
      <w:pPr>
        <w:ind w:firstLine="420" w:firstLineChars="200"/>
        <w:rPr>
          <w:color w:val="auto"/>
          <w:highlight w:val="none"/>
        </w:rPr>
      </w:pPr>
      <w:r>
        <w:rPr>
          <w:rFonts w:hint="eastAsia" w:ascii="宋体" w:hAnsi="宋体"/>
          <w:color w:val="auto"/>
          <w:szCs w:val="21"/>
          <w:highlight w:val="none"/>
        </w:rPr>
        <w:t>须附：被授权人身份证复印件。</w:t>
      </w:r>
    </w:p>
    <w:tbl>
      <w:tblPr>
        <w:tblStyle w:val="16"/>
        <w:tblW w:w="8464" w:type="dxa"/>
        <w:jc w:val="center"/>
        <w:tblBorders>
          <w:top w:val="dashed" w:color="auto" w:sz="4" w:space="0"/>
          <w:left w:val="dashed" w:color="auto" w:sz="4" w:space="0"/>
          <w:bottom w:val="dashed" w:color="auto" w:sz="4" w:space="0"/>
          <w:right w:val="dashed" w:color="auto" w:sz="4" w:space="0"/>
          <w:insideH w:val="dashed" w:color="auto" w:sz="4" w:space="0"/>
          <w:insideV w:val="dashed" w:color="auto" w:sz="4" w:space="0"/>
        </w:tblBorders>
        <w:tblLayout w:type="fixed"/>
        <w:tblCellMar>
          <w:top w:w="0" w:type="dxa"/>
          <w:left w:w="108" w:type="dxa"/>
          <w:bottom w:w="0" w:type="dxa"/>
          <w:right w:w="108" w:type="dxa"/>
        </w:tblCellMar>
      </w:tblPr>
      <w:tblGrid>
        <w:gridCol w:w="4232"/>
        <w:gridCol w:w="4232"/>
      </w:tblGrid>
      <w:tr w14:paraId="6608F1F4">
        <w:tblPrEx>
          <w:tblBorders>
            <w:top w:val="dashed" w:color="auto" w:sz="4" w:space="0"/>
            <w:left w:val="dashed" w:color="auto" w:sz="4" w:space="0"/>
            <w:bottom w:val="dashed" w:color="auto" w:sz="4" w:space="0"/>
            <w:right w:val="dashed" w:color="auto" w:sz="4" w:space="0"/>
            <w:insideH w:val="dashed" w:color="auto" w:sz="4" w:space="0"/>
            <w:insideV w:val="dashed" w:color="auto" w:sz="4" w:space="0"/>
          </w:tblBorders>
          <w:tblCellMar>
            <w:top w:w="0" w:type="dxa"/>
            <w:left w:w="108" w:type="dxa"/>
            <w:bottom w:w="0" w:type="dxa"/>
            <w:right w:w="108" w:type="dxa"/>
          </w:tblCellMar>
        </w:tblPrEx>
        <w:trPr>
          <w:trHeight w:val="2661" w:hRule="atLeast"/>
          <w:jc w:val="center"/>
        </w:trPr>
        <w:tc>
          <w:tcPr>
            <w:tcW w:w="4232" w:type="dxa"/>
            <w:vAlign w:val="center"/>
          </w:tcPr>
          <w:p w14:paraId="3ABC5842">
            <w:pPr>
              <w:pStyle w:val="22"/>
              <w:spacing w:line="460" w:lineRule="exact"/>
              <w:ind w:firstLine="0" w:firstLineChars="0"/>
              <w:jc w:val="center"/>
              <w:rPr>
                <w:rFonts w:ascii="宋体" w:eastAsia="宋体"/>
                <w:color w:val="auto"/>
                <w:sz w:val="22"/>
                <w:highlight w:val="none"/>
              </w:rPr>
            </w:pPr>
            <w:r>
              <w:rPr>
                <w:rFonts w:hint="eastAsia" w:ascii="宋体" w:eastAsia="宋体"/>
                <w:color w:val="auto"/>
                <w:sz w:val="22"/>
                <w:highlight w:val="none"/>
              </w:rPr>
              <w:t>正面</w:t>
            </w:r>
          </w:p>
        </w:tc>
        <w:tc>
          <w:tcPr>
            <w:tcW w:w="4232" w:type="dxa"/>
            <w:vAlign w:val="center"/>
          </w:tcPr>
          <w:p w14:paraId="0FBB2655">
            <w:pPr>
              <w:pStyle w:val="22"/>
              <w:spacing w:line="460" w:lineRule="exact"/>
              <w:ind w:firstLine="0" w:firstLineChars="0"/>
              <w:jc w:val="center"/>
              <w:rPr>
                <w:rFonts w:ascii="宋体" w:eastAsia="宋体"/>
                <w:color w:val="auto"/>
                <w:sz w:val="22"/>
                <w:highlight w:val="none"/>
              </w:rPr>
            </w:pPr>
            <w:r>
              <w:rPr>
                <w:rFonts w:hint="eastAsia" w:ascii="宋体" w:eastAsia="宋体"/>
                <w:color w:val="auto"/>
                <w:sz w:val="22"/>
                <w:highlight w:val="none"/>
              </w:rPr>
              <w:t>背面</w:t>
            </w:r>
          </w:p>
        </w:tc>
      </w:tr>
    </w:tbl>
    <w:p w14:paraId="24D0C176">
      <w:pPr>
        <w:adjustRightInd/>
        <w:snapToGrid/>
        <w:spacing w:line="276" w:lineRule="auto"/>
        <w:rPr>
          <w:color w:val="auto"/>
          <w:highlight w:val="none"/>
        </w:rPr>
      </w:pPr>
      <w:bookmarkStart w:id="226" w:name="_Toc22486"/>
      <w:r>
        <w:rPr>
          <w:rFonts w:hint="eastAsia" w:ascii="宋体" w:hAnsi="宋体"/>
          <w:color w:val="auto"/>
          <w:szCs w:val="21"/>
          <w:highlight w:val="none"/>
        </w:rPr>
        <w:br w:type="page"/>
      </w:r>
    </w:p>
    <w:p w14:paraId="7CAF03C6">
      <w:pPr>
        <w:pStyle w:val="4"/>
        <w:widowControl w:val="0"/>
        <w:overflowPunct w:val="0"/>
        <w:spacing w:line="240" w:lineRule="auto"/>
        <w:rPr>
          <w:rFonts w:ascii="宋体" w:hAnsi="宋体"/>
          <w:color w:val="auto"/>
          <w:sz w:val="21"/>
          <w:szCs w:val="21"/>
          <w:highlight w:val="none"/>
        </w:rPr>
      </w:pPr>
      <w:bookmarkStart w:id="227" w:name="_Toc10849"/>
      <w:bookmarkStart w:id="228" w:name="_Toc30038"/>
      <w:r>
        <w:rPr>
          <w:rFonts w:hint="eastAsia" w:ascii="宋体" w:hAnsi="宋体"/>
          <w:color w:val="auto"/>
          <w:sz w:val="21"/>
          <w:szCs w:val="21"/>
          <w:highlight w:val="none"/>
        </w:rPr>
        <w:t>附件</w:t>
      </w:r>
      <w:r>
        <w:rPr>
          <w:rFonts w:hint="eastAsia" w:ascii="宋体" w:hAnsi="宋体"/>
          <w:color w:val="auto"/>
          <w:sz w:val="21"/>
          <w:szCs w:val="21"/>
          <w:highlight w:val="none"/>
          <w:lang w:val="en-US" w:eastAsia="zh-CN"/>
        </w:rPr>
        <w:t>5</w:t>
      </w:r>
      <w:r>
        <w:rPr>
          <w:rFonts w:hint="eastAsia" w:ascii="宋体" w:hAnsi="宋体"/>
          <w:color w:val="auto"/>
          <w:sz w:val="21"/>
          <w:szCs w:val="21"/>
          <w:highlight w:val="none"/>
        </w:rPr>
        <w:t>.资格申明</w:t>
      </w:r>
      <w:bookmarkEnd w:id="227"/>
      <w:bookmarkEnd w:id="228"/>
    </w:p>
    <w:p w14:paraId="694CE52B">
      <w:pPr>
        <w:jc w:val="center"/>
        <w:rPr>
          <w:rFonts w:ascii="黑体" w:eastAsia="黑体"/>
          <w:color w:val="auto"/>
          <w:sz w:val="28"/>
          <w:szCs w:val="28"/>
          <w:highlight w:val="none"/>
        </w:rPr>
      </w:pPr>
      <w:r>
        <w:rPr>
          <w:rFonts w:hint="eastAsia" w:ascii="黑体" w:eastAsia="黑体"/>
          <w:color w:val="auto"/>
          <w:sz w:val="28"/>
          <w:szCs w:val="28"/>
          <w:highlight w:val="none"/>
        </w:rPr>
        <w:t>资格申明</w:t>
      </w:r>
    </w:p>
    <w:p w14:paraId="3D0B51D2">
      <w:pPr>
        <w:pStyle w:val="22"/>
        <w:spacing w:line="420" w:lineRule="atLeast"/>
        <w:ind w:firstLine="0" w:firstLineChars="0"/>
        <w:rPr>
          <w:rFonts w:ascii="宋体" w:eastAsia="宋体"/>
          <w:color w:val="auto"/>
          <w:sz w:val="21"/>
          <w:szCs w:val="21"/>
          <w:highlight w:val="none"/>
        </w:rPr>
      </w:pPr>
      <w:r>
        <w:rPr>
          <w:rFonts w:hint="eastAsia" w:ascii="宋体" w:eastAsia="宋体"/>
          <w:color w:val="auto"/>
          <w:sz w:val="21"/>
          <w:szCs w:val="21"/>
          <w:highlight w:val="none"/>
        </w:rPr>
        <w:t>致：广东政通招标有限公司</w:t>
      </w:r>
    </w:p>
    <w:p w14:paraId="71F5A91A">
      <w:pPr>
        <w:ind w:firstLine="420" w:firstLineChars="200"/>
        <w:rPr>
          <w:rFonts w:ascii="宋体" w:hAnsi="宋体"/>
          <w:color w:val="auto"/>
          <w:szCs w:val="21"/>
          <w:highlight w:val="none"/>
        </w:rPr>
      </w:pPr>
    </w:p>
    <w:p w14:paraId="064C8E71">
      <w:pPr>
        <w:ind w:firstLine="420" w:firstLineChars="200"/>
        <w:rPr>
          <w:rFonts w:ascii="宋体" w:hAnsi="宋体"/>
          <w:color w:val="auto"/>
          <w:szCs w:val="21"/>
          <w:highlight w:val="none"/>
        </w:rPr>
      </w:pPr>
      <w:r>
        <w:rPr>
          <w:rFonts w:hint="eastAsia" w:ascii="宋体" w:hAnsi="宋体"/>
          <w:color w:val="auto"/>
          <w:szCs w:val="21"/>
          <w:highlight w:val="none"/>
        </w:rPr>
        <w:t>我方</w:t>
      </w:r>
      <w:r>
        <w:rPr>
          <w:rFonts w:ascii="宋体" w:hAnsi="宋体"/>
          <w:color w:val="auto"/>
          <w:szCs w:val="21"/>
          <w:highlight w:val="none"/>
        </w:rPr>
        <w:t>愿响应</w:t>
      </w:r>
      <w:r>
        <w:rPr>
          <w:rFonts w:hint="eastAsia" w:ascii="宋体" w:hAnsi="宋体"/>
          <w:color w:val="auto"/>
          <w:szCs w:val="21"/>
          <w:highlight w:val="none"/>
        </w:rPr>
        <w:t>贵</w:t>
      </w:r>
      <w:r>
        <w:rPr>
          <w:rFonts w:ascii="宋体" w:hAnsi="宋体"/>
          <w:color w:val="auto"/>
          <w:szCs w:val="21"/>
          <w:highlight w:val="none"/>
        </w:rPr>
        <w:t>方</w:t>
      </w:r>
      <w:r>
        <w:rPr>
          <w:rFonts w:hint="eastAsia" w:ascii="宋体" w:hAnsi="宋体"/>
          <w:color w:val="auto"/>
          <w:szCs w:val="21"/>
          <w:highlight w:val="none"/>
        </w:rPr>
        <w:t>关于（项目名称：</w:t>
      </w:r>
      <w:r>
        <w:rPr>
          <w:rFonts w:hint="eastAsia" w:ascii="宋体" w:hAnsi="宋体"/>
          <w:color w:val="auto"/>
          <w:szCs w:val="21"/>
          <w:highlight w:val="none"/>
          <w:u w:val="single"/>
        </w:rPr>
        <w:t xml:space="preserve">         </w:t>
      </w:r>
      <w:r>
        <w:rPr>
          <w:rFonts w:hint="eastAsia" w:ascii="宋体" w:hAnsi="宋体"/>
          <w:color w:val="auto"/>
          <w:szCs w:val="21"/>
          <w:highlight w:val="none"/>
        </w:rPr>
        <w:t>）</w:t>
      </w:r>
      <w:r>
        <w:rPr>
          <w:rFonts w:ascii="宋体" w:hAnsi="宋体"/>
          <w:color w:val="auto"/>
          <w:szCs w:val="21"/>
          <w:highlight w:val="none"/>
        </w:rPr>
        <w:t>（</w:t>
      </w:r>
      <w:r>
        <w:rPr>
          <w:rFonts w:hint="eastAsia" w:ascii="宋体" w:hAnsi="宋体"/>
          <w:color w:val="auto"/>
          <w:szCs w:val="21"/>
          <w:highlight w:val="none"/>
        </w:rPr>
        <w:t>采购项目编号：</w:t>
      </w:r>
      <w:r>
        <w:rPr>
          <w:rFonts w:hint="eastAsia" w:ascii="宋体" w:hAnsi="宋体"/>
          <w:color w:val="auto"/>
          <w:szCs w:val="21"/>
          <w:highlight w:val="none"/>
          <w:u w:val="single"/>
        </w:rPr>
        <w:t xml:space="preserve">        </w:t>
      </w:r>
      <w:r>
        <w:rPr>
          <w:rFonts w:ascii="宋体" w:hAnsi="宋体"/>
          <w:color w:val="auto"/>
          <w:szCs w:val="21"/>
          <w:highlight w:val="none"/>
        </w:rPr>
        <w:t>）</w:t>
      </w:r>
      <w:r>
        <w:rPr>
          <w:rFonts w:hint="eastAsia" w:ascii="宋体" w:hAnsi="宋体"/>
          <w:color w:val="auto"/>
          <w:szCs w:val="21"/>
          <w:highlight w:val="none"/>
        </w:rPr>
        <w:t>的</w:t>
      </w:r>
      <w:r>
        <w:rPr>
          <w:rFonts w:ascii="宋体" w:hAnsi="宋体"/>
          <w:color w:val="auto"/>
          <w:szCs w:val="21"/>
          <w:highlight w:val="none"/>
        </w:rPr>
        <w:t>投标邀请，参与投标，提供用户需求书中规定的</w:t>
      </w:r>
      <w:r>
        <w:rPr>
          <w:rFonts w:hint="eastAsia" w:ascii="宋体" w:hAnsi="宋体"/>
          <w:color w:val="auto"/>
          <w:szCs w:val="21"/>
          <w:highlight w:val="none"/>
        </w:rPr>
        <w:t>货物及相关服务</w:t>
      </w:r>
      <w:r>
        <w:rPr>
          <w:rFonts w:ascii="宋体" w:hAnsi="宋体"/>
          <w:color w:val="auto"/>
          <w:szCs w:val="21"/>
          <w:highlight w:val="none"/>
        </w:rPr>
        <w:t>，并按</w:t>
      </w:r>
      <w:r>
        <w:rPr>
          <w:rFonts w:hint="eastAsia" w:ascii="宋体" w:hAnsi="宋体"/>
          <w:color w:val="auto"/>
          <w:szCs w:val="21"/>
          <w:highlight w:val="none"/>
        </w:rPr>
        <w:t>采购</w:t>
      </w:r>
      <w:r>
        <w:rPr>
          <w:rFonts w:ascii="宋体" w:hAnsi="宋体"/>
          <w:color w:val="auto"/>
          <w:szCs w:val="21"/>
          <w:highlight w:val="none"/>
        </w:rPr>
        <w:t>文件要求提交所附资格文件且声明和保证如下：</w:t>
      </w:r>
    </w:p>
    <w:p w14:paraId="561BCBFD">
      <w:pPr>
        <w:ind w:firstLine="420" w:firstLineChars="200"/>
        <w:rPr>
          <w:rFonts w:ascii="宋体" w:hAnsi="宋体"/>
          <w:color w:val="auto"/>
          <w:szCs w:val="21"/>
          <w:highlight w:val="none"/>
        </w:rPr>
      </w:pPr>
      <w:r>
        <w:rPr>
          <w:rFonts w:hint="eastAsia" w:ascii="宋体" w:hAnsi="宋体"/>
          <w:color w:val="auto"/>
          <w:szCs w:val="21"/>
          <w:highlight w:val="none"/>
        </w:rPr>
        <w:t>一、我方具备投标人邀请中所要求得资格条件，已清楚采购文件所有要求及有关规定；并承诺参加本次采购活动中，如有违法、违规、弄虚作假行为，所造成的损失、不良后果及法律责任，一律由我方承担；</w:t>
      </w:r>
    </w:p>
    <w:p w14:paraId="63AEB3B1">
      <w:pPr>
        <w:ind w:firstLine="420" w:firstLineChars="200"/>
        <w:rPr>
          <w:rFonts w:ascii="宋体" w:hAnsi="宋体"/>
          <w:color w:val="auto"/>
          <w:szCs w:val="21"/>
          <w:highlight w:val="none"/>
        </w:rPr>
      </w:pPr>
      <w:r>
        <w:rPr>
          <w:rFonts w:hint="eastAsia" w:ascii="宋体" w:hAnsi="宋体"/>
          <w:color w:val="auto"/>
          <w:szCs w:val="21"/>
          <w:highlight w:val="none"/>
        </w:rPr>
        <w:t>二、</w:t>
      </w:r>
      <w:r>
        <w:rPr>
          <w:rFonts w:ascii="宋体" w:hAnsi="宋体"/>
          <w:color w:val="auto"/>
          <w:szCs w:val="21"/>
          <w:highlight w:val="none"/>
        </w:rPr>
        <w:t>我方依法注册，在法律上、财务上和运作上完全独立于</w:t>
      </w:r>
      <w:r>
        <w:rPr>
          <w:rFonts w:hint="eastAsia" w:ascii="宋体" w:hAnsi="宋体"/>
          <w:color w:val="auto"/>
          <w:szCs w:val="21"/>
          <w:highlight w:val="none"/>
          <w:u w:val="single"/>
        </w:rPr>
        <w:t xml:space="preserve">        </w:t>
      </w:r>
      <w:r>
        <w:rPr>
          <w:rFonts w:ascii="宋体" w:hAnsi="宋体"/>
          <w:color w:val="auto"/>
          <w:szCs w:val="21"/>
          <w:highlight w:val="none"/>
        </w:rPr>
        <w:t>（</w:t>
      </w:r>
      <w:r>
        <w:rPr>
          <w:rFonts w:hint="eastAsia" w:ascii="宋体" w:hAnsi="宋体"/>
          <w:color w:val="auto"/>
          <w:szCs w:val="21"/>
          <w:highlight w:val="none"/>
        </w:rPr>
        <w:t>采购人</w:t>
      </w:r>
      <w:r>
        <w:rPr>
          <w:rFonts w:ascii="宋体" w:hAnsi="宋体"/>
          <w:color w:val="auto"/>
          <w:szCs w:val="21"/>
          <w:highlight w:val="none"/>
        </w:rPr>
        <w:t>）</w:t>
      </w:r>
    </w:p>
    <w:p w14:paraId="3A14E140">
      <w:pPr>
        <w:spacing w:line="240" w:lineRule="auto"/>
        <w:ind w:firstLine="0" w:firstLineChars="0"/>
        <w:rPr>
          <w:rFonts w:ascii="宋体" w:hAnsi="宋体"/>
          <w:color w:val="auto"/>
          <w:szCs w:val="21"/>
          <w:highlight w:val="none"/>
        </w:rPr>
      </w:pPr>
      <w:r>
        <w:rPr>
          <w:rFonts w:ascii="宋体" w:hAnsi="宋体"/>
          <w:color w:val="auto"/>
          <w:szCs w:val="21"/>
          <w:highlight w:val="none"/>
        </w:rPr>
        <w:t>及</w:t>
      </w:r>
      <w:r>
        <w:rPr>
          <w:rFonts w:hint="eastAsia" w:ascii="宋体" w:hAnsi="宋体"/>
          <w:color w:val="auto"/>
          <w:szCs w:val="21"/>
          <w:highlight w:val="none"/>
        </w:rPr>
        <w:t xml:space="preserve"> </w:t>
      </w:r>
      <w:r>
        <w:rPr>
          <w:rFonts w:hint="eastAsia" w:ascii="宋体" w:hAnsi="宋体"/>
          <w:color w:val="auto"/>
          <w:szCs w:val="21"/>
          <w:highlight w:val="none"/>
          <w:u w:val="single"/>
        </w:rPr>
        <w:t xml:space="preserve">        </w:t>
      </w:r>
      <w:r>
        <w:rPr>
          <w:rFonts w:hint="eastAsia" w:ascii="宋体" w:hAnsi="宋体"/>
          <w:color w:val="auto"/>
          <w:szCs w:val="21"/>
          <w:highlight w:val="none"/>
          <w:u w:val="single"/>
          <w:lang w:eastAsia="zh-CN"/>
        </w:rPr>
        <w:t>（</w:t>
      </w:r>
      <w:r>
        <w:rPr>
          <w:rFonts w:ascii="宋体" w:hAnsi="宋体"/>
          <w:color w:val="auto"/>
          <w:szCs w:val="21"/>
          <w:highlight w:val="none"/>
        </w:rPr>
        <w:t>采购代理机构）</w:t>
      </w:r>
      <w:r>
        <w:rPr>
          <w:rFonts w:hint="eastAsia" w:ascii="宋体" w:hAnsi="宋体"/>
          <w:color w:val="auto"/>
          <w:szCs w:val="21"/>
          <w:highlight w:val="none"/>
        </w:rPr>
        <w:t>。</w:t>
      </w:r>
    </w:p>
    <w:p w14:paraId="48CEB286">
      <w:pPr>
        <w:pStyle w:val="22"/>
        <w:spacing w:line="500" w:lineRule="atLeast"/>
        <w:ind w:firstLine="3517" w:firstLineChars="1675"/>
        <w:rPr>
          <w:rFonts w:ascii="宋体" w:eastAsia="宋体"/>
          <w:color w:val="auto"/>
          <w:sz w:val="21"/>
          <w:szCs w:val="21"/>
          <w:highlight w:val="none"/>
        </w:rPr>
      </w:pPr>
    </w:p>
    <w:p w14:paraId="05675E99">
      <w:pPr>
        <w:pStyle w:val="22"/>
        <w:spacing w:line="500" w:lineRule="atLeast"/>
        <w:ind w:firstLine="3517" w:firstLineChars="1675"/>
        <w:rPr>
          <w:rFonts w:ascii="宋体" w:eastAsia="宋体"/>
          <w:color w:val="auto"/>
          <w:sz w:val="21"/>
          <w:szCs w:val="21"/>
          <w:highlight w:val="none"/>
        </w:rPr>
      </w:pPr>
    </w:p>
    <w:p w14:paraId="0297D499">
      <w:pPr>
        <w:pStyle w:val="22"/>
        <w:spacing w:line="500" w:lineRule="atLeast"/>
        <w:ind w:firstLine="433"/>
        <w:rPr>
          <w:rFonts w:ascii="宋体" w:eastAsia="宋体"/>
          <w:color w:val="auto"/>
          <w:sz w:val="21"/>
          <w:szCs w:val="21"/>
          <w:highlight w:val="none"/>
        </w:rPr>
      </w:pPr>
      <w:r>
        <w:rPr>
          <w:rFonts w:hint="eastAsia" w:ascii="宋体" w:eastAsia="宋体"/>
          <w:color w:val="auto"/>
          <w:sz w:val="21"/>
          <w:szCs w:val="21"/>
          <w:highlight w:val="none"/>
        </w:rPr>
        <w:t>投标人名称（加盖公章）：</w:t>
      </w:r>
    </w:p>
    <w:p w14:paraId="20F655E9">
      <w:pPr>
        <w:pStyle w:val="22"/>
        <w:spacing w:line="500" w:lineRule="atLeast"/>
        <w:ind w:firstLine="433"/>
        <w:rPr>
          <w:rFonts w:ascii="宋体" w:eastAsia="宋体"/>
          <w:color w:val="auto"/>
          <w:sz w:val="21"/>
          <w:szCs w:val="21"/>
          <w:highlight w:val="none"/>
        </w:rPr>
      </w:pPr>
      <w:r>
        <w:rPr>
          <w:rFonts w:hint="eastAsia" w:ascii="宋体" w:eastAsia="宋体"/>
          <w:color w:val="auto"/>
          <w:sz w:val="21"/>
          <w:szCs w:val="21"/>
          <w:highlight w:val="none"/>
        </w:rPr>
        <w:t>法定代表人或被授权人（签名或盖私章）：</w:t>
      </w:r>
    </w:p>
    <w:p w14:paraId="695002AA">
      <w:pPr>
        <w:pStyle w:val="22"/>
        <w:spacing w:line="500" w:lineRule="atLeast"/>
        <w:ind w:firstLine="433"/>
        <w:rPr>
          <w:rFonts w:ascii="宋体" w:eastAsia="宋体"/>
          <w:color w:val="auto"/>
          <w:sz w:val="21"/>
          <w:szCs w:val="21"/>
          <w:highlight w:val="none"/>
        </w:rPr>
      </w:pPr>
      <w:r>
        <w:rPr>
          <w:rFonts w:hint="eastAsia" w:ascii="宋体" w:eastAsia="宋体"/>
          <w:color w:val="auto"/>
          <w:sz w:val="21"/>
          <w:szCs w:val="21"/>
          <w:highlight w:val="none"/>
        </w:rPr>
        <w:t>日     期：</w:t>
      </w:r>
      <w:r>
        <w:rPr>
          <w:rFonts w:hint="eastAsia" w:ascii="宋体" w:eastAsia="宋体"/>
          <w:color w:val="auto"/>
          <w:sz w:val="21"/>
          <w:szCs w:val="21"/>
          <w:highlight w:val="none"/>
          <w:lang w:val="en-US" w:eastAsia="zh-CN"/>
        </w:rPr>
        <w:t xml:space="preserve">   </w:t>
      </w:r>
      <w:r>
        <w:rPr>
          <w:rFonts w:hint="eastAsia" w:ascii="宋体" w:eastAsia="宋体"/>
          <w:color w:val="auto"/>
          <w:sz w:val="21"/>
          <w:szCs w:val="21"/>
          <w:highlight w:val="none"/>
        </w:rPr>
        <w:t>年</w:t>
      </w:r>
      <w:r>
        <w:rPr>
          <w:rFonts w:hint="eastAsia" w:ascii="宋体" w:eastAsia="宋体"/>
          <w:color w:val="auto"/>
          <w:sz w:val="21"/>
          <w:szCs w:val="21"/>
          <w:highlight w:val="none"/>
          <w:lang w:val="en-US" w:eastAsia="zh-CN"/>
        </w:rPr>
        <w:t xml:space="preserve">  </w:t>
      </w:r>
      <w:r>
        <w:rPr>
          <w:rFonts w:hint="eastAsia" w:ascii="宋体" w:eastAsia="宋体"/>
          <w:color w:val="auto"/>
          <w:sz w:val="21"/>
          <w:szCs w:val="21"/>
          <w:highlight w:val="none"/>
        </w:rPr>
        <w:t>月</w:t>
      </w:r>
      <w:r>
        <w:rPr>
          <w:rFonts w:hint="eastAsia" w:ascii="宋体" w:eastAsia="宋体"/>
          <w:color w:val="auto"/>
          <w:sz w:val="21"/>
          <w:szCs w:val="21"/>
          <w:highlight w:val="none"/>
          <w:lang w:val="en-US" w:eastAsia="zh-CN"/>
        </w:rPr>
        <w:t xml:space="preserve">   </w:t>
      </w:r>
      <w:r>
        <w:rPr>
          <w:rFonts w:hint="eastAsia" w:ascii="宋体" w:eastAsia="宋体"/>
          <w:color w:val="auto"/>
          <w:sz w:val="21"/>
          <w:szCs w:val="21"/>
          <w:highlight w:val="none"/>
        </w:rPr>
        <w:t>日</w:t>
      </w:r>
    </w:p>
    <w:p w14:paraId="14A6EF52">
      <w:pPr>
        <w:pStyle w:val="22"/>
        <w:spacing w:line="500" w:lineRule="atLeast"/>
        <w:ind w:firstLine="433"/>
        <w:rPr>
          <w:rFonts w:ascii="宋体" w:eastAsia="宋体"/>
          <w:color w:val="auto"/>
          <w:sz w:val="21"/>
          <w:szCs w:val="21"/>
          <w:highlight w:val="none"/>
        </w:rPr>
      </w:pPr>
      <w:r>
        <w:rPr>
          <w:rFonts w:hint="eastAsia" w:ascii="宋体" w:eastAsia="宋体"/>
          <w:color w:val="auto"/>
          <w:sz w:val="21"/>
          <w:szCs w:val="21"/>
          <w:highlight w:val="none"/>
        </w:rPr>
        <w:br w:type="page"/>
      </w:r>
    </w:p>
    <w:p w14:paraId="06D05214">
      <w:pPr>
        <w:pStyle w:val="4"/>
        <w:widowControl w:val="0"/>
        <w:overflowPunct w:val="0"/>
        <w:spacing w:line="240" w:lineRule="auto"/>
        <w:rPr>
          <w:rFonts w:ascii="宋体" w:hAnsi="宋体"/>
          <w:color w:val="auto"/>
          <w:sz w:val="21"/>
          <w:szCs w:val="21"/>
          <w:highlight w:val="none"/>
        </w:rPr>
      </w:pPr>
      <w:bookmarkStart w:id="229" w:name="_Toc10305"/>
      <w:bookmarkStart w:id="230" w:name="_Toc28506"/>
      <w:r>
        <w:rPr>
          <w:rFonts w:hint="eastAsia" w:ascii="宋体" w:hAnsi="宋体"/>
          <w:color w:val="auto"/>
          <w:sz w:val="21"/>
          <w:szCs w:val="21"/>
          <w:highlight w:val="none"/>
        </w:rPr>
        <w:t>附件</w:t>
      </w:r>
      <w:r>
        <w:rPr>
          <w:rFonts w:hint="eastAsia" w:ascii="宋体" w:hAnsi="宋体"/>
          <w:color w:val="auto"/>
          <w:sz w:val="21"/>
          <w:szCs w:val="21"/>
          <w:highlight w:val="none"/>
          <w:lang w:val="en-US" w:eastAsia="zh-CN"/>
        </w:rPr>
        <w:t>6</w:t>
      </w:r>
      <w:r>
        <w:rPr>
          <w:rFonts w:hint="eastAsia" w:ascii="宋体" w:hAnsi="宋体"/>
          <w:color w:val="auto"/>
          <w:sz w:val="21"/>
          <w:szCs w:val="21"/>
          <w:highlight w:val="none"/>
        </w:rPr>
        <w:t>.</w:t>
      </w:r>
      <w:bookmarkEnd w:id="229"/>
      <w:r>
        <w:rPr>
          <w:rFonts w:hint="eastAsia" w:ascii="宋体" w:hAnsi="宋体" w:cs="宋体"/>
          <w:color w:val="auto"/>
          <w:sz w:val="21"/>
          <w:szCs w:val="21"/>
          <w:highlight w:val="none"/>
        </w:rPr>
        <w:t>投标人资格证明文件</w:t>
      </w:r>
      <w:bookmarkEnd w:id="230"/>
    </w:p>
    <w:p w14:paraId="30BC68D5">
      <w:pPr>
        <w:numPr>
          <w:ilvl w:val="255"/>
          <w:numId w:val="0"/>
        </w:numPr>
        <w:tabs>
          <w:tab w:val="left" w:pos="1680"/>
        </w:tabs>
        <w:jc w:val="both"/>
        <w:rPr>
          <w:rFonts w:ascii="宋体" w:hAnsi="宋体" w:cs="宋体"/>
          <w:b/>
          <w:bCs/>
          <w:color w:val="auto"/>
          <w:szCs w:val="21"/>
          <w:highlight w:val="none"/>
        </w:rPr>
      </w:pPr>
      <w:r>
        <w:rPr>
          <w:rFonts w:hint="eastAsia" w:ascii="宋体" w:hAnsi="宋体" w:cs="宋体"/>
          <w:b/>
          <w:bCs/>
          <w:color w:val="auto"/>
          <w:szCs w:val="21"/>
          <w:highlight w:val="none"/>
        </w:rPr>
        <w:t>（一）营业执照复印件：提供《营业执照》复印件（加盖公章）或《事业单位法人证书》复印件（加盖公章）或其他主体证书复印件（加盖公章）；</w:t>
      </w:r>
    </w:p>
    <w:p w14:paraId="77BCAC2C">
      <w:pPr>
        <w:numPr>
          <w:ilvl w:val="255"/>
          <w:numId w:val="0"/>
        </w:numPr>
        <w:tabs>
          <w:tab w:val="left" w:pos="1680"/>
        </w:tabs>
        <w:jc w:val="both"/>
        <w:rPr>
          <w:rFonts w:hint="eastAsia" w:ascii="宋体" w:hAnsi="宋体" w:cs="宋体"/>
          <w:b/>
          <w:bCs/>
          <w:color w:val="auto"/>
          <w:szCs w:val="21"/>
          <w:highlight w:val="none"/>
        </w:rPr>
      </w:pPr>
    </w:p>
    <w:p w14:paraId="38CC197B">
      <w:pPr>
        <w:pStyle w:val="6"/>
        <w:rPr>
          <w:rFonts w:hint="eastAsia"/>
          <w:color w:val="auto"/>
        </w:rPr>
      </w:pPr>
    </w:p>
    <w:p w14:paraId="63DA8055">
      <w:pPr>
        <w:numPr>
          <w:ilvl w:val="255"/>
          <w:numId w:val="0"/>
        </w:numPr>
        <w:tabs>
          <w:tab w:val="left" w:pos="1680"/>
        </w:tabs>
        <w:jc w:val="both"/>
        <w:rPr>
          <w:rFonts w:hint="eastAsia" w:ascii="宋体" w:hAnsi="宋体" w:cs="宋体"/>
          <w:b/>
          <w:bCs/>
          <w:color w:val="auto"/>
          <w:szCs w:val="21"/>
          <w:highlight w:val="none"/>
        </w:rPr>
      </w:pPr>
      <w:r>
        <w:rPr>
          <w:rFonts w:hint="eastAsia" w:ascii="宋体" w:hAnsi="宋体" w:cs="宋体"/>
          <w:b/>
          <w:bCs/>
          <w:color w:val="auto"/>
          <w:szCs w:val="21"/>
          <w:highlight w:val="none"/>
        </w:rPr>
        <w:t>（</w:t>
      </w:r>
      <w:r>
        <w:rPr>
          <w:rFonts w:hint="eastAsia" w:ascii="宋体" w:hAnsi="宋体" w:cs="宋体"/>
          <w:b/>
          <w:bCs/>
          <w:color w:val="auto"/>
          <w:szCs w:val="21"/>
          <w:highlight w:val="none"/>
          <w:lang w:val="en-US" w:eastAsia="zh-CN"/>
        </w:rPr>
        <w:t>二</w:t>
      </w:r>
      <w:r>
        <w:rPr>
          <w:rFonts w:hint="eastAsia" w:ascii="宋体" w:hAnsi="宋体" w:cs="宋体"/>
          <w:b/>
          <w:bCs/>
          <w:color w:val="auto"/>
          <w:szCs w:val="21"/>
          <w:highlight w:val="none"/>
        </w:rPr>
        <w:t>）投标人的单位负责人为同一人或者存在直接控股、管理关系的不同投标人，不得参加同一合同项下的采购活动的声明函，格式如下：</w:t>
      </w:r>
    </w:p>
    <w:p w14:paraId="37FFB1FC">
      <w:pPr>
        <w:numPr>
          <w:ilvl w:val="255"/>
          <w:numId w:val="0"/>
        </w:numPr>
        <w:tabs>
          <w:tab w:val="left" w:pos="1680"/>
        </w:tabs>
        <w:jc w:val="both"/>
        <w:rPr>
          <w:rFonts w:hint="eastAsia" w:ascii="宋体" w:hAnsi="宋体" w:cs="宋体"/>
          <w:b/>
          <w:bCs/>
          <w:color w:val="auto"/>
          <w:szCs w:val="21"/>
          <w:highlight w:val="none"/>
        </w:rPr>
      </w:pPr>
    </w:p>
    <w:p w14:paraId="338AFB83">
      <w:pPr>
        <w:jc w:val="center"/>
        <w:rPr>
          <w:rFonts w:hAnsi="宋体" w:cs="宋体"/>
          <w:b/>
          <w:bCs/>
          <w:color w:val="auto"/>
          <w:highlight w:val="none"/>
        </w:rPr>
      </w:pPr>
      <w:r>
        <w:rPr>
          <w:rFonts w:hint="eastAsia" w:hAnsi="宋体" w:cs="宋体"/>
          <w:b/>
          <w:bCs/>
          <w:color w:val="auto"/>
          <w:highlight w:val="none"/>
        </w:rPr>
        <w:t>投标人的单位负责人为同一人或者存在直接控股、管理关系的不同投标人，不得参加同一合同项下的采购活动的声明函</w:t>
      </w:r>
    </w:p>
    <w:p w14:paraId="67F2F740">
      <w:pPr>
        <w:keepNext w:val="0"/>
        <w:keepLines w:val="0"/>
        <w:pageBreakBefore w:val="0"/>
        <w:widowControl/>
        <w:kinsoku/>
        <w:wordWrap/>
        <w:overflowPunct/>
        <w:topLinePunct w:val="0"/>
        <w:autoSpaceDE/>
        <w:autoSpaceDN/>
        <w:bidi w:val="0"/>
        <w:adjustRightInd w:val="0"/>
        <w:snapToGrid w:val="0"/>
        <w:spacing w:line="400" w:lineRule="exact"/>
        <w:textAlignment w:val="auto"/>
        <w:rPr>
          <w:rFonts w:ascii="宋体" w:hAnsi="宋体" w:cs="宋体"/>
          <w:color w:val="auto"/>
          <w:szCs w:val="21"/>
          <w:highlight w:val="none"/>
        </w:rPr>
      </w:pPr>
      <w:r>
        <w:rPr>
          <w:rFonts w:hint="eastAsia" w:ascii="宋体" w:hAnsi="宋体" w:cs="宋体"/>
          <w:color w:val="auto"/>
          <w:szCs w:val="21"/>
          <w:highlight w:val="none"/>
        </w:rPr>
        <w:t>致</w:t>
      </w:r>
      <w:r>
        <w:rPr>
          <w:rFonts w:hint="eastAsia" w:ascii="宋体" w:hAnsi="宋体" w:cs="宋体"/>
          <w:color w:val="auto"/>
          <w:szCs w:val="21"/>
          <w:highlight w:val="none"/>
          <w:lang w:eastAsia="zh-CN"/>
        </w:rPr>
        <w:t>广东政通招标有限公司</w:t>
      </w:r>
      <w:r>
        <w:rPr>
          <w:rFonts w:hint="eastAsia" w:ascii="宋体" w:hAnsi="宋体" w:cs="宋体"/>
          <w:color w:val="auto"/>
          <w:szCs w:val="21"/>
          <w:highlight w:val="none"/>
        </w:rPr>
        <w:t>：</w:t>
      </w:r>
    </w:p>
    <w:p w14:paraId="7CF30129">
      <w:pPr>
        <w:keepNext w:val="0"/>
        <w:keepLines w:val="0"/>
        <w:pageBreakBefore w:val="0"/>
        <w:widowControl/>
        <w:kinsoku/>
        <w:wordWrap/>
        <w:overflowPunct/>
        <w:topLinePunct w:val="0"/>
        <w:autoSpaceDE/>
        <w:autoSpaceDN/>
        <w:bidi w:val="0"/>
        <w:adjustRightInd w:val="0"/>
        <w:snapToGrid w:val="0"/>
        <w:spacing w:line="400" w:lineRule="exact"/>
        <w:ind w:firstLine="420" w:firstLineChars="200"/>
        <w:textAlignment w:val="auto"/>
        <w:rPr>
          <w:rFonts w:ascii="宋体" w:hAnsi="宋体" w:cs="宋体"/>
          <w:color w:val="auto"/>
          <w:szCs w:val="21"/>
          <w:highlight w:val="none"/>
        </w:rPr>
      </w:pPr>
      <w:r>
        <w:rPr>
          <w:rFonts w:hint="eastAsia" w:ascii="宋体" w:hAnsi="宋体" w:cs="宋体"/>
          <w:color w:val="auto"/>
          <w:szCs w:val="21"/>
          <w:highlight w:val="none"/>
        </w:rPr>
        <w:t>我公司郑重承诺：在参加“</w:t>
      </w:r>
      <w:r>
        <w:rPr>
          <w:rFonts w:hint="eastAsia" w:ascii="宋体" w:hAnsi="宋体" w:cs="宋体"/>
          <w:color w:val="auto"/>
          <w:szCs w:val="21"/>
          <w:highlight w:val="none"/>
          <w:u w:val="single"/>
        </w:rPr>
        <w:t xml:space="preserve"> </w:t>
      </w:r>
      <w:r>
        <w:rPr>
          <w:rFonts w:hint="eastAsia" w:ascii="宋体" w:hAnsi="宋体" w:cs="宋体"/>
          <w:color w:val="auto"/>
          <w:szCs w:val="21"/>
          <w:highlight w:val="none"/>
          <w:u w:val="single"/>
          <w:lang w:eastAsia="zh-CN"/>
        </w:rPr>
        <w:t>餐厨项目2025年度定点维修服务项目（</w:t>
      </w:r>
      <w:r>
        <w:rPr>
          <w:rFonts w:hint="eastAsia" w:ascii="宋体" w:hAnsi="宋体" w:cs="宋体"/>
          <w:color w:val="auto"/>
          <w:szCs w:val="21"/>
          <w:highlight w:val="none"/>
          <w:u w:val="single"/>
          <w:lang w:val="en-US" w:eastAsia="zh-CN"/>
        </w:rPr>
        <w:t>第三次</w:t>
      </w:r>
      <w:r>
        <w:rPr>
          <w:rFonts w:hint="eastAsia" w:ascii="宋体" w:hAnsi="宋体" w:cs="宋体"/>
          <w:color w:val="auto"/>
          <w:szCs w:val="21"/>
          <w:highlight w:val="none"/>
          <w:u w:val="single"/>
          <w:lang w:eastAsia="zh-CN"/>
        </w:rPr>
        <w:t>采购）</w:t>
      </w:r>
      <w:r>
        <w:rPr>
          <w:rFonts w:hint="eastAsia" w:ascii="宋体" w:hAnsi="宋体" w:cs="宋体"/>
          <w:color w:val="auto"/>
          <w:szCs w:val="21"/>
          <w:highlight w:val="none"/>
        </w:rPr>
        <w:t>” （项目编号:</w:t>
      </w:r>
      <w:r>
        <w:rPr>
          <w:rFonts w:hint="eastAsia" w:ascii="宋体" w:hAnsi="宋体" w:cs="宋体"/>
          <w:color w:val="auto"/>
          <w:szCs w:val="21"/>
          <w:highlight w:val="none"/>
          <w:lang w:eastAsia="zh-CN"/>
        </w:rPr>
        <w:t>DSE-GK-2025-001</w:t>
      </w:r>
      <w:r>
        <w:rPr>
          <w:rFonts w:hint="eastAsia" w:ascii="宋体" w:hAnsi="宋体" w:cs="宋体"/>
          <w:color w:val="auto"/>
          <w:szCs w:val="21"/>
          <w:highlight w:val="none"/>
        </w:rPr>
        <w:t>）</w:t>
      </w:r>
      <w:r>
        <w:rPr>
          <w:rFonts w:hint="eastAsia" w:ascii="宋体" w:hAnsi="宋体" w:cs="宋体"/>
          <w:color w:val="auto"/>
          <w:szCs w:val="21"/>
          <w:highlight w:val="none"/>
          <w:lang w:val="en-US" w:eastAsia="zh-CN"/>
        </w:rPr>
        <w:t>采购活动中</w:t>
      </w:r>
      <w:r>
        <w:rPr>
          <w:rFonts w:hint="eastAsia" w:ascii="宋体" w:hAnsi="宋体" w:cs="宋体"/>
          <w:color w:val="auto"/>
          <w:szCs w:val="21"/>
          <w:highlight w:val="none"/>
          <w:lang w:eastAsia="zh-CN"/>
        </w:rPr>
        <w:t>，</w:t>
      </w:r>
      <w:r>
        <w:rPr>
          <w:rFonts w:hint="eastAsia" w:ascii="宋体" w:hAnsi="宋体" w:cs="宋体"/>
          <w:color w:val="auto"/>
          <w:szCs w:val="21"/>
          <w:highlight w:val="none"/>
          <w:lang w:val="en-US" w:eastAsia="zh-CN"/>
        </w:rPr>
        <w:t>严格遵守“</w:t>
      </w:r>
      <w:r>
        <w:rPr>
          <w:rFonts w:hint="eastAsia" w:ascii="宋体" w:hAnsi="宋体" w:cs="宋体"/>
          <w:color w:val="auto"/>
          <w:szCs w:val="21"/>
          <w:highlight w:val="none"/>
        </w:rPr>
        <w:t>投标人的单位负责人为同一人或者存在直接控股、管理关系的不同投标人，不得参加同一合同项下的采购活动</w:t>
      </w:r>
      <w:r>
        <w:rPr>
          <w:rFonts w:hint="default" w:ascii="宋体" w:hAnsi="宋体" w:cs="宋体"/>
          <w:color w:val="auto"/>
          <w:szCs w:val="21"/>
          <w:highlight w:val="none"/>
          <w:lang w:val="en-US" w:eastAsia="zh-CN"/>
        </w:rPr>
        <w:t>”</w:t>
      </w:r>
      <w:r>
        <w:rPr>
          <w:rFonts w:hint="eastAsia" w:ascii="宋体" w:hAnsi="宋体" w:cs="宋体"/>
          <w:color w:val="auto"/>
          <w:szCs w:val="21"/>
          <w:highlight w:val="none"/>
          <w:lang w:val="en-US" w:eastAsia="zh-CN"/>
        </w:rPr>
        <w:t>的要求</w:t>
      </w:r>
      <w:r>
        <w:rPr>
          <w:rFonts w:hint="eastAsia" w:ascii="宋体" w:hAnsi="宋体" w:cs="宋体"/>
          <w:color w:val="auto"/>
          <w:szCs w:val="21"/>
          <w:highlight w:val="none"/>
        </w:rPr>
        <w:t>。</w:t>
      </w:r>
    </w:p>
    <w:p w14:paraId="2DAD9934">
      <w:pPr>
        <w:keepNext w:val="0"/>
        <w:keepLines w:val="0"/>
        <w:pageBreakBefore w:val="0"/>
        <w:widowControl/>
        <w:kinsoku/>
        <w:wordWrap/>
        <w:overflowPunct/>
        <w:topLinePunct w:val="0"/>
        <w:autoSpaceDE/>
        <w:autoSpaceDN/>
        <w:bidi w:val="0"/>
        <w:adjustRightInd w:val="0"/>
        <w:snapToGrid w:val="0"/>
        <w:spacing w:line="400" w:lineRule="exact"/>
        <w:ind w:firstLine="420" w:firstLineChars="200"/>
        <w:textAlignment w:val="auto"/>
        <w:rPr>
          <w:rFonts w:hint="eastAsia" w:ascii="宋体" w:hAnsi="宋体" w:cs="宋体"/>
          <w:color w:val="auto"/>
          <w:szCs w:val="21"/>
          <w:highlight w:val="none"/>
        </w:rPr>
      </w:pPr>
      <w:r>
        <w:rPr>
          <w:rFonts w:hint="eastAsia" w:ascii="宋体" w:hAnsi="宋体" w:cs="宋体"/>
          <w:color w:val="auto"/>
          <w:szCs w:val="21"/>
          <w:highlight w:val="none"/>
        </w:rPr>
        <w:t>我公司以上承诺均为真实有效，绝无任何虚假、伪造的成份，否则，愿承担相应的后果和法律责任。</w:t>
      </w:r>
    </w:p>
    <w:p w14:paraId="72776752">
      <w:pPr>
        <w:pStyle w:val="6"/>
        <w:rPr>
          <w:color w:val="auto"/>
        </w:rPr>
      </w:pPr>
    </w:p>
    <w:p w14:paraId="7440DED3">
      <w:pPr>
        <w:ind w:right="561" w:firstLine="420" w:firstLineChars="200"/>
        <w:rPr>
          <w:rFonts w:ascii="宋体" w:hAnsi="宋体" w:cs="宋体"/>
          <w:color w:val="auto"/>
          <w:szCs w:val="21"/>
          <w:highlight w:val="none"/>
        </w:rPr>
      </w:pPr>
      <w:r>
        <w:rPr>
          <w:rFonts w:hint="eastAsia" w:ascii="宋体" w:hAnsi="宋体" w:cs="宋体"/>
          <w:color w:val="auto"/>
          <w:szCs w:val="21"/>
          <w:highlight w:val="none"/>
        </w:rPr>
        <w:t>投标人名称（加盖公章）：</w:t>
      </w:r>
    </w:p>
    <w:p w14:paraId="2B49FE75">
      <w:pPr>
        <w:numPr>
          <w:ilvl w:val="0"/>
          <w:numId w:val="0"/>
        </w:numPr>
        <w:ind w:right="561" w:firstLine="420" w:firstLineChars="200"/>
        <w:rPr>
          <w:rFonts w:hint="eastAsia" w:ascii="宋体" w:hAnsi="宋体" w:cs="宋体"/>
          <w:color w:val="auto"/>
          <w:szCs w:val="21"/>
          <w:highlight w:val="none"/>
        </w:rPr>
      </w:pPr>
      <w:r>
        <w:rPr>
          <w:rFonts w:hint="eastAsia" w:ascii="宋体" w:hAnsi="宋体" w:cs="宋体"/>
          <w:color w:val="auto"/>
          <w:szCs w:val="21"/>
          <w:highlight w:val="none"/>
        </w:rPr>
        <w:t>日      期：</w:t>
      </w:r>
    </w:p>
    <w:p w14:paraId="6E5561EE">
      <w:pPr>
        <w:numPr>
          <w:ilvl w:val="0"/>
          <w:numId w:val="0"/>
        </w:numPr>
        <w:ind w:right="561" w:firstLine="420" w:firstLineChars="200"/>
        <w:rPr>
          <w:rFonts w:hint="eastAsia" w:ascii="宋体" w:hAnsi="宋体" w:cs="宋体"/>
          <w:color w:val="auto"/>
          <w:szCs w:val="21"/>
          <w:highlight w:val="none"/>
        </w:rPr>
      </w:pPr>
    </w:p>
    <w:p w14:paraId="46BCDD47">
      <w:pPr>
        <w:rPr>
          <w:rFonts w:hint="eastAsia"/>
          <w:color w:val="auto"/>
        </w:rPr>
      </w:pPr>
    </w:p>
    <w:p w14:paraId="75153702">
      <w:pPr>
        <w:numPr>
          <w:ilvl w:val="255"/>
          <w:numId w:val="0"/>
        </w:numPr>
        <w:tabs>
          <w:tab w:val="left" w:pos="1680"/>
        </w:tabs>
        <w:jc w:val="both"/>
        <w:rPr>
          <w:rFonts w:ascii="宋体" w:hAnsi="宋体" w:cs="宋体"/>
          <w:b/>
          <w:bCs/>
          <w:color w:val="auto"/>
          <w:szCs w:val="21"/>
          <w:highlight w:val="none"/>
        </w:rPr>
      </w:pPr>
      <w:r>
        <w:rPr>
          <w:rFonts w:hint="eastAsia" w:ascii="宋体" w:hAnsi="宋体" w:cs="宋体"/>
          <w:b/>
          <w:bCs/>
          <w:color w:val="auto"/>
          <w:szCs w:val="21"/>
          <w:highlight w:val="none"/>
        </w:rPr>
        <w:t>（</w:t>
      </w:r>
      <w:r>
        <w:rPr>
          <w:rFonts w:hint="eastAsia" w:ascii="宋体" w:hAnsi="宋体" w:cs="宋体"/>
          <w:b/>
          <w:bCs/>
          <w:color w:val="auto"/>
          <w:szCs w:val="21"/>
          <w:highlight w:val="none"/>
          <w:lang w:val="en-US" w:eastAsia="zh-CN"/>
        </w:rPr>
        <w:t>三</w:t>
      </w:r>
      <w:r>
        <w:rPr>
          <w:rFonts w:hint="eastAsia" w:ascii="宋体" w:hAnsi="宋体" w:cs="宋体"/>
          <w:b/>
          <w:bCs/>
          <w:color w:val="auto"/>
          <w:szCs w:val="21"/>
          <w:highlight w:val="none"/>
        </w:rPr>
        <w:t>）投标人未被列入东实环境及下属企业相关领域黑名单。</w:t>
      </w:r>
    </w:p>
    <w:p w14:paraId="63377894">
      <w:pPr>
        <w:jc w:val="center"/>
        <w:rPr>
          <w:rFonts w:hAnsi="宋体" w:cs="宋体"/>
          <w:b/>
          <w:bCs/>
          <w:color w:val="auto"/>
          <w:highlight w:val="none"/>
        </w:rPr>
      </w:pPr>
    </w:p>
    <w:p w14:paraId="05B9F6C6">
      <w:pPr>
        <w:jc w:val="center"/>
        <w:rPr>
          <w:rFonts w:hAnsi="宋体" w:cs="宋体"/>
          <w:b/>
          <w:bCs/>
          <w:color w:val="auto"/>
          <w:highlight w:val="none"/>
        </w:rPr>
      </w:pPr>
      <w:r>
        <w:rPr>
          <w:rFonts w:hint="eastAsia" w:hAnsi="宋体" w:cs="宋体"/>
          <w:b/>
          <w:bCs/>
          <w:color w:val="auto"/>
          <w:highlight w:val="none"/>
        </w:rPr>
        <w:t>投标人未被列入东实环境及下属企业相关领域黑名单的声明函</w:t>
      </w:r>
    </w:p>
    <w:p w14:paraId="4EA17EEA">
      <w:pPr>
        <w:keepNext w:val="0"/>
        <w:keepLines w:val="0"/>
        <w:pageBreakBefore w:val="0"/>
        <w:widowControl/>
        <w:kinsoku/>
        <w:wordWrap/>
        <w:overflowPunct/>
        <w:topLinePunct w:val="0"/>
        <w:autoSpaceDE/>
        <w:autoSpaceDN/>
        <w:bidi w:val="0"/>
        <w:adjustRightInd w:val="0"/>
        <w:snapToGrid w:val="0"/>
        <w:spacing w:line="400" w:lineRule="exact"/>
        <w:textAlignment w:val="auto"/>
        <w:rPr>
          <w:rFonts w:ascii="宋体" w:hAnsi="宋体" w:cs="宋体"/>
          <w:color w:val="auto"/>
          <w:szCs w:val="21"/>
          <w:highlight w:val="none"/>
        </w:rPr>
      </w:pPr>
      <w:r>
        <w:rPr>
          <w:rFonts w:hint="eastAsia" w:ascii="宋体" w:hAnsi="宋体" w:cs="宋体"/>
          <w:color w:val="auto"/>
          <w:szCs w:val="21"/>
          <w:highlight w:val="none"/>
        </w:rPr>
        <w:t>致</w:t>
      </w:r>
      <w:r>
        <w:rPr>
          <w:rFonts w:hint="eastAsia" w:ascii="宋体" w:hAnsi="宋体" w:cs="宋体"/>
          <w:color w:val="auto"/>
          <w:szCs w:val="21"/>
          <w:highlight w:val="none"/>
          <w:lang w:eastAsia="zh-CN"/>
        </w:rPr>
        <w:t>广东政通招标有限公司</w:t>
      </w:r>
      <w:r>
        <w:rPr>
          <w:rFonts w:hint="eastAsia" w:ascii="宋体" w:hAnsi="宋体" w:cs="宋体"/>
          <w:color w:val="auto"/>
          <w:szCs w:val="21"/>
          <w:highlight w:val="none"/>
        </w:rPr>
        <w:t>：</w:t>
      </w:r>
    </w:p>
    <w:p w14:paraId="226C2299">
      <w:pPr>
        <w:keepNext w:val="0"/>
        <w:keepLines w:val="0"/>
        <w:pageBreakBefore w:val="0"/>
        <w:widowControl/>
        <w:kinsoku/>
        <w:wordWrap/>
        <w:overflowPunct/>
        <w:topLinePunct w:val="0"/>
        <w:autoSpaceDE/>
        <w:autoSpaceDN/>
        <w:bidi w:val="0"/>
        <w:adjustRightInd w:val="0"/>
        <w:snapToGrid w:val="0"/>
        <w:spacing w:line="400" w:lineRule="exact"/>
        <w:ind w:firstLine="420" w:firstLineChars="200"/>
        <w:textAlignment w:val="auto"/>
        <w:rPr>
          <w:rFonts w:ascii="宋体" w:hAnsi="宋体" w:cs="宋体"/>
          <w:color w:val="auto"/>
          <w:szCs w:val="21"/>
          <w:highlight w:val="none"/>
        </w:rPr>
      </w:pPr>
      <w:r>
        <w:rPr>
          <w:rFonts w:hint="eastAsia" w:ascii="宋体" w:hAnsi="宋体" w:cs="宋体"/>
          <w:color w:val="auto"/>
          <w:szCs w:val="21"/>
          <w:highlight w:val="none"/>
        </w:rPr>
        <w:t>我公司郑重承诺：在参加“</w:t>
      </w:r>
      <w:r>
        <w:rPr>
          <w:rFonts w:hint="eastAsia" w:ascii="宋体" w:hAnsi="宋体" w:cs="宋体"/>
          <w:color w:val="auto"/>
          <w:szCs w:val="21"/>
          <w:highlight w:val="none"/>
          <w:u w:val="single"/>
          <w:lang w:eastAsia="zh-CN"/>
        </w:rPr>
        <w:t>餐厨项目2025年度定点维修服务项目（</w:t>
      </w:r>
      <w:r>
        <w:rPr>
          <w:rFonts w:hint="eastAsia" w:ascii="宋体" w:hAnsi="宋体" w:cs="宋体"/>
          <w:color w:val="auto"/>
          <w:szCs w:val="21"/>
          <w:highlight w:val="none"/>
          <w:u w:val="single"/>
          <w:lang w:val="en-US" w:eastAsia="zh-CN"/>
        </w:rPr>
        <w:t>第三次</w:t>
      </w:r>
      <w:r>
        <w:rPr>
          <w:rFonts w:hint="eastAsia" w:ascii="宋体" w:hAnsi="宋体" w:cs="宋体"/>
          <w:color w:val="auto"/>
          <w:szCs w:val="21"/>
          <w:highlight w:val="none"/>
          <w:u w:val="single"/>
          <w:lang w:eastAsia="zh-CN"/>
        </w:rPr>
        <w:t>采购）</w:t>
      </w:r>
      <w:r>
        <w:rPr>
          <w:rFonts w:hint="eastAsia" w:ascii="宋体" w:hAnsi="宋体" w:cs="宋体"/>
          <w:color w:val="auto"/>
          <w:szCs w:val="21"/>
          <w:highlight w:val="none"/>
        </w:rPr>
        <w:t>” （项目编号:</w:t>
      </w:r>
      <w:r>
        <w:rPr>
          <w:rFonts w:hint="eastAsia" w:ascii="宋体" w:hAnsi="宋体" w:cs="宋体"/>
          <w:color w:val="auto"/>
          <w:szCs w:val="21"/>
          <w:highlight w:val="none"/>
          <w:lang w:eastAsia="zh-CN"/>
        </w:rPr>
        <w:t>DSE-GK-2025-001</w:t>
      </w:r>
      <w:r>
        <w:rPr>
          <w:rFonts w:hint="eastAsia" w:ascii="宋体" w:hAnsi="宋体" w:cs="宋体"/>
          <w:color w:val="auto"/>
          <w:szCs w:val="21"/>
          <w:highlight w:val="none"/>
        </w:rPr>
        <w:t>）采购活动前未被列入东实环境及下属企业相关领域黑名单。</w:t>
      </w:r>
    </w:p>
    <w:p w14:paraId="598CE530">
      <w:pPr>
        <w:keepNext w:val="0"/>
        <w:keepLines w:val="0"/>
        <w:pageBreakBefore w:val="0"/>
        <w:widowControl/>
        <w:kinsoku/>
        <w:wordWrap/>
        <w:overflowPunct/>
        <w:topLinePunct w:val="0"/>
        <w:autoSpaceDE/>
        <w:autoSpaceDN/>
        <w:bidi w:val="0"/>
        <w:adjustRightInd w:val="0"/>
        <w:snapToGrid w:val="0"/>
        <w:spacing w:line="400" w:lineRule="exact"/>
        <w:ind w:firstLine="420" w:firstLineChars="200"/>
        <w:textAlignment w:val="auto"/>
        <w:rPr>
          <w:rFonts w:ascii="宋体" w:hAnsi="宋体" w:cs="宋体"/>
          <w:color w:val="auto"/>
          <w:szCs w:val="21"/>
          <w:highlight w:val="none"/>
        </w:rPr>
      </w:pPr>
      <w:r>
        <w:rPr>
          <w:rFonts w:hint="eastAsia" w:ascii="宋体" w:hAnsi="宋体" w:cs="宋体"/>
          <w:color w:val="auto"/>
          <w:szCs w:val="21"/>
          <w:highlight w:val="none"/>
        </w:rPr>
        <w:t>我公司以上承诺均为真实有效，绝无任何虚假、伪造的成份，否则，愿承担相应的后果和法律责任。</w:t>
      </w:r>
    </w:p>
    <w:p w14:paraId="78558E30">
      <w:pPr>
        <w:keepNext w:val="0"/>
        <w:keepLines w:val="0"/>
        <w:pageBreakBefore w:val="0"/>
        <w:widowControl/>
        <w:kinsoku/>
        <w:wordWrap/>
        <w:overflowPunct/>
        <w:topLinePunct w:val="0"/>
        <w:autoSpaceDE/>
        <w:autoSpaceDN/>
        <w:bidi w:val="0"/>
        <w:adjustRightInd w:val="0"/>
        <w:snapToGrid w:val="0"/>
        <w:spacing w:line="400" w:lineRule="exact"/>
        <w:textAlignment w:val="auto"/>
        <w:rPr>
          <w:rFonts w:ascii="宋体" w:hAnsi="宋体" w:cs="宋体"/>
          <w:color w:val="auto"/>
          <w:szCs w:val="21"/>
          <w:highlight w:val="none"/>
        </w:rPr>
      </w:pPr>
    </w:p>
    <w:p w14:paraId="032BFE78">
      <w:pPr>
        <w:ind w:right="561" w:firstLine="420" w:firstLineChars="200"/>
        <w:rPr>
          <w:rFonts w:ascii="宋体" w:hAnsi="宋体" w:cs="宋体"/>
          <w:color w:val="auto"/>
          <w:szCs w:val="21"/>
          <w:highlight w:val="none"/>
        </w:rPr>
      </w:pPr>
      <w:r>
        <w:rPr>
          <w:rFonts w:hint="eastAsia" w:ascii="宋体" w:hAnsi="宋体" w:cs="宋体"/>
          <w:color w:val="auto"/>
          <w:szCs w:val="21"/>
          <w:highlight w:val="none"/>
        </w:rPr>
        <w:t>投标人名称（加盖公章）：</w:t>
      </w:r>
    </w:p>
    <w:p w14:paraId="66253590">
      <w:pPr>
        <w:ind w:right="561" w:firstLine="420" w:firstLineChars="200"/>
        <w:rPr>
          <w:rFonts w:ascii="宋体" w:hAnsi="宋体" w:cs="宋体"/>
          <w:color w:val="auto"/>
          <w:szCs w:val="21"/>
          <w:highlight w:val="none"/>
        </w:rPr>
      </w:pPr>
      <w:r>
        <w:rPr>
          <w:rFonts w:hint="eastAsia" w:ascii="宋体" w:hAnsi="宋体" w:cs="宋体"/>
          <w:color w:val="auto"/>
          <w:szCs w:val="21"/>
          <w:highlight w:val="none"/>
        </w:rPr>
        <w:t>日      期：</w:t>
      </w:r>
    </w:p>
    <w:bookmarkEnd w:id="226"/>
    <w:p w14:paraId="37C13DD9">
      <w:pPr>
        <w:numPr>
          <w:ilvl w:val="-1"/>
          <w:numId w:val="0"/>
        </w:numPr>
        <w:ind w:firstLine="422" w:firstLineChars="200"/>
        <w:jc w:val="both"/>
        <w:rPr>
          <w:rFonts w:ascii="宋体" w:hAnsi="宋体" w:cs="宋体"/>
          <w:b/>
          <w:bCs/>
          <w:color w:val="auto"/>
          <w:szCs w:val="21"/>
          <w:highlight w:val="none"/>
        </w:rPr>
      </w:pPr>
      <w:r>
        <w:rPr>
          <w:rFonts w:hint="eastAsia" w:ascii="宋体" w:hAnsi="宋体" w:cs="宋体"/>
          <w:b/>
          <w:bCs/>
          <w:color w:val="auto"/>
          <w:szCs w:val="21"/>
          <w:highlight w:val="none"/>
        </w:rPr>
        <w:br w:type="page"/>
      </w:r>
    </w:p>
    <w:p w14:paraId="4739E12D">
      <w:pPr>
        <w:pStyle w:val="4"/>
        <w:widowControl w:val="0"/>
        <w:overflowPunct w:val="0"/>
        <w:spacing w:line="240" w:lineRule="auto"/>
        <w:rPr>
          <w:rFonts w:ascii="楷体_GB2312" w:eastAsia="楷体_GB2312"/>
          <w:color w:val="auto"/>
          <w:highlight w:val="none"/>
        </w:rPr>
      </w:pPr>
      <w:bookmarkStart w:id="231" w:name="_Toc23289"/>
      <w:bookmarkStart w:id="232" w:name="_Toc3091"/>
      <w:r>
        <w:rPr>
          <w:rFonts w:hint="eastAsia" w:ascii="宋体" w:hAnsi="宋体"/>
          <w:color w:val="auto"/>
          <w:sz w:val="21"/>
          <w:szCs w:val="21"/>
          <w:highlight w:val="none"/>
        </w:rPr>
        <w:t>附件</w:t>
      </w:r>
      <w:r>
        <w:rPr>
          <w:rFonts w:hint="eastAsia" w:ascii="宋体" w:hAnsi="宋体"/>
          <w:color w:val="auto"/>
          <w:sz w:val="21"/>
          <w:szCs w:val="21"/>
          <w:highlight w:val="none"/>
          <w:lang w:val="en-US" w:eastAsia="zh-CN"/>
        </w:rPr>
        <w:t>7</w:t>
      </w:r>
      <w:r>
        <w:rPr>
          <w:rFonts w:hint="eastAsia" w:ascii="宋体" w:hAnsi="宋体"/>
          <w:color w:val="auto"/>
          <w:sz w:val="21"/>
          <w:szCs w:val="21"/>
          <w:highlight w:val="none"/>
        </w:rPr>
        <w:t>.在经营活动中没有重大违法记录的书面声明格式</w:t>
      </w:r>
      <w:bookmarkEnd w:id="231"/>
      <w:bookmarkEnd w:id="232"/>
    </w:p>
    <w:p w14:paraId="1AC595EB">
      <w:pPr>
        <w:rPr>
          <w:color w:val="auto"/>
          <w:highlight w:val="none"/>
        </w:rPr>
      </w:pPr>
    </w:p>
    <w:p w14:paraId="3F78C8E9">
      <w:pPr>
        <w:jc w:val="center"/>
        <w:rPr>
          <w:rFonts w:ascii="黑体" w:eastAsia="黑体"/>
          <w:color w:val="auto"/>
          <w:sz w:val="28"/>
          <w:szCs w:val="28"/>
          <w:highlight w:val="none"/>
        </w:rPr>
      </w:pPr>
      <w:r>
        <w:rPr>
          <w:rFonts w:hint="eastAsia" w:ascii="黑体" w:eastAsia="黑体"/>
          <w:color w:val="auto"/>
          <w:sz w:val="28"/>
          <w:szCs w:val="28"/>
          <w:highlight w:val="none"/>
        </w:rPr>
        <w:t>投标人在经营活动中前三年内未有重大违法记录、没有不良信用记录的声明函</w:t>
      </w:r>
    </w:p>
    <w:p w14:paraId="43EFDCA2">
      <w:pPr>
        <w:ind w:firstLine="420" w:firstLineChars="200"/>
        <w:rPr>
          <w:rFonts w:ascii="宋体" w:hAnsi="宋体" w:cs="宋体"/>
          <w:color w:val="auto"/>
          <w:szCs w:val="21"/>
          <w:highlight w:val="none"/>
        </w:rPr>
      </w:pPr>
    </w:p>
    <w:p w14:paraId="2886B95E">
      <w:pPr>
        <w:spacing w:line="480" w:lineRule="auto"/>
        <w:ind w:firstLine="420" w:firstLineChars="200"/>
        <w:rPr>
          <w:rFonts w:ascii="宋体" w:hAnsi="宋体" w:cs="宋体"/>
          <w:color w:val="auto"/>
          <w:szCs w:val="21"/>
          <w:highlight w:val="none"/>
        </w:rPr>
      </w:pPr>
      <w:r>
        <w:rPr>
          <w:rFonts w:hint="eastAsia" w:ascii="宋体" w:hAnsi="宋体" w:cs="宋体"/>
          <w:color w:val="auto"/>
          <w:szCs w:val="21"/>
          <w:highlight w:val="none"/>
        </w:rPr>
        <w:t>广东政通招标有限公司：</w:t>
      </w:r>
    </w:p>
    <w:p w14:paraId="1819AE28">
      <w:pPr>
        <w:spacing w:line="480" w:lineRule="auto"/>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我公司郑重承诺：在参加“</w:t>
      </w:r>
      <w:r>
        <w:rPr>
          <w:rFonts w:hint="eastAsia" w:ascii="宋体" w:hAnsi="宋体" w:cs="宋体"/>
          <w:color w:val="auto"/>
          <w:szCs w:val="21"/>
          <w:highlight w:val="none"/>
          <w:u w:val="single"/>
        </w:rPr>
        <w:t xml:space="preserve"> 餐厨项目2025年度定点维修服务项目（第三次采购）</w:t>
      </w:r>
      <w:r>
        <w:rPr>
          <w:rFonts w:hint="eastAsia" w:ascii="宋体" w:hAnsi="宋体" w:cs="宋体"/>
          <w:color w:val="auto"/>
          <w:szCs w:val="21"/>
          <w:highlight w:val="none"/>
        </w:rPr>
        <w:t>” （项目编号:DSE-GK-2025-001）采购活动前三年内（设立不满三年的从设立之日计算），在经营活动中没有重大违法记录；</w:t>
      </w:r>
      <w:r>
        <w:rPr>
          <w:rFonts w:hint="eastAsia" w:ascii="宋体" w:hAnsi="宋体"/>
          <w:color w:val="auto"/>
          <w:szCs w:val="21"/>
          <w:highlight w:val="none"/>
        </w:rPr>
        <w:t>重大违法记录，是指供应商因违法经营受到刑事处罚或者行政处罚</w:t>
      </w:r>
      <w:r>
        <w:rPr>
          <w:rFonts w:hint="eastAsia" w:ascii="宋体" w:hAnsi="宋体" w:cs="宋体"/>
          <w:color w:val="auto"/>
          <w:szCs w:val="21"/>
          <w:highlight w:val="none"/>
        </w:rPr>
        <w:t>；</w:t>
      </w:r>
    </w:p>
    <w:p w14:paraId="39794ABC">
      <w:pPr>
        <w:spacing w:line="480" w:lineRule="auto"/>
        <w:ind w:firstLine="420" w:firstLineChars="200"/>
        <w:rPr>
          <w:rFonts w:ascii="宋体" w:hAnsi="宋体" w:cs="宋体"/>
          <w:color w:val="auto"/>
          <w:szCs w:val="21"/>
          <w:highlight w:val="none"/>
        </w:rPr>
      </w:pPr>
      <w:r>
        <w:rPr>
          <w:rFonts w:hint="eastAsia" w:ascii="宋体" w:hAnsi="宋体" w:cs="宋体"/>
          <w:color w:val="auto"/>
          <w:szCs w:val="21"/>
          <w:highlight w:val="none"/>
        </w:rPr>
        <w:t>至本项目提交投标文件截止时间止</w:t>
      </w:r>
      <w:r>
        <w:rPr>
          <w:rFonts w:hint="eastAsia" w:ascii="宋体" w:hAnsi="宋体" w:cs="宋体"/>
          <w:color w:val="auto"/>
          <w:szCs w:val="21"/>
          <w:highlight w:val="none"/>
          <w:lang w:eastAsia="zh-CN"/>
        </w:rPr>
        <w:t>，</w:t>
      </w:r>
      <w:r>
        <w:rPr>
          <w:rFonts w:hint="eastAsia" w:ascii="宋体" w:hAnsi="宋体" w:cs="宋体"/>
          <w:color w:val="auto"/>
          <w:szCs w:val="21"/>
          <w:highlight w:val="none"/>
          <w:lang w:val="en-US" w:eastAsia="zh-CN"/>
        </w:rPr>
        <w:t>我公司</w:t>
      </w:r>
      <w:r>
        <w:rPr>
          <w:rFonts w:hint="eastAsia" w:ascii="宋体" w:hAnsi="宋体" w:cs="宋体"/>
          <w:color w:val="auto"/>
          <w:szCs w:val="21"/>
          <w:highlight w:val="none"/>
        </w:rPr>
        <w:t>未被列入“信用中国”网站失信被执行人、重大税收违法失信主体、严重失信主体记录名单。</w:t>
      </w:r>
    </w:p>
    <w:p w14:paraId="59B02894">
      <w:pPr>
        <w:spacing w:line="480" w:lineRule="auto"/>
        <w:ind w:firstLine="420" w:firstLineChars="200"/>
        <w:rPr>
          <w:rFonts w:ascii="宋体" w:hAnsi="宋体" w:cs="宋体"/>
          <w:color w:val="auto"/>
          <w:szCs w:val="21"/>
          <w:highlight w:val="none"/>
        </w:rPr>
      </w:pPr>
      <w:r>
        <w:rPr>
          <w:rFonts w:hint="eastAsia" w:ascii="宋体" w:hAnsi="宋体" w:cs="宋体"/>
          <w:color w:val="auto"/>
          <w:szCs w:val="21"/>
          <w:highlight w:val="none"/>
        </w:rPr>
        <w:t>我公司以上承诺均为真实有效，绝无任何虚假、伪造的成份，否则，愿承担相应的后果和法律责任。</w:t>
      </w:r>
    </w:p>
    <w:p w14:paraId="60ADF25D">
      <w:pPr>
        <w:ind w:firstLine="420" w:firstLineChars="200"/>
        <w:rPr>
          <w:rFonts w:ascii="宋体" w:hAnsi="宋体" w:cs="宋体"/>
          <w:color w:val="auto"/>
          <w:szCs w:val="21"/>
          <w:highlight w:val="none"/>
        </w:rPr>
      </w:pPr>
    </w:p>
    <w:p w14:paraId="4D90EDA4">
      <w:pPr>
        <w:rPr>
          <w:rFonts w:ascii="宋体" w:hAnsi="宋体" w:cs="宋体"/>
          <w:color w:val="auto"/>
          <w:szCs w:val="21"/>
          <w:highlight w:val="none"/>
        </w:rPr>
      </w:pPr>
    </w:p>
    <w:p w14:paraId="0DEDF6B6">
      <w:pPr>
        <w:ind w:right="561" w:firstLine="420" w:firstLineChars="200"/>
        <w:rPr>
          <w:rFonts w:ascii="宋体" w:hAnsi="宋体" w:cs="宋体"/>
          <w:color w:val="auto"/>
          <w:szCs w:val="21"/>
          <w:highlight w:val="none"/>
        </w:rPr>
      </w:pPr>
      <w:r>
        <w:rPr>
          <w:rFonts w:hint="eastAsia" w:ascii="宋体" w:hAnsi="宋体" w:cs="宋体"/>
          <w:color w:val="auto"/>
          <w:szCs w:val="21"/>
          <w:highlight w:val="none"/>
        </w:rPr>
        <w:t>投标人名称（加盖公章）：</w:t>
      </w:r>
    </w:p>
    <w:p w14:paraId="755E9D04">
      <w:pPr>
        <w:ind w:right="561" w:firstLine="420" w:firstLineChars="200"/>
        <w:rPr>
          <w:rFonts w:ascii="宋体" w:hAnsi="宋体" w:cs="宋体"/>
          <w:color w:val="auto"/>
          <w:szCs w:val="21"/>
          <w:highlight w:val="none"/>
        </w:rPr>
      </w:pPr>
      <w:r>
        <w:rPr>
          <w:rFonts w:hint="eastAsia" w:ascii="宋体" w:hAnsi="宋体" w:cs="宋体"/>
          <w:color w:val="auto"/>
          <w:szCs w:val="21"/>
          <w:highlight w:val="none"/>
        </w:rPr>
        <w:t>日      期：</w:t>
      </w:r>
    </w:p>
    <w:p w14:paraId="168B23FF">
      <w:pPr>
        <w:rPr>
          <w:color w:val="auto"/>
          <w:highlight w:val="none"/>
        </w:rPr>
      </w:pPr>
    </w:p>
    <w:p w14:paraId="49865BB8">
      <w:pPr>
        <w:rPr>
          <w:rFonts w:ascii="宋体" w:hAnsi="宋体"/>
          <w:color w:val="auto"/>
          <w:szCs w:val="21"/>
          <w:highlight w:val="none"/>
        </w:rPr>
      </w:pPr>
    </w:p>
    <w:p w14:paraId="1D26D142">
      <w:pPr>
        <w:pStyle w:val="6"/>
        <w:rPr>
          <w:color w:val="auto"/>
          <w:sz w:val="21"/>
          <w:szCs w:val="21"/>
          <w:highlight w:val="none"/>
        </w:rPr>
      </w:pPr>
    </w:p>
    <w:p w14:paraId="529EA36A">
      <w:pPr>
        <w:rPr>
          <w:rFonts w:ascii="宋体" w:hAnsi="宋体"/>
          <w:color w:val="auto"/>
          <w:szCs w:val="21"/>
          <w:highlight w:val="none"/>
        </w:rPr>
      </w:pPr>
    </w:p>
    <w:p w14:paraId="6731884D">
      <w:pPr>
        <w:pStyle w:val="6"/>
        <w:rPr>
          <w:color w:val="auto"/>
          <w:sz w:val="21"/>
          <w:szCs w:val="21"/>
          <w:highlight w:val="none"/>
        </w:rPr>
      </w:pPr>
    </w:p>
    <w:p w14:paraId="09158E9C">
      <w:pPr>
        <w:rPr>
          <w:rFonts w:ascii="宋体" w:hAnsi="宋体"/>
          <w:color w:val="auto"/>
          <w:szCs w:val="21"/>
          <w:highlight w:val="none"/>
        </w:rPr>
      </w:pPr>
    </w:p>
    <w:p w14:paraId="04B5126A">
      <w:pPr>
        <w:pStyle w:val="6"/>
        <w:rPr>
          <w:color w:val="auto"/>
          <w:sz w:val="21"/>
          <w:szCs w:val="21"/>
          <w:highlight w:val="none"/>
        </w:rPr>
      </w:pPr>
    </w:p>
    <w:p w14:paraId="5BA64459">
      <w:pPr>
        <w:rPr>
          <w:rFonts w:ascii="宋体" w:hAnsi="宋体"/>
          <w:color w:val="auto"/>
          <w:szCs w:val="21"/>
          <w:highlight w:val="none"/>
        </w:rPr>
      </w:pPr>
    </w:p>
    <w:p w14:paraId="1B1D02B3">
      <w:pPr>
        <w:pStyle w:val="6"/>
        <w:rPr>
          <w:color w:val="auto"/>
          <w:sz w:val="21"/>
          <w:szCs w:val="21"/>
          <w:highlight w:val="none"/>
        </w:rPr>
      </w:pPr>
    </w:p>
    <w:p w14:paraId="20C9F4FB">
      <w:pPr>
        <w:rPr>
          <w:rFonts w:ascii="宋体" w:hAnsi="宋体"/>
          <w:color w:val="auto"/>
          <w:szCs w:val="21"/>
          <w:highlight w:val="none"/>
        </w:rPr>
      </w:pPr>
    </w:p>
    <w:p w14:paraId="3E39E5E4">
      <w:pPr>
        <w:pStyle w:val="4"/>
        <w:widowControl w:val="0"/>
        <w:overflowPunct w:val="0"/>
        <w:spacing w:line="240" w:lineRule="auto"/>
        <w:rPr>
          <w:rFonts w:ascii="楷体_GB2312" w:eastAsia="楷体_GB2312"/>
          <w:color w:val="auto"/>
          <w:highlight w:val="none"/>
        </w:rPr>
      </w:pPr>
      <w:bookmarkStart w:id="233" w:name="_Toc15596"/>
      <w:bookmarkStart w:id="234" w:name="_Toc18616"/>
      <w:r>
        <w:rPr>
          <w:rFonts w:hint="eastAsia" w:ascii="宋体" w:hAnsi="宋体"/>
          <w:color w:val="auto"/>
          <w:sz w:val="21"/>
          <w:szCs w:val="21"/>
          <w:highlight w:val="none"/>
        </w:rPr>
        <w:t>附件</w:t>
      </w:r>
      <w:r>
        <w:rPr>
          <w:rFonts w:hint="eastAsia" w:ascii="宋体" w:hAnsi="宋体"/>
          <w:color w:val="auto"/>
          <w:sz w:val="21"/>
          <w:szCs w:val="21"/>
          <w:highlight w:val="none"/>
          <w:lang w:val="en-US" w:eastAsia="zh-CN"/>
        </w:rPr>
        <w:t>8</w:t>
      </w:r>
      <w:r>
        <w:rPr>
          <w:rFonts w:hint="eastAsia" w:ascii="宋体" w:hAnsi="宋体"/>
          <w:color w:val="auto"/>
          <w:sz w:val="21"/>
          <w:szCs w:val="21"/>
          <w:highlight w:val="none"/>
        </w:rPr>
        <w:t>.承诺书格式</w:t>
      </w:r>
      <w:bookmarkEnd w:id="233"/>
      <w:bookmarkEnd w:id="234"/>
    </w:p>
    <w:p w14:paraId="7DFD4E25">
      <w:pPr>
        <w:jc w:val="center"/>
        <w:rPr>
          <w:rFonts w:ascii="黑体" w:eastAsia="黑体"/>
          <w:color w:val="auto"/>
          <w:sz w:val="28"/>
          <w:szCs w:val="28"/>
          <w:highlight w:val="none"/>
        </w:rPr>
      </w:pPr>
      <w:r>
        <w:rPr>
          <w:rFonts w:hint="eastAsia" w:ascii="黑体" w:eastAsia="黑体"/>
          <w:color w:val="auto"/>
          <w:sz w:val="28"/>
          <w:szCs w:val="28"/>
          <w:highlight w:val="none"/>
        </w:rPr>
        <w:t>承诺书</w:t>
      </w:r>
    </w:p>
    <w:p w14:paraId="5AAAEAB3">
      <w:pPr>
        <w:pStyle w:val="22"/>
        <w:spacing w:line="420" w:lineRule="atLeast"/>
        <w:ind w:firstLine="0" w:firstLineChars="0"/>
        <w:rPr>
          <w:rFonts w:ascii="宋体" w:eastAsia="宋体" w:cs="宋体"/>
          <w:color w:val="auto"/>
          <w:sz w:val="21"/>
          <w:szCs w:val="21"/>
          <w:highlight w:val="none"/>
        </w:rPr>
      </w:pPr>
      <w:r>
        <w:rPr>
          <w:rFonts w:hint="eastAsia" w:ascii="宋体" w:eastAsia="宋体" w:cs="宋体"/>
          <w:color w:val="auto"/>
          <w:sz w:val="21"/>
          <w:szCs w:val="21"/>
          <w:highlight w:val="none"/>
        </w:rPr>
        <w:t>致广东政通招标有限公司：</w:t>
      </w:r>
    </w:p>
    <w:p w14:paraId="3927C571">
      <w:pPr>
        <w:jc w:val="center"/>
        <w:rPr>
          <w:rFonts w:ascii="宋体" w:hAnsi="宋体" w:cs="宋体"/>
          <w:color w:val="auto"/>
          <w:szCs w:val="21"/>
          <w:highlight w:val="none"/>
        </w:rPr>
      </w:pPr>
    </w:p>
    <w:p w14:paraId="70FA035A">
      <w:pPr>
        <w:pStyle w:val="22"/>
        <w:spacing w:line="420" w:lineRule="exact"/>
        <w:ind w:firstLine="433"/>
        <w:rPr>
          <w:rFonts w:ascii="宋体" w:eastAsia="宋体" w:cs="宋体"/>
          <w:color w:val="auto"/>
          <w:sz w:val="21"/>
          <w:szCs w:val="21"/>
          <w:highlight w:val="none"/>
        </w:rPr>
      </w:pPr>
      <w:r>
        <w:rPr>
          <w:rFonts w:hint="eastAsia" w:ascii="宋体" w:eastAsia="宋体" w:cs="宋体"/>
          <w:color w:val="auto"/>
          <w:sz w:val="21"/>
          <w:szCs w:val="21"/>
          <w:highlight w:val="none"/>
        </w:rPr>
        <w:t>我方已完整阅读了</w:t>
      </w:r>
      <w:r>
        <w:rPr>
          <w:rFonts w:hint="eastAsia" w:ascii="宋体" w:eastAsia="宋体" w:cs="宋体"/>
          <w:color w:val="auto"/>
          <w:sz w:val="21"/>
          <w:szCs w:val="21"/>
          <w:highlight w:val="none"/>
          <w:u w:val="single"/>
        </w:rPr>
        <w:t xml:space="preserve">  餐厨项目2025年度定点维修服务项目（第三次采购） </w:t>
      </w:r>
      <w:r>
        <w:rPr>
          <w:rFonts w:hint="eastAsia" w:ascii="宋体" w:eastAsia="宋体" w:cs="宋体"/>
          <w:color w:val="auto"/>
          <w:sz w:val="21"/>
          <w:szCs w:val="21"/>
          <w:highlight w:val="none"/>
        </w:rPr>
        <w:t>（项目编号：</w:t>
      </w:r>
      <w:r>
        <w:rPr>
          <w:rFonts w:hint="eastAsia" w:ascii="宋体" w:eastAsia="宋体" w:cs="宋体"/>
          <w:color w:val="auto"/>
          <w:sz w:val="21"/>
          <w:szCs w:val="21"/>
          <w:highlight w:val="none"/>
          <w:u w:val="single"/>
        </w:rPr>
        <w:t xml:space="preserve"> DSE-GK-2025-001 </w:t>
      </w:r>
      <w:r>
        <w:rPr>
          <w:rFonts w:hint="eastAsia" w:ascii="宋体" w:eastAsia="宋体" w:cs="宋体"/>
          <w:color w:val="auto"/>
          <w:sz w:val="21"/>
          <w:szCs w:val="21"/>
          <w:highlight w:val="none"/>
        </w:rPr>
        <w:t>）采购文件的所有内容（包括澄清，以及所有已提供的参考资料和有关附件），并完全理解上述文件所表达的意思，该项目递交投标文件时间截止后，我方承诺不再对上述文件内容有异议。</w:t>
      </w:r>
      <w:r>
        <w:rPr>
          <w:rFonts w:hint="eastAsia" w:ascii="宋体" w:eastAsia="宋体" w:cs="宋体"/>
          <w:color w:val="auto"/>
          <w:sz w:val="21"/>
          <w:szCs w:val="21"/>
          <w:highlight w:val="none"/>
        </w:rPr>
        <w:cr/>
      </w:r>
    </w:p>
    <w:p w14:paraId="15F5A483">
      <w:pPr>
        <w:pStyle w:val="22"/>
        <w:spacing w:line="420" w:lineRule="exact"/>
        <w:ind w:firstLine="433"/>
        <w:rPr>
          <w:rFonts w:ascii="宋体" w:eastAsia="宋体" w:cs="宋体"/>
          <w:color w:val="auto"/>
          <w:sz w:val="21"/>
          <w:szCs w:val="21"/>
          <w:highlight w:val="none"/>
        </w:rPr>
      </w:pPr>
    </w:p>
    <w:p w14:paraId="1E1B9F26">
      <w:pPr>
        <w:ind w:right="561" w:firstLine="420" w:firstLineChars="200"/>
        <w:rPr>
          <w:rFonts w:ascii="宋体" w:hAnsi="宋体" w:cs="宋体"/>
          <w:color w:val="auto"/>
          <w:szCs w:val="21"/>
          <w:highlight w:val="none"/>
        </w:rPr>
      </w:pPr>
      <w:r>
        <w:rPr>
          <w:rFonts w:hint="eastAsia" w:ascii="宋体" w:hAnsi="宋体" w:cs="宋体"/>
          <w:color w:val="auto"/>
          <w:szCs w:val="21"/>
          <w:highlight w:val="none"/>
        </w:rPr>
        <w:t>投标人名称（加盖公章）：</w:t>
      </w:r>
    </w:p>
    <w:p w14:paraId="63DFEE13">
      <w:pPr>
        <w:ind w:right="561" w:firstLine="420" w:firstLineChars="200"/>
        <w:rPr>
          <w:rFonts w:ascii="宋体" w:hAnsi="宋体" w:cs="宋体"/>
          <w:color w:val="auto"/>
          <w:szCs w:val="21"/>
          <w:highlight w:val="none"/>
        </w:rPr>
      </w:pPr>
      <w:r>
        <w:rPr>
          <w:rFonts w:hint="eastAsia" w:ascii="宋体" w:hAnsi="宋体" w:cs="宋体"/>
          <w:color w:val="auto"/>
          <w:szCs w:val="21"/>
          <w:highlight w:val="none"/>
        </w:rPr>
        <w:t>日      期：</w:t>
      </w:r>
    </w:p>
    <w:p w14:paraId="4FFC29E5">
      <w:pPr>
        <w:rPr>
          <w:color w:val="auto"/>
          <w:highlight w:val="none"/>
        </w:rPr>
      </w:pPr>
    </w:p>
    <w:p w14:paraId="3DC700FD">
      <w:pPr>
        <w:rPr>
          <w:rFonts w:ascii="宋体" w:hAnsi="宋体"/>
          <w:color w:val="auto"/>
          <w:szCs w:val="21"/>
          <w:highlight w:val="none"/>
        </w:rPr>
      </w:pPr>
    </w:p>
    <w:p w14:paraId="64D6BFF7">
      <w:pPr>
        <w:pStyle w:val="6"/>
        <w:rPr>
          <w:color w:val="auto"/>
          <w:sz w:val="21"/>
          <w:szCs w:val="21"/>
          <w:highlight w:val="none"/>
        </w:rPr>
      </w:pPr>
    </w:p>
    <w:p w14:paraId="31C9BD4E">
      <w:pPr>
        <w:rPr>
          <w:rFonts w:ascii="宋体" w:hAnsi="宋体"/>
          <w:color w:val="auto"/>
          <w:szCs w:val="21"/>
          <w:highlight w:val="none"/>
        </w:rPr>
      </w:pPr>
    </w:p>
    <w:p w14:paraId="436496C6">
      <w:pPr>
        <w:pStyle w:val="6"/>
        <w:rPr>
          <w:color w:val="auto"/>
          <w:sz w:val="21"/>
          <w:szCs w:val="21"/>
          <w:highlight w:val="none"/>
        </w:rPr>
      </w:pPr>
    </w:p>
    <w:p w14:paraId="15B2E51E">
      <w:pPr>
        <w:rPr>
          <w:rFonts w:ascii="宋体" w:hAnsi="宋体"/>
          <w:color w:val="auto"/>
          <w:szCs w:val="21"/>
          <w:highlight w:val="none"/>
        </w:rPr>
      </w:pPr>
    </w:p>
    <w:p w14:paraId="44CA3815">
      <w:pPr>
        <w:pStyle w:val="6"/>
        <w:rPr>
          <w:color w:val="auto"/>
          <w:sz w:val="21"/>
          <w:szCs w:val="21"/>
          <w:highlight w:val="none"/>
        </w:rPr>
      </w:pPr>
    </w:p>
    <w:p w14:paraId="6F1F10C2">
      <w:pPr>
        <w:rPr>
          <w:rFonts w:ascii="宋体" w:hAnsi="宋体"/>
          <w:color w:val="auto"/>
          <w:szCs w:val="21"/>
          <w:highlight w:val="none"/>
        </w:rPr>
      </w:pPr>
    </w:p>
    <w:p w14:paraId="3B9FC9FF">
      <w:pPr>
        <w:pStyle w:val="6"/>
        <w:rPr>
          <w:color w:val="auto"/>
          <w:sz w:val="21"/>
          <w:szCs w:val="21"/>
          <w:highlight w:val="none"/>
        </w:rPr>
      </w:pPr>
    </w:p>
    <w:p w14:paraId="572A3F56">
      <w:pPr>
        <w:rPr>
          <w:rFonts w:ascii="宋体" w:hAnsi="宋体"/>
          <w:color w:val="auto"/>
          <w:szCs w:val="21"/>
          <w:highlight w:val="none"/>
        </w:rPr>
      </w:pPr>
    </w:p>
    <w:p w14:paraId="1E3EEEAE">
      <w:pPr>
        <w:pStyle w:val="6"/>
        <w:rPr>
          <w:color w:val="auto"/>
          <w:sz w:val="21"/>
          <w:szCs w:val="21"/>
          <w:highlight w:val="none"/>
        </w:rPr>
      </w:pPr>
    </w:p>
    <w:p w14:paraId="69641293">
      <w:pPr>
        <w:rPr>
          <w:rFonts w:ascii="宋体" w:hAnsi="宋体"/>
          <w:color w:val="auto"/>
          <w:szCs w:val="21"/>
          <w:highlight w:val="none"/>
        </w:rPr>
      </w:pPr>
    </w:p>
    <w:p w14:paraId="514E548B">
      <w:pPr>
        <w:pStyle w:val="6"/>
        <w:rPr>
          <w:color w:val="auto"/>
          <w:sz w:val="21"/>
          <w:szCs w:val="21"/>
          <w:highlight w:val="none"/>
        </w:rPr>
      </w:pPr>
    </w:p>
    <w:p w14:paraId="06FA47A9">
      <w:pPr>
        <w:rPr>
          <w:rFonts w:ascii="宋体" w:hAnsi="宋体"/>
          <w:color w:val="auto"/>
          <w:szCs w:val="21"/>
          <w:highlight w:val="none"/>
        </w:rPr>
      </w:pPr>
    </w:p>
    <w:p w14:paraId="7140525E">
      <w:pPr>
        <w:pStyle w:val="6"/>
        <w:rPr>
          <w:color w:val="auto"/>
          <w:sz w:val="21"/>
          <w:szCs w:val="21"/>
          <w:highlight w:val="none"/>
        </w:rPr>
      </w:pPr>
    </w:p>
    <w:p w14:paraId="351AE681">
      <w:pPr>
        <w:rPr>
          <w:rFonts w:ascii="宋体" w:hAnsi="宋体"/>
          <w:color w:val="auto"/>
          <w:szCs w:val="21"/>
          <w:highlight w:val="none"/>
        </w:rPr>
      </w:pPr>
    </w:p>
    <w:p w14:paraId="2939B540">
      <w:pPr>
        <w:pStyle w:val="6"/>
        <w:rPr>
          <w:color w:val="auto"/>
          <w:sz w:val="21"/>
          <w:szCs w:val="21"/>
          <w:highlight w:val="none"/>
        </w:rPr>
      </w:pPr>
    </w:p>
    <w:p w14:paraId="6B28D10C">
      <w:pPr>
        <w:rPr>
          <w:color w:val="auto"/>
          <w:highlight w:val="none"/>
        </w:rPr>
      </w:pPr>
    </w:p>
    <w:p w14:paraId="766AB876">
      <w:pPr>
        <w:widowControl w:val="0"/>
        <w:overflowPunct w:val="0"/>
        <w:spacing w:line="240" w:lineRule="auto"/>
        <w:rPr>
          <w:rFonts w:hint="eastAsia" w:ascii="宋体" w:hAnsi="宋体"/>
          <w:color w:val="auto"/>
          <w:sz w:val="21"/>
          <w:szCs w:val="21"/>
          <w:highlight w:val="none"/>
        </w:rPr>
      </w:pPr>
      <w:bookmarkStart w:id="235" w:name="_Toc24507"/>
      <w:r>
        <w:rPr>
          <w:rFonts w:hint="eastAsia" w:ascii="宋体" w:hAnsi="宋体"/>
          <w:color w:val="auto"/>
          <w:sz w:val="21"/>
          <w:szCs w:val="21"/>
          <w:highlight w:val="none"/>
        </w:rPr>
        <w:br w:type="page"/>
      </w:r>
    </w:p>
    <w:p w14:paraId="4B47EACC">
      <w:pPr>
        <w:pStyle w:val="4"/>
        <w:widowControl w:val="0"/>
        <w:overflowPunct w:val="0"/>
        <w:spacing w:line="240" w:lineRule="auto"/>
        <w:rPr>
          <w:rFonts w:ascii="楷体_GB2312" w:eastAsia="楷体_GB2312"/>
          <w:color w:val="auto"/>
          <w:highlight w:val="none"/>
        </w:rPr>
      </w:pPr>
      <w:bookmarkStart w:id="236" w:name="_Toc27472"/>
      <w:r>
        <w:rPr>
          <w:rFonts w:hint="eastAsia" w:ascii="宋体" w:hAnsi="宋体"/>
          <w:color w:val="auto"/>
          <w:sz w:val="21"/>
          <w:szCs w:val="21"/>
          <w:highlight w:val="none"/>
        </w:rPr>
        <w:t>附件</w:t>
      </w:r>
      <w:r>
        <w:rPr>
          <w:rFonts w:hint="eastAsia" w:ascii="宋体" w:hAnsi="宋体"/>
          <w:color w:val="auto"/>
          <w:sz w:val="21"/>
          <w:szCs w:val="21"/>
          <w:highlight w:val="none"/>
          <w:lang w:val="en-US" w:eastAsia="zh-CN"/>
        </w:rPr>
        <w:t>9</w:t>
      </w:r>
      <w:r>
        <w:rPr>
          <w:rFonts w:hint="eastAsia" w:ascii="宋体" w:hAnsi="宋体"/>
          <w:color w:val="auto"/>
          <w:sz w:val="21"/>
          <w:szCs w:val="21"/>
          <w:highlight w:val="none"/>
        </w:rPr>
        <w:t>.星号条款承诺书</w:t>
      </w:r>
      <w:bookmarkEnd w:id="236"/>
    </w:p>
    <w:p w14:paraId="7EA94B3B">
      <w:pPr>
        <w:jc w:val="center"/>
        <w:rPr>
          <w:rFonts w:ascii="黑体" w:eastAsia="黑体"/>
          <w:color w:val="auto"/>
          <w:sz w:val="28"/>
          <w:szCs w:val="28"/>
          <w:highlight w:val="none"/>
        </w:rPr>
      </w:pPr>
      <w:r>
        <w:rPr>
          <w:rFonts w:hint="eastAsia" w:ascii="黑体" w:eastAsia="黑体"/>
          <w:color w:val="auto"/>
          <w:sz w:val="28"/>
          <w:szCs w:val="28"/>
          <w:highlight w:val="none"/>
        </w:rPr>
        <w:t>星号条款承诺书</w:t>
      </w:r>
    </w:p>
    <w:p w14:paraId="0BD4E17D">
      <w:pPr>
        <w:pStyle w:val="22"/>
        <w:spacing w:line="420" w:lineRule="atLeast"/>
        <w:ind w:firstLine="0" w:firstLineChars="0"/>
        <w:rPr>
          <w:rFonts w:ascii="宋体" w:eastAsia="宋体" w:cs="宋体"/>
          <w:color w:val="auto"/>
          <w:sz w:val="21"/>
          <w:szCs w:val="21"/>
          <w:highlight w:val="none"/>
        </w:rPr>
      </w:pPr>
      <w:r>
        <w:rPr>
          <w:rFonts w:hint="eastAsia" w:ascii="宋体" w:eastAsia="宋体" w:cs="宋体"/>
          <w:color w:val="auto"/>
          <w:sz w:val="21"/>
          <w:szCs w:val="21"/>
          <w:highlight w:val="none"/>
        </w:rPr>
        <w:t>致广东政通招标有限公司：</w:t>
      </w:r>
    </w:p>
    <w:p w14:paraId="08429F9C">
      <w:pPr>
        <w:jc w:val="center"/>
        <w:rPr>
          <w:rFonts w:ascii="宋体" w:hAnsi="宋体" w:cs="宋体"/>
          <w:color w:val="auto"/>
          <w:szCs w:val="21"/>
          <w:highlight w:val="none"/>
        </w:rPr>
      </w:pPr>
    </w:p>
    <w:p w14:paraId="49E4D33B">
      <w:pPr>
        <w:pStyle w:val="22"/>
        <w:keepNext w:val="0"/>
        <w:keepLines w:val="0"/>
        <w:pageBreakBefore w:val="0"/>
        <w:kinsoku/>
        <w:wordWrap/>
        <w:overflowPunct/>
        <w:topLinePunct w:val="0"/>
        <w:autoSpaceDE/>
        <w:autoSpaceDN/>
        <w:bidi w:val="0"/>
        <w:spacing w:line="360" w:lineRule="auto"/>
        <w:ind w:firstLine="433"/>
        <w:textAlignment w:val="auto"/>
        <w:rPr>
          <w:rFonts w:hint="eastAsia" w:ascii="宋体" w:eastAsia="宋体" w:cs="宋体"/>
          <w:color w:val="auto"/>
          <w:sz w:val="21"/>
          <w:szCs w:val="21"/>
          <w:highlight w:val="none"/>
          <w:lang w:val="en-US" w:eastAsia="zh-CN"/>
        </w:rPr>
      </w:pPr>
      <w:r>
        <w:rPr>
          <w:rFonts w:hint="eastAsia" w:ascii="宋体" w:eastAsia="宋体" w:cs="宋体"/>
          <w:color w:val="auto"/>
          <w:sz w:val="21"/>
          <w:szCs w:val="21"/>
          <w:highlight w:val="none"/>
        </w:rPr>
        <w:t>我方参与（项目名称：餐厨项目2025年度定点维修服务项目（第三次采购））（采购项目编号：DSE-GK-2025-001 ）的投标，并按采购文件要求</w:t>
      </w:r>
      <w:r>
        <w:rPr>
          <w:rFonts w:hint="eastAsia" w:ascii="宋体" w:eastAsia="宋体" w:cs="宋体"/>
          <w:color w:val="auto"/>
          <w:sz w:val="21"/>
          <w:szCs w:val="21"/>
          <w:highlight w:val="none"/>
          <w:lang w:eastAsia="zh-CN"/>
        </w:rPr>
        <w:t>，</w:t>
      </w:r>
      <w:r>
        <w:rPr>
          <w:rFonts w:hint="eastAsia" w:ascii="宋体" w:eastAsia="宋体" w:cs="宋体"/>
          <w:color w:val="auto"/>
          <w:sz w:val="21"/>
          <w:szCs w:val="21"/>
          <w:highlight w:val="none"/>
          <w:lang w:val="en-US" w:eastAsia="zh-CN"/>
        </w:rPr>
        <w:t>我公司</w:t>
      </w:r>
      <w:r>
        <w:rPr>
          <w:rFonts w:hint="eastAsia" w:ascii="宋体" w:eastAsia="宋体" w:cs="宋体"/>
          <w:color w:val="auto"/>
          <w:sz w:val="21"/>
          <w:szCs w:val="21"/>
          <w:highlight w:val="none"/>
        </w:rPr>
        <w:t>承诺</w:t>
      </w:r>
      <w:r>
        <w:rPr>
          <w:rFonts w:hint="eastAsia" w:ascii="宋体" w:eastAsia="宋体" w:cs="宋体"/>
          <w:color w:val="auto"/>
          <w:sz w:val="21"/>
          <w:szCs w:val="21"/>
          <w:highlight w:val="none"/>
          <w:lang w:val="en-US" w:eastAsia="zh-CN"/>
        </w:rPr>
        <w:t>满足下面要求</w:t>
      </w:r>
      <w:r>
        <w:rPr>
          <w:rFonts w:hint="eastAsia" w:ascii="宋体" w:eastAsia="宋体" w:cs="宋体"/>
          <w:color w:val="auto"/>
          <w:sz w:val="21"/>
          <w:szCs w:val="21"/>
          <w:highlight w:val="none"/>
        </w:rPr>
        <w:t>：</w:t>
      </w:r>
    </w:p>
    <w:p w14:paraId="2A1B4806">
      <w:pPr>
        <w:keepNext w:val="0"/>
        <w:keepLines w:val="0"/>
        <w:pageBreakBefore w:val="0"/>
        <w:numPr>
          <w:ilvl w:val="0"/>
          <w:numId w:val="14"/>
        </w:numPr>
        <w:kinsoku/>
        <w:wordWrap/>
        <w:overflowPunct/>
        <w:topLinePunct w:val="0"/>
        <w:autoSpaceDE/>
        <w:autoSpaceDN/>
        <w:bidi w:val="0"/>
        <w:spacing w:line="360" w:lineRule="auto"/>
        <w:ind w:firstLine="420"/>
        <w:textAlignment w:val="auto"/>
        <w:rPr>
          <w:rFonts w:hint="eastAsia" w:ascii="宋体" w:hAnsi="宋体" w:cs="Times New Roman"/>
          <w:color w:val="auto"/>
          <w:szCs w:val="21"/>
          <w:highlight w:val="none"/>
        </w:rPr>
      </w:pPr>
      <w:r>
        <w:rPr>
          <w:rFonts w:hint="eastAsia" w:ascii="宋体" w:hAnsi="宋体" w:cs="Times New Roman"/>
          <w:color w:val="auto"/>
          <w:szCs w:val="21"/>
          <w:highlight w:val="none"/>
        </w:rPr>
        <w:t>场地要求</w:t>
      </w:r>
    </w:p>
    <w:p w14:paraId="162137A4">
      <w:pPr>
        <w:pStyle w:val="6"/>
        <w:numPr>
          <w:ilvl w:val="-1"/>
          <w:numId w:val="0"/>
        </w:numPr>
        <w:ind w:left="0"/>
        <w:rPr>
          <w:rFonts w:hint="eastAsia" w:cs="Times New Roman"/>
          <w:color w:val="auto"/>
          <w:sz w:val="21"/>
          <w:szCs w:val="21"/>
          <w:highlight w:val="none"/>
          <w:lang w:val="en-US" w:bidi="ar-SA"/>
        </w:rPr>
      </w:pPr>
      <w:r>
        <w:rPr>
          <w:rFonts w:hint="eastAsia" w:cs="Times New Roman"/>
          <w:color w:val="auto"/>
          <w:sz w:val="21"/>
          <w:szCs w:val="21"/>
          <w:highlight w:val="none"/>
          <w:lang w:val="en-US" w:eastAsia="zh-CN" w:bidi="ar-SA"/>
        </w:rPr>
        <w:t xml:space="preserve">    </w:t>
      </w:r>
      <w:r>
        <w:rPr>
          <w:rFonts w:hint="eastAsia" w:cs="Times New Roman"/>
          <w:color w:val="auto"/>
          <w:sz w:val="21"/>
          <w:szCs w:val="21"/>
          <w:highlight w:val="none"/>
          <w:lang w:val="en-US" w:bidi="ar-SA"/>
        </w:rPr>
        <w:t>定点维修服务供应商维修地点距离采购人项目点≤30公里（以采购人餐厨项目停车场所在位置为中心，投标人“二类(含)以上机动车维修”维修资质登记的地址到采购人停车场的百度地图（或高德地图）导航距离）。</w:t>
      </w:r>
    </w:p>
    <w:p w14:paraId="123C84D4">
      <w:pPr>
        <w:pStyle w:val="6"/>
        <w:numPr>
          <w:ilvl w:val="-1"/>
          <w:numId w:val="0"/>
        </w:numPr>
        <w:ind w:left="0" w:firstLine="420" w:firstLineChars="200"/>
        <w:rPr>
          <w:rFonts w:hint="eastAsia" w:cs="Times New Roman"/>
          <w:color w:val="auto"/>
          <w:sz w:val="21"/>
          <w:szCs w:val="21"/>
          <w:highlight w:val="none"/>
          <w:lang w:val="en-US" w:bidi="ar-SA"/>
        </w:rPr>
      </w:pPr>
      <w:r>
        <w:rPr>
          <w:rFonts w:hint="eastAsia" w:cs="Times New Roman"/>
          <w:color w:val="auto"/>
          <w:sz w:val="21"/>
          <w:szCs w:val="21"/>
          <w:highlight w:val="none"/>
          <w:lang w:val="en-US" w:bidi="ar-SA"/>
        </w:rPr>
        <w:t>定点维修服务供应商维修场地面积满足采购人维修需要；并配有一台服务车辆，专门提供上门维修、保养服务。具体如下：</w:t>
      </w:r>
    </w:p>
    <w:p w14:paraId="6E361F10">
      <w:pPr>
        <w:pStyle w:val="6"/>
        <w:numPr>
          <w:ilvl w:val="0"/>
          <w:numId w:val="15"/>
        </w:numPr>
        <w:ind w:left="0" w:firstLine="420" w:firstLineChars="200"/>
        <w:rPr>
          <w:rFonts w:hint="eastAsia" w:cs="Times New Roman"/>
          <w:color w:val="auto"/>
          <w:sz w:val="21"/>
          <w:szCs w:val="21"/>
          <w:highlight w:val="none"/>
          <w:lang w:val="en-US" w:bidi="ar-SA"/>
        </w:rPr>
      </w:pPr>
      <w:r>
        <w:rPr>
          <w:rFonts w:hint="eastAsia" w:cs="Times New Roman"/>
          <w:color w:val="auto"/>
          <w:sz w:val="21"/>
          <w:szCs w:val="21"/>
          <w:highlight w:val="none"/>
          <w:lang w:val="en-US" w:bidi="ar-SA"/>
        </w:rPr>
        <w:t>场地符合国家规定的标准要求；</w:t>
      </w:r>
    </w:p>
    <w:p w14:paraId="5FC1E09F">
      <w:pPr>
        <w:pStyle w:val="6"/>
        <w:numPr>
          <w:ilvl w:val="-1"/>
          <w:numId w:val="0"/>
        </w:numPr>
        <w:ind w:left="0" w:leftChars="0" w:firstLine="420" w:firstLineChars="200"/>
        <w:rPr>
          <w:rFonts w:hint="eastAsia" w:cs="Times New Roman"/>
          <w:color w:val="auto"/>
          <w:sz w:val="21"/>
          <w:szCs w:val="21"/>
          <w:highlight w:val="none"/>
          <w:lang w:val="en-US" w:bidi="ar-SA"/>
        </w:rPr>
      </w:pPr>
      <w:r>
        <w:rPr>
          <w:rFonts w:hint="eastAsia" w:cs="Times New Roman"/>
          <w:color w:val="auto"/>
          <w:sz w:val="21"/>
          <w:szCs w:val="21"/>
          <w:highlight w:val="none"/>
          <w:lang w:val="en-US" w:bidi="ar-SA"/>
        </w:rPr>
        <w:t>（2）修理车间布局合理、车间设施良好；</w:t>
      </w:r>
    </w:p>
    <w:p w14:paraId="6A3C4909">
      <w:pPr>
        <w:ind w:firstLine="420"/>
        <w:rPr>
          <w:rFonts w:hint="eastAsia" w:ascii="宋体" w:eastAsia="宋体" w:cs="宋体"/>
          <w:color w:val="auto"/>
          <w:sz w:val="21"/>
          <w:szCs w:val="21"/>
          <w:highlight w:val="none"/>
          <w:lang w:val="en-US" w:eastAsia="zh-CN"/>
        </w:rPr>
      </w:pPr>
      <w:r>
        <w:rPr>
          <w:rFonts w:hint="eastAsia" w:cs="Times New Roman"/>
          <w:color w:val="auto"/>
          <w:sz w:val="21"/>
          <w:szCs w:val="21"/>
          <w:highlight w:val="none"/>
          <w:lang w:val="en-US" w:bidi="ar-SA"/>
        </w:rPr>
        <w:t>（3）有足够的停车场地和接待区，接待区要有满足客户登记和休息的设施。</w:t>
      </w:r>
      <w:r>
        <w:rPr>
          <w:rFonts w:hint="eastAsia" w:ascii="宋体" w:eastAsia="宋体" w:cs="宋体"/>
          <w:color w:val="auto"/>
          <w:sz w:val="21"/>
          <w:szCs w:val="21"/>
          <w:highlight w:val="none"/>
        </w:rPr>
        <w:cr/>
      </w:r>
      <w:r>
        <w:rPr>
          <w:rFonts w:hint="eastAsia" w:ascii="宋体" w:cs="宋体"/>
          <w:color w:val="auto"/>
          <w:sz w:val="21"/>
          <w:szCs w:val="21"/>
          <w:highlight w:val="none"/>
          <w:lang w:val="en-US" w:eastAsia="zh-CN"/>
        </w:rPr>
        <w:t xml:space="preserve">    二、</w:t>
      </w:r>
      <w:r>
        <w:rPr>
          <w:rFonts w:hint="eastAsia" w:ascii="宋体" w:eastAsia="宋体" w:cs="宋体"/>
          <w:color w:val="auto"/>
          <w:sz w:val="21"/>
          <w:szCs w:val="21"/>
          <w:highlight w:val="none"/>
          <w:lang w:val="en-US" w:eastAsia="zh-CN"/>
        </w:rPr>
        <w:t>人员要求</w:t>
      </w:r>
    </w:p>
    <w:p w14:paraId="54C4451F">
      <w:pPr>
        <w:ind w:firstLine="420"/>
        <w:rPr>
          <w:rFonts w:hint="eastAsia" w:ascii="宋体" w:hAnsi="宋体" w:cs="Times New Roman"/>
          <w:color w:val="auto"/>
          <w:szCs w:val="21"/>
          <w:highlight w:val="none"/>
          <w:lang w:val="en-US" w:eastAsia="zh-CN"/>
        </w:rPr>
      </w:pPr>
      <w:r>
        <w:rPr>
          <w:rFonts w:hint="eastAsia" w:ascii="宋体" w:hAnsi="宋体" w:cs="Times New Roman"/>
          <w:color w:val="auto"/>
          <w:szCs w:val="21"/>
          <w:highlight w:val="none"/>
          <w:lang w:val="en-US" w:eastAsia="zh-CN"/>
        </w:rPr>
        <w:t>维修团队人员不少于1名管理人员、1名文员、1名焊工（须具备焊工证）、1名技术人员。</w:t>
      </w:r>
    </w:p>
    <w:p w14:paraId="52C5D5A2">
      <w:pPr>
        <w:spacing w:line="400" w:lineRule="exact"/>
        <w:ind w:firstLine="420" w:firstLineChars="200"/>
        <w:rPr>
          <w:rFonts w:hint="eastAsia"/>
          <w:color w:val="auto"/>
          <w:lang w:val="en-US" w:eastAsia="zh-CN"/>
        </w:rPr>
      </w:pPr>
      <w:r>
        <w:rPr>
          <w:rFonts w:hint="eastAsia" w:ascii="宋体" w:hAnsi="宋体" w:cs="宋体"/>
          <w:color w:val="auto"/>
          <w:szCs w:val="21"/>
          <w:highlight w:val="none"/>
          <w:lang w:val="en-US" w:eastAsia="zh-CN"/>
        </w:rPr>
        <w:t>特此承诺！</w:t>
      </w:r>
    </w:p>
    <w:p w14:paraId="12513421">
      <w:pPr>
        <w:ind w:firstLine="420" w:firstLineChars="200"/>
        <w:rPr>
          <w:rFonts w:hint="eastAsia" w:ascii="宋体" w:hAnsi="宋体" w:cs="Times New Roman"/>
          <w:color w:val="auto"/>
          <w:szCs w:val="21"/>
          <w:highlight w:val="none"/>
          <w:lang w:val="en-US" w:eastAsia="zh-CN"/>
        </w:rPr>
      </w:pPr>
    </w:p>
    <w:p w14:paraId="743E839A">
      <w:pPr>
        <w:ind w:firstLine="420" w:firstLineChars="200"/>
        <w:rPr>
          <w:rFonts w:hint="eastAsia" w:ascii="宋体" w:hAnsi="宋体" w:cs="Times New Roman"/>
          <w:color w:val="auto"/>
          <w:szCs w:val="21"/>
          <w:highlight w:val="none"/>
          <w:lang w:val="en-US" w:eastAsia="zh-CN"/>
        </w:rPr>
      </w:pPr>
    </w:p>
    <w:p w14:paraId="27AB03E4">
      <w:pPr>
        <w:pStyle w:val="22"/>
        <w:spacing w:line="420" w:lineRule="exact"/>
        <w:ind w:firstLine="433"/>
        <w:rPr>
          <w:rFonts w:ascii="宋体" w:eastAsia="宋体" w:cs="宋体"/>
          <w:color w:val="auto"/>
          <w:sz w:val="21"/>
          <w:szCs w:val="21"/>
          <w:highlight w:val="none"/>
        </w:rPr>
      </w:pPr>
    </w:p>
    <w:p w14:paraId="7DCAF87A">
      <w:pPr>
        <w:ind w:right="561" w:firstLine="420" w:firstLineChars="200"/>
        <w:rPr>
          <w:rFonts w:ascii="宋体" w:hAnsi="宋体" w:cs="宋体"/>
          <w:color w:val="auto"/>
          <w:szCs w:val="21"/>
          <w:highlight w:val="none"/>
        </w:rPr>
      </w:pPr>
      <w:r>
        <w:rPr>
          <w:rFonts w:hint="eastAsia" w:ascii="宋体" w:hAnsi="宋体" w:cs="宋体"/>
          <w:color w:val="auto"/>
          <w:szCs w:val="21"/>
          <w:highlight w:val="none"/>
        </w:rPr>
        <w:t>投标人名称（加盖公章）：</w:t>
      </w:r>
    </w:p>
    <w:p w14:paraId="3F17A5C8">
      <w:pPr>
        <w:ind w:firstLine="420" w:firstLineChars="200"/>
        <w:rPr>
          <w:rFonts w:hint="eastAsia" w:ascii="宋体" w:hAnsi="宋体"/>
          <w:color w:val="auto"/>
          <w:sz w:val="21"/>
          <w:szCs w:val="21"/>
          <w:highlight w:val="none"/>
        </w:rPr>
      </w:pPr>
      <w:r>
        <w:rPr>
          <w:rFonts w:hint="eastAsia" w:ascii="宋体" w:hAnsi="宋体" w:cs="宋体"/>
          <w:color w:val="auto"/>
          <w:szCs w:val="21"/>
          <w:highlight w:val="none"/>
        </w:rPr>
        <w:t>日      期：</w:t>
      </w:r>
      <w:r>
        <w:rPr>
          <w:rFonts w:hint="eastAsia" w:ascii="宋体" w:hAnsi="宋体"/>
          <w:color w:val="auto"/>
          <w:sz w:val="21"/>
          <w:szCs w:val="21"/>
          <w:highlight w:val="none"/>
        </w:rPr>
        <w:br w:type="page"/>
      </w:r>
    </w:p>
    <w:p w14:paraId="24BE3233">
      <w:pPr>
        <w:pStyle w:val="4"/>
        <w:widowControl w:val="0"/>
        <w:overflowPunct w:val="0"/>
        <w:spacing w:line="240" w:lineRule="auto"/>
        <w:rPr>
          <w:rFonts w:hint="eastAsia" w:ascii="宋体" w:hAnsi="宋体"/>
          <w:color w:val="auto"/>
          <w:sz w:val="21"/>
          <w:szCs w:val="21"/>
          <w:highlight w:val="none"/>
          <w:lang w:val="en-US" w:eastAsia="zh-CN"/>
        </w:rPr>
      </w:pPr>
      <w:bookmarkStart w:id="237" w:name="_Toc23388"/>
      <w:r>
        <w:rPr>
          <w:rFonts w:hint="eastAsia" w:ascii="宋体" w:hAnsi="宋体"/>
          <w:color w:val="auto"/>
          <w:sz w:val="21"/>
          <w:szCs w:val="21"/>
          <w:highlight w:val="none"/>
          <w:lang w:val="en-US" w:eastAsia="zh-CN"/>
        </w:rPr>
        <w:t>附件10.场地证明材料</w:t>
      </w:r>
      <w:bookmarkEnd w:id="237"/>
    </w:p>
    <w:p w14:paraId="24F69253">
      <w:pPr>
        <w:rPr>
          <w:rFonts w:hint="default"/>
          <w:color w:val="auto"/>
          <w:lang w:val="en-US" w:eastAsia="zh-CN"/>
        </w:rPr>
      </w:pPr>
    </w:p>
    <w:p w14:paraId="7E3B9923">
      <w:pPr>
        <w:outlineLvl w:val="9"/>
        <w:rPr>
          <w:rFonts w:hint="eastAsia" w:ascii="宋体" w:hAnsi="宋体"/>
          <w:b w:val="0"/>
          <w:bCs w:val="0"/>
          <w:color w:val="auto"/>
          <w:sz w:val="21"/>
          <w:szCs w:val="21"/>
          <w:highlight w:val="none"/>
          <w:lang w:eastAsia="zh-CN"/>
        </w:rPr>
      </w:pPr>
      <w:bookmarkStart w:id="238" w:name="_Toc17384"/>
      <w:r>
        <w:rPr>
          <w:rFonts w:hint="eastAsia" w:ascii="宋体" w:hAnsi="宋体"/>
          <w:b w:val="0"/>
          <w:bCs w:val="0"/>
          <w:color w:val="auto"/>
          <w:sz w:val="21"/>
          <w:szCs w:val="21"/>
          <w:highlight w:val="none"/>
        </w:rPr>
        <w:t>场地要求</w:t>
      </w:r>
      <w:r>
        <w:rPr>
          <w:rFonts w:hint="eastAsia" w:ascii="宋体" w:hAnsi="宋体"/>
          <w:b w:val="0"/>
          <w:bCs w:val="0"/>
          <w:color w:val="auto"/>
          <w:sz w:val="21"/>
          <w:szCs w:val="21"/>
          <w:highlight w:val="none"/>
          <w:lang w:eastAsia="zh-CN"/>
        </w:rPr>
        <w:t>：</w:t>
      </w:r>
      <w:bookmarkEnd w:id="238"/>
    </w:p>
    <w:p w14:paraId="24D4A152">
      <w:pPr>
        <w:outlineLvl w:val="9"/>
        <w:rPr>
          <w:rFonts w:hint="eastAsia" w:ascii="宋体" w:hAnsi="宋体" w:eastAsia="宋体"/>
          <w:b w:val="0"/>
          <w:bCs w:val="0"/>
          <w:color w:val="auto"/>
          <w:sz w:val="21"/>
          <w:szCs w:val="21"/>
          <w:highlight w:val="none"/>
          <w:lang w:val="en-US" w:eastAsia="zh-CN"/>
        </w:rPr>
      </w:pPr>
      <w:bookmarkStart w:id="239" w:name="_Toc1609"/>
      <w:r>
        <w:rPr>
          <w:rFonts w:hint="eastAsia" w:ascii="宋体" w:hAnsi="宋体"/>
          <w:b w:val="0"/>
          <w:bCs w:val="0"/>
          <w:color w:val="auto"/>
          <w:sz w:val="21"/>
          <w:szCs w:val="21"/>
          <w:highlight w:val="none"/>
          <w:lang w:val="en-US" w:eastAsia="zh-CN"/>
        </w:rPr>
        <w:t>1.</w:t>
      </w:r>
      <w:r>
        <w:rPr>
          <w:rFonts w:hint="eastAsia" w:ascii="宋体" w:hAnsi="宋体"/>
          <w:b w:val="0"/>
          <w:bCs w:val="0"/>
          <w:color w:val="auto"/>
          <w:sz w:val="21"/>
          <w:szCs w:val="21"/>
          <w:highlight w:val="none"/>
        </w:rPr>
        <w:t>定点维修服务供应商维修地点距离采购人项目点≤</w:t>
      </w:r>
      <w:r>
        <w:rPr>
          <w:rFonts w:hint="eastAsia" w:ascii="宋体" w:hAnsi="宋体"/>
          <w:b w:val="0"/>
          <w:bCs w:val="0"/>
          <w:color w:val="auto"/>
          <w:sz w:val="21"/>
          <w:szCs w:val="21"/>
          <w:highlight w:val="none"/>
          <w:lang w:val="en-US" w:eastAsia="zh-CN"/>
        </w:rPr>
        <w:t>30</w:t>
      </w:r>
      <w:r>
        <w:rPr>
          <w:rFonts w:hint="eastAsia" w:ascii="宋体" w:hAnsi="宋体"/>
          <w:b w:val="0"/>
          <w:bCs w:val="0"/>
          <w:color w:val="auto"/>
          <w:sz w:val="21"/>
          <w:szCs w:val="21"/>
          <w:highlight w:val="none"/>
        </w:rPr>
        <w:t>公里</w:t>
      </w:r>
      <w:r>
        <w:rPr>
          <w:rFonts w:hint="eastAsia" w:ascii="宋体" w:hAnsi="宋体"/>
          <w:b w:val="0"/>
          <w:bCs w:val="0"/>
          <w:color w:val="auto"/>
          <w:sz w:val="21"/>
          <w:szCs w:val="21"/>
          <w:highlight w:val="none"/>
          <w:lang w:eastAsia="zh-CN"/>
        </w:rPr>
        <w:t>。（</w:t>
      </w:r>
      <w:r>
        <w:rPr>
          <w:rFonts w:hint="eastAsia" w:ascii="宋体" w:hAnsi="宋体"/>
          <w:b w:val="0"/>
          <w:bCs w:val="0"/>
          <w:color w:val="auto"/>
          <w:sz w:val="21"/>
          <w:szCs w:val="21"/>
          <w:highlight w:val="none"/>
        </w:rPr>
        <w:t>距离须提供投标人“二类(含)以上机动车维修”维修资质登记的地址到采购人停车场的百度地图（或高德地图）导航距离截图，相关资料须加盖投标人公章）</w:t>
      </w:r>
      <w:r>
        <w:rPr>
          <w:rFonts w:hint="eastAsia" w:ascii="宋体" w:hAnsi="宋体"/>
          <w:b w:val="0"/>
          <w:bCs w:val="0"/>
          <w:color w:val="auto"/>
          <w:sz w:val="21"/>
          <w:szCs w:val="21"/>
          <w:highlight w:val="none"/>
          <w:lang w:eastAsia="zh-CN"/>
        </w:rPr>
        <w:t>。</w:t>
      </w:r>
      <w:bookmarkEnd w:id="239"/>
    </w:p>
    <w:p w14:paraId="4073CD41">
      <w:pPr>
        <w:rPr>
          <w:rFonts w:hint="eastAsia" w:ascii="宋体" w:hAnsi="宋体"/>
          <w:b w:val="0"/>
          <w:bCs w:val="0"/>
          <w:color w:val="auto"/>
          <w:sz w:val="21"/>
          <w:szCs w:val="21"/>
          <w:highlight w:val="none"/>
          <w:lang w:eastAsia="zh-CN"/>
        </w:rPr>
      </w:pPr>
    </w:p>
    <w:p w14:paraId="55E0897F">
      <w:pPr>
        <w:pStyle w:val="6"/>
        <w:rPr>
          <w:rFonts w:hint="eastAsia" w:ascii="宋体" w:hAnsi="宋体"/>
          <w:b w:val="0"/>
          <w:bCs w:val="0"/>
          <w:color w:val="auto"/>
          <w:sz w:val="21"/>
          <w:szCs w:val="21"/>
          <w:highlight w:val="none"/>
          <w:lang w:eastAsia="zh-CN"/>
        </w:rPr>
      </w:pPr>
    </w:p>
    <w:p w14:paraId="3B732791">
      <w:pPr>
        <w:rPr>
          <w:rFonts w:hint="eastAsia" w:ascii="宋体" w:hAnsi="宋体"/>
          <w:b w:val="0"/>
          <w:bCs w:val="0"/>
          <w:color w:val="auto"/>
          <w:sz w:val="21"/>
          <w:szCs w:val="21"/>
          <w:highlight w:val="none"/>
          <w:lang w:eastAsia="zh-CN"/>
        </w:rPr>
      </w:pPr>
    </w:p>
    <w:p w14:paraId="16591AF7">
      <w:pPr>
        <w:pStyle w:val="6"/>
        <w:rPr>
          <w:rFonts w:hint="eastAsia" w:ascii="宋体" w:hAnsi="宋体"/>
          <w:b w:val="0"/>
          <w:bCs w:val="0"/>
          <w:color w:val="auto"/>
          <w:sz w:val="21"/>
          <w:szCs w:val="21"/>
          <w:highlight w:val="none"/>
          <w:lang w:eastAsia="zh-CN"/>
        </w:rPr>
      </w:pPr>
    </w:p>
    <w:p w14:paraId="7B08F3D2">
      <w:pPr>
        <w:rPr>
          <w:rFonts w:hint="eastAsia" w:ascii="宋体" w:hAnsi="宋体"/>
          <w:b w:val="0"/>
          <w:bCs w:val="0"/>
          <w:color w:val="auto"/>
          <w:sz w:val="21"/>
          <w:szCs w:val="21"/>
          <w:highlight w:val="none"/>
          <w:lang w:eastAsia="zh-CN"/>
        </w:rPr>
      </w:pPr>
    </w:p>
    <w:p w14:paraId="4EE2B8F6">
      <w:pPr>
        <w:pStyle w:val="6"/>
        <w:rPr>
          <w:rFonts w:hint="eastAsia" w:ascii="宋体" w:hAnsi="宋体"/>
          <w:b w:val="0"/>
          <w:bCs w:val="0"/>
          <w:color w:val="auto"/>
          <w:sz w:val="21"/>
          <w:szCs w:val="21"/>
          <w:highlight w:val="none"/>
          <w:lang w:eastAsia="zh-CN"/>
        </w:rPr>
      </w:pPr>
    </w:p>
    <w:p w14:paraId="3CBAF596">
      <w:pPr>
        <w:rPr>
          <w:rFonts w:hint="eastAsia" w:ascii="宋体" w:hAnsi="宋体"/>
          <w:b w:val="0"/>
          <w:bCs w:val="0"/>
          <w:color w:val="auto"/>
          <w:sz w:val="21"/>
          <w:szCs w:val="21"/>
          <w:highlight w:val="none"/>
          <w:lang w:eastAsia="zh-CN"/>
        </w:rPr>
      </w:pPr>
    </w:p>
    <w:p w14:paraId="21C94D06">
      <w:pPr>
        <w:pStyle w:val="6"/>
        <w:rPr>
          <w:rFonts w:hint="eastAsia" w:ascii="宋体" w:hAnsi="宋体"/>
          <w:b w:val="0"/>
          <w:bCs w:val="0"/>
          <w:color w:val="auto"/>
          <w:sz w:val="21"/>
          <w:szCs w:val="21"/>
          <w:highlight w:val="none"/>
          <w:lang w:eastAsia="zh-CN"/>
        </w:rPr>
      </w:pPr>
    </w:p>
    <w:p w14:paraId="3E4B7D92">
      <w:pPr>
        <w:rPr>
          <w:rFonts w:hint="eastAsia" w:ascii="宋体" w:hAnsi="宋体"/>
          <w:b w:val="0"/>
          <w:bCs w:val="0"/>
          <w:color w:val="auto"/>
          <w:sz w:val="21"/>
          <w:szCs w:val="21"/>
          <w:highlight w:val="none"/>
          <w:lang w:eastAsia="zh-CN"/>
        </w:rPr>
      </w:pPr>
    </w:p>
    <w:p w14:paraId="00B72462">
      <w:pPr>
        <w:pStyle w:val="6"/>
        <w:rPr>
          <w:rFonts w:hint="eastAsia" w:ascii="宋体" w:hAnsi="宋体"/>
          <w:b w:val="0"/>
          <w:bCs w:val="0"/>
          <w:color w:val="auto"/>
          <w:sz w:val="21"/>
          <w:szCs w:val="21"/>
          <w:highlight w:val="none"/>
          <w:lang w:eastAsia="zh-CN"/>
        </w:rPr>
      </w:pPr>
    </w:p>
    <w:p w14:paraId="2C694D03">
      <w:pPr>
        <w:rPr>
          <w:rFonts w:hint="eastAsia" w:ascii="宋体" w:hAnsi="宋体"/>
          <w:b w:val="0"/>
          <w:bCs w:val="0"/>
          <w:color w:val="auto"/>
          <w:sz w:val="21"/>
          <w:szCs w:val="21"/>
          <w:highlight w:val="none"/>
          <w:lang w:eastAsia="zh-CN"/>
        </w:rPr>
      </w:pPr>
    </w:p>
    <w:p w14:paraId="21B66E46">
      <w:pPr>
        <w:pStyle w:val="6"/>
        <w:rPr>
          <w:rFonts w:hint="eastAsia" w:ascii="宋体" w:hAnsi="宋体"/>
          <w:b w:val="0"/>
          <w:bCs w:val="0"/>
          <w:color w:val="auto"/>
          <w:sz w:val="21"/>
          <w:szCs w:val="21"/>
          <w:highlight w:val="none"/>
          <w:lang w:eastAsia="zh-CN"/>
        </w:rPr>
      </w:pPr>
    </w:p>
    <w:p w14:paraId="562D01DA">
      <w:pPr>
        <w:rPr>
          <w:rFonts w:hint="eastAsia" w:ascii="宋体" w:hAnsi="宋体"/>
          <w:b w:val="0"/>
          <w:bCs w:val="0"/>
          <w:color w:val="auto"/>
          <w:sz w:val="21"/>
          <w:szCs w:val="21"/>
          <w:highlight w:val="none"/>
          <w:lang w:eastAsia="zh-CN"/>
        </w:rPr>
      </w:pPr>
    </w:p>
    <w:p w14:paraId="0A07B199">
      <w:pPr>
        <w:pStyle w:val="6"/>
        <w:rPr>
          <w:rFonts w:hint="eastAsia" w:ascii="宋体" w:hAnsi="宋体"/>
          <w:b w:val="0"/>
          <w:bCs w:val="0"/>
          <w:color w:val="auto"/>
          <w:sz w:val="21"/>
          <w:szCs w:val="21"/>
          <w:highlight w:val="none"/>
          <w:lang w:eastAsia="zh-CN"/>
        </w:rPr>
      </w:pPr>
    </w:p>
    <w:p w14:paraId="3591EDF2">
      <w:pPr>
        <w:rPr>
          <w:rFonts w:hint="eastAsia" w:ascii="宋体" w:hAnsi="宋体"/>
          <w:b w:val="0"/>
          <w:bCs w:val="0"/>
          <w:color w:val="auto"/>
          <w:sz w:val="21"/>
          <w:szCs w:val="21"/>
          <w:highlight w:val="none"/>
          <w:lang w:eastAsia="zh-CN"/>
        </w:rPr>
      </w:pPr>
    </w:p>
    <w:p w14:paraId="5600EB14">
      <w:pPr>
        <w:pStyle w:val="6"/>
        <w:rPr>
          <w:rFonts w:hint="eastAsia" w:ascii="宋体" w:hAnsi="宋体"/>
          <w:b w:val="0"/>
          <w:bCs w:val="0"/>
          <w:color w:val="auto"/>
          <w:sz w:val="21"/>
          <w:szCs w:val="21"/>
          <w:highlight w:val="none"/>
          <w:lang w:eastAsia="zh-CN"/>
        </w:rPr>
      </w:pPr>
    </w:p>
    <w:p w14:paraId="207E1E0B">
      <w:pPr>
        <w:rPr>
          <w:rFonts w:hint="eastAsia" w:ascii="宋体" w:hAnsi="宋体"/>
          <w:b w:val="0"/>
          <w:bCs w:val="0"/>
          <w:color w:val="auto"/>
          <w:sz w:val="21"/>
          <w:szCs w:val="21"/>
          <w:highlight w:val="none"/>
          <w:lang w:eastAsia="zh-CN"/>
        </w:rPr>
      </w:pPr>
    </w:p>
    <w:p w14:paraId="4C1F820E">
      <w:pPr>
        <w:pStyle w:val="6"/>
        <w:rPr>
          <w:rFonts w:hint="eastAsia" w:ascii="宋体" w:hAnsi="宋体"/>
          <w:b w:val="0"/>
          <w:bCs w:val="0"/>
          <w:color w:val="auto"/>
          <w:sz w:val="21"/>
          <w:szCs w:val="21"/>
          <w:highlight w:val="none"/>
          <w:lang w:eastAsia="zh-CN"/>
        </w:rPr>
      </w:pPr>
    </w:p>
    <w:p w14:paraId="754248EF">
      <w:pPr>
        <w:rPr>
          <w:rFonts w:hint="eastAsia" w:ascii="宋体" w:hAnsi="宋体"/>
          <w:b w:val="0"/>
          <w:bCs w:val="0"/>
          <w:color w:val="auto"/>
          <w:sz w:val="21"/>
          <w:szCs w:val="21"/>
          <w:highlight w:val="none"/>
          <w:lang w:eastAsia="zh-CN"/>
        </w:rPr>
      </w:pPr>
    </w:p>
    <w:p w14:paraId="69E9C6E7">
      <w:pPr>
        <w:pStyle w:val="6"/>
        <w:rPr>
          <w:rFonts w:hint="eastAsia" w:ascii="宋体" w:hAnsi="宋体"/>
          <w:b w:val="0"/>
          <w:bCs w:val="0"/>
          <w:color w:val="auto"/>
          <w:sz w:val="21"/>
          <w:szCs w:val="21"/>
          <w:highlight w:val="none"/>
          <w:lang w:eastAsia="zh-CN"/>
        </w:rPr>
      </w:pPr>
    </w:p>
    <w:p w14:paraId="6AE440DD">
      <w:pPr>
        <w:rPr>
          <w:rFonts w:hint="eastAsia" w:ascii="宋体" w:hAnsi="宋体"/>
          <w:b w:val="0"/>
          <w:bCs w:val="0"/>
          <w:color w:val="auto"/>
          <w:sz w:val="21"/>
          <w:szCs w:val="21"/>
          <w:highlight w:val="none"/>
          <w:lang w:eastAsia="zh-CN"/>
        </w:rPr>
      </w:pPr>
    </w:p>
    <w:p w14:paraId="7148F878">
      <w:pPr>
        <w:pStyle w:val="6"/>
        <w:rPr>
          <w:rFonts w:hint="eastAsia" w:ascii="宋体" w:hAnsi="宋体"/>
          <w:b w:val="0"/>
          <w:bCs w:val="0"/>
          <w:color w:val="auto"/>
          <w:sz w:val="21"/>
          <w:szCs w:val="21"/>
          <w:highlight w:val="none"/>
          <w:lang w:eastAsia="zh-CN"/>
        </w:rPr>
      </w:pPr>
    </w:p>
    <w:p w14:paraId="2CE02EF6">
      <w:pPr>
        <w:rPr>
          <w:rFonts w:hint="eastAsia" w:ascii="宋体" w:hAnsi="宋体"/>
          <w:b/>
          <w:bCs/>
          <w:color w:val="auto"/>
          <w:sz w:val="21"/>
          <w:szCs w:val="21"/>
          <w:highlight w:val="none"/>
          <w:lang w:val="en-US" w:eastAsia="zh-CN"/>
        </w:rPr>
      </w:pPr>
      <w:r>
        <w:rPr>
          <w:rFonts w:hint="eastAsia" w:ascii="宋体" w:hAnsi="宋体"/>
          <w:b/>
          <w:bCs/>
          <w:color w:val="auto"/>
          <w:sz w:val="21"/>
          <w:szCs w:val="21"/>
          <w:highlight w:val="none"/>
          <w:lang w:val="en-US" w:eastAsia="zh-CN"/>
        </w:rPr>
        <w:br w:type="page"/>
      </w:r>
    </w:p>
    <w:p w14:paraId="1198A09B">
      <w:pPr>
        <w:pStyle w:val="4"/>
        <w:widowControl w:val="0"/>
        <w:overflowPunct w:val="0"/>
        <w:spacing w:line="240" w:lineRule="auto"/>
        <w:rPr>
          <w:rFonts w:hint="eastAsia" w:ascii="宋体" w:hAnsi="宋体"/>
          <w:color w:val="auto"/>
          <w:sz w:val="21"/>
          <w:szCs w:val="21"/>
          <w:highlight w:val="none"/>
        </w:rPr>
      </w:pPr>
      <w:bookmarkStart w:id="240" w:name="_Toc29118"/>
      <w:r>
        <w:rPr>
          <w:rFonts w:hint="eastAsia" w:ascii="宋体" w:hAnsi="宋体"/>
          <w:color w:val="auto"/>
          <w:sz w:val="21"/>
          <w:szCs w:val="21"/>
          <w:highlight w:val="none"/>
        </w:rPr>
        <w:t>附件1</w:t>
      </w:r>
      <w:r>
        <w:rPr>
          <w:rFonts w:hint="eastAsia" w:ascii="宋体" w:hAnsi="宋体"/>
          <w:color w:val="auto"/>
          <w:sz w:val="21"/>
          <w:szCs w:val="21"/>
          <w:highlight w:val="none"/>
          <w:lang w:val="en-US" w:eastAsia="zh-CN"/>
        </w:rPr>
        <w:t>1</w:t>
      </w:r>
      <w:r>
        <w:rPr>
          <w:rFonts w:hint="eastAsia" w:ascii="宋体" w:hAnsi="宋体"/>
          <w:color w:val="auto"/>
          <w:sz w:val="21"/>
          <w:szCs w:val="21"/>
          <w:highlight w:val="none"/>
        </w:rPr>
        <w:t>.业绩表</w:t>
      </w:r>
      <w:bookmarkEnd w:id="240"/>
    </w:p>
    <w:p w14:paraId="409B16AF">
      <w:pPr>
        <w:rPr>
          <w:rFonts w:hint="eastAsia"/>
          <w:color w:val="auto"/>
        </w:rPr>
      </w:pPr>
    </w:p>
    <w:p w14:paraId="301B0130">
      <w:pPr>
        <w:rPr>
          <w:rFonts w:hint="eastAsia" w:ascii="宋体" w:hAnsi="宋体"/>
          <w:color w:val="auto"/>
          <w:sz w:val="21"/>
          <w:szCs w:val="21"/>
          <w:highlight w:val="none"/>
        </w:rPr>
      </w:pPr>
      <w:r>
        <w:rPr>
          <w:rFonts w:hint="eastAsia" w:ascii="宋体" w:hAnsi="宋体"/>
          <w:color w:val="auto"/>
          <w:szCs w:val="21"/>
          <w:highlight w:val="none"/>
        </w:rPr>
        <w:t>投标人须具有202</w:t>
      </w:r>
      <w:r>
        <w:rPr>
          <w:rFonts w:hint="eastAsia" w:ascii="宋体" w:hAnsi="宋体"/>
          <w:color w:val="auto"/>
          <w:szCs w:val="21"/>
          <w:highlight w:val="none"/>
          <w:lang w:val="en-US" w:eastAsia="zh-CN"/>
        </w:rPr>
        <w:t>2</w:t>
      </w:r>
      <w:r>
        <w:rPr>
          <w:rFonts w:hint="eastAsia" w:ascii="宋体" w:hAnsi="宋体"/>
          <w:color w:val="auto"/>
          <w:szCs w:val="21"/>
          <w:highlight w:val="none"/>
        </w:rPr>
        <w:t>年1月1日起至今</w:t>
      </w:r>
      <w:r>
        <w:rPr>
          <w:rFonts w:hint="eastAsia" w:ascii="宋体" w:hAnsi="宋体"/>
          <w:color w:val="auto"/>
          <w:szCs w:val="21"/>
          <w:highlight w:val="none"/>
          <w:lang w:val="en-US" w:eastAsia="zh-CN"/>
        </w:rPr>
        <w:t>1个环卫车辆或餐厨车辆或特种车辆或其它车辆的维修项目业绩。</w:t>
      </w:r>
      <w:r>
        <w:rPr>
          <w:rFonts w:hint="eastAsia" w:ascii="宋体" w:hAnsi="宋体"/>
          <w:color w:val="auto"/>
          <w:szCs w:val="21"/>
          <w:highlight w:val="none"/>
        </w:rPr>
        <w:t>注：投标人须同时提供合同复印件及合同期内任意一期发票复印件并加盖投标人公章</w:t>
      </w:r>
      <w:r>
        <w:rPr>
          <w:rFonts w:hint="eastAsia" w:ascii="宋体" w:hAnsi="宋体"/>
          <w:color w:val="auto"/>
          <w:szCs w:val="21"/>
          <w:highlight w:val="none"/>
          <w:lang w:eastAsia="zh-CN"/>
        </w:rPr>
        <w:t>。</w:t>
      </w:r>
    </w:p>
    <w:p w14:paraId="34BEA037">
      <w:pPr>
        <w:jc w:val="center"/>
        <w:rPr>
          <w:rFonts w:ascii="黑体" w:eastAsia="黑体"/>
          <w:color w:val="auto"/>
          <w:sz w:val="28"/>
          <w:szCs w:val="28"/>
          <w:highlight w:val="none"/>
        </w:rPr>
      </w:pPr>
      <w:r>
        <w:rPr>
          <w:rFonts w:hint="eastAsia" w:ascii="黑体" w:eastAsia="黑体"/>
          <w:color w:val="auto"/>
          <w:sz w:val="28"/>
          <w:szCs w:val="28"/>
          <w:highlight w:val="none"/>
        </w:rPr>
        <w:t>业绩表</w:t>
      </w:r>
    </w:p>
    <w:tbl>
      <w:tblPr>
        <w:tblStyle w:val="17"/>
        <w:tblW w:w="851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05"/>
        <w:gridCol w:w="1705"/>
        <w:gridCol w:w="1706"/>
        <w:gridCol w:w="2001"/>
        <w:gridCol w:w="1401"/>
      </w:tblGrid>
      <w:tr w14:paraId="6AD3CA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7" w:hRule="atLeast"/>
        </w:trPr>
        <w:tc>
          <w:tcPr>
            <w:tcW w:w="1705" w:type="dxa"/>
            <w:vAlign w:val="center"/>
          </w:tcPr>
          <w:p w14:paraId="2269A547">
            <w:pPr>
              <w:adjustRightInd/>
              <w:snapToGrid/>
              <w:jc w:val="center"/>
              <w:rPr>
                <w:rFonts w:ascii="宋体" w:hAnsi="宋体"/>
                <w:color w:val="auto"/>
                <w:szCs w:val="21"/>
                <w:highlight w:val="none"/>
              </w:rPr>
            </w:pPr>
            <w:r>
              <w:rPr>
                <w:rFonts w:hint="eastAsia" w:ascii="宋体" w:hAnsi="宋体"/>
                <w:color w:val="auto"/>
                <w:szCs w:val="21"/>
                <w:highlight w:val="none"/>
              </w:rPr>
              <w:t>序号</w:t>
            </w:r>
          </w:p>
        </w:tc>
        <w:tc>
          <w:tcPr>
            <w:tcW w:w="1705" w:type="dxa"/>
            <w:vAlign w:val="center"/>
          </w:tcPr>
          <w:p w14:paraId="67300E84">
            <w:pPr>
              <w:adjustRightInd/>
              <w:snapToGrid/>
              <w:jc w:val="center"/>
              <w:rPr>
                <w:rFonts w:ascii="宋体" w:hAnsi="宋体"/>
                <w:color w:val="auto"/>
                <w:szCs w:val="21"/>
                <w:highlight w:val="none"/>
              </w:rPr>
            </w:pPr>
            <w:r>
              <w:rPr>
                <w:rFonts w:hint="eastAsia" w:ascii="宋体" w:hAnsi="宋体"/>
                <w:color w:val="auto"/>
                <w:szCs w:val="21"/>
                <w:highlight w:val="none"/>
              </w:rPr>
              <w:t>项目名称</w:t>
            </w:r>
          </w:p>
        </w:tc>
        <w:tc>
          <w:tcPr>
            <w:tcW w:w="1706" w:type="dxa"/>
            <w:vAlign w:val="center"/>
          </w:tcPr>
          <w:p w14:paraId="446A2776">
            <w:pPr>
              <w:adjustRightInd/>
              <w:snapToGrid/>
              <w:jc w:val="center"/>
              <w:rPr>
                <w:rFonts w:ascii="宋体" w:hAnsi="宋体"/>
                <w:color w:val="auto"/>
                <w:szCs w:val="21"/>
                <w:highlight w:val="none"/>
              </w:rPr>
            </w:pPr>
            <w:r>
              <w:rPr>
                <w:rFonts w:hint="eastAsia" w:ascii="宋体" w:hAnsi="宋体"/>
                <w:color w:val="auto"/>
                <w:szCs w:val="21"/>
                <w:highlight w:val="none"/>
              </w:rPr>
              <w:t>项目金额</w:t>
            </w:r>
          </w:p>
        </w:tc>
        <w:tc>
          <w:tcPr>
            <w:tcW w:w="2001" w:type="dxa"/>
            <w:vAlign w:val="center"/>
          </w:tcPr>
          <w:p w14:paraId="106438DE">
            <w:pPr>
              <w:adjustRightInd/>
              <w:snapToGrid/>
              <w:jc w:val="center"/>
              <w:rPr>
                <w:rFonts w:ascii="宋体" w:hAnsi="宋体"/>
                <w:color w:val="auto"/>
                <w:szCs w:val="21"/>
                <w:highlight w:val="none"/>
              </w:rPr>
            </w:pPr>
            <w:r>
              <w:rPr>
                <w:rFonts w:hint="eastAsia" w:ascii="宋体" w:hAnsi="宋体"/>
                <w:color w:val="auto"/>
                <w:szCs w:val="21"/>
                <w:highlight w:val="none"/>
              </w:rPr>
              <w:t>项目合同签订时间</w:t>
            </w:r>
          </w:p>
        </w:tc>
        <w:tc>
          <w:tcPr>
            <w:tcW w:w="1401" w:type="dxa"/>
            <w:vAlign w:val="center"/>
          </w:tcPr>
          <w:p w14:paraId="307CCEC8">
            <w:pPr>
              <w:adjustRightInd/>
              <w:snapToGrid/>
              <w:jc w:val="center"/>
              <w:rPr>
                <w:rFonts w:ascii="宋体" w:hAnsi="宋体"/>
                <w:color w:val="auto"/>
                <w:szCs w:val="21"/>
                <w:highlight w:val="none"/>
              </w:rPr>
            </w:pPr>
            <w:r>
              <w:rPr>
                <w:rFonts w:hint="eastAsia" w:ascii="宋体" w:hAnsi="宋体"/>
                <w:color w:val="auto"/>
                <w:szCs w:val="21"/>
                <w:highlight w:val="none"/>
              </w:rPr>
              <w:t>备注</w:t>
            </w:r>
          </w:p>
        </w:tc>
      </w:tr>
      <w:tr w14:paraId="14A36B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7" w:hRule="atLeast"/>
        </w:trPr>
        <w:tc>
          <w:tcPr>
            <w:tcW w:w="1705" w:type="dxa"/>
            <w:vAlign w:val="center"/>
          </w:tcPr>
          <w:p w14:paraId="455E6AFC">
            <w:pPr>
              <w:adjustRightInd/>
              <w:snapToGrid/>
              <w:jc w:val="center"/>
              <w:rPr>
                <w:rFonts w:ascii="宋体" w:hAnsi="宋体"/>
                <w:color w:val="auto"/>
                <w:szCs w:val="21"/>
                <w:highlight w:val="none"/>
              </w:rPr>
            </w:pPr>
          </w:p>
        </w:tc>
        <w:tc>
          <w:tcPr>
            <w:tcW w:w="1705" w:type="dxa"/>
            <w:vAlign w:val="center"/>
          </w:tcPr>
          <w:p w14:paraId="208C88E7">
            <w:pPr>
              <w:adjustRightInd/>
              <w:snapToGrid/>
              <w:jc w:val="center"/>
              <w:rPr>
                <w:rFonts w:ascii="宋体" w:hAnsi="宋体"/>
                <w:color w:val="auto"/>
                <w:szCs w:val="21"/>
                <w:highlight w:val="none"/>
              </w:rPr>
            </w:pPr>
          </w:p>
        </w:tc>
        <w:tc>
          <w:tcPr>
            <w:tcW w:w="1706" w:type="dxa"/>
            <w:vAlign w:val="center"/>
          </w:tcPr>
          <w:p w14:paraId="3C764CB2">
            <w:pPr>
              <w:adjustRightInd/>
              <w:snapToGrid/>
              <w:jc w:val="center"/>
              <w:rPr>
                <w:rFonts w:ascii="宋体" w:hAnsi="宋体"/>
                <w:color w:val="auto"/>
                <w:szCs w:val="21"/>
                <w:highlight w:val="none"/>
              </w:rPr>
            </w:pPr>
          </w:p>
        </w:tc>
        <w:tc>
          <w:tcPr>
            <w:tcW w:w="2001" w:type="dxa"/>
            <w:vAlign w:val="center"/>
          </w:tcPr>
          <w:p w14:paraId="00EF12BB">
            <w:pPr>
              <w:adjustRightInd/>
              <w:snapToGrid/>
              <w:jc w:val="center"/>
              <w:rPr>
                <w:rFonts w:ascii="宋体" w:hAnsi="宋体"/>
                <w:color w:val="auto"/>
                <w:szCs w:val="21"/>
                <w:highlight w:val="none"/>
              </w:rPr>
            </w:pPr>
          </w:p>
        </w:tc>
        <w:tc>
          <w:tcPr>
            <w:tcW w:w="1401" w:type="dxa"/>
            <w:vAlign w:val="center"/>
          </w:tcPr>
          <w:p w14:paraId="204B0F43">
            <w:pPr>
              <w:adjustRightInd/>
              <w:snapToGrid/>
              <w:jc w:val="center"/>
              <w:rPr>
                <w:rFonts w:ascii="宋体" w:hAnsi="宋体"/>
                <w:color w:val="auto"/>
                <w:szCs w:val="21"/>
                <w:highlight w:val="none"/>
              </w:rPr>
            </w:pPr>
          </w:p>
        </w:tc>
      </w:tr>
      <w:tr w14:paraId="2CE68B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7" w:hRule="atLeast"/>
        </w:trPr>
        <w:tc>
          <w:tcPr>
            <w:tcW w:w="1705" w:type="dxa"/>
          </w:tcPr>
          <w:p w14:paraId="1ED1F9A6">
            <w:pPr>
              <w:adjustRightInd/>
              <w:snapToGrid/>
              <w:rPr>
                <w:rFonts w:ascii="宋体" w:hAnsi="宋体"/>
                <w:color w:val="auto"/>
                <w:szCs w:val="21"/>
                <w:highlight w:val="none"/>
              </w:rPr>
            </w:pPr>
          </w:p>
        </w:tc>
        <w:tc>
          <w:tcPr>
            <w:tcW w:w="1705" w:type="dxa"/>
          </w:tcPr>
          <w:p w14:paraId="376DBF05">
            <w:pPr>
              <w:adjustRightInd/>
              <w:snapToGrid/>
              <w:rPr>
                <w:rFonts w:ascii="宋体" w:hAnsi="宋体"/>
                <w:color w:val="auto"/>
                <w:szCs w:val="21"/>
                <w:highlight w:val="none"/>
              </w:rPr>
            </w:pPr>
          </w:p>
        </w:tc>
        <w:tc>
          <w:tcPr>
            <w:tcW w:w="1706" w:type="dxa"/>
          </w:tcPr>
          <w:p w14:paraId="0C00BC12">
            <w:pPr>
              <w:adjustRightInd/>
              <w:snapToGrid/>
              <w:rPr>
                <w:rFonts w:ascii="宋体" w:hAnsi="宋体"/>
                <w:color w:val="auto"/>
                <w:szCs w:val="21"/>
                <w:highlight w:val="none"/>
              </w:rPr>
            </w:pPr>
          </w:p>
        </w:tc>
        <w:tc>
          <w:tcPr>
            <w:tcW w:w="2001" w:type="dxa"/>
          </w:tcPr>
          <w:p w14:paraId="13983DB3">
            <w:pPr>
              <w:adjustRightInd/>
              <w:snapToGrid/>
              <w:rPr>
                <w:rFonts w:ascii="宋体" w:hAnsi="宋体"/>
                <w:color w:val="auto"/>
                <w:szCs w:val="21"/>
                <w:highlight w:val="none"/>
              </w:rPr>
            </w:pPr>
          </w:p>
        </w:tc>
        <w:tc>
          <w:tcPr>
            <w:tcW w:w="1401" w:type="dxa"/>
          </w:tcPr>
          <w:p w14:paraId="3B89F28A">
            <w:pPr>
              <w:adjustRightInd/>
              <w:snapToGrid/>
              <w:rPr>
                <w:rFonts w:ascii="宋体" w:hAnsi="宋体"/>
                <w:color w:val="auto"/>
                <w:szCs w:val="21"/>
                <w:highlight w:val="none"/>
              </w:rPr>
            </w:pPr>
          </w:p>
        </w:tc>
      </w:tr>
      <w:tr w14:paraId="376850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7" w:hRule="atLeast"/>
        </w:trPr>
        <w:tc>
          <w:tcPr>
            <w:tcW w:w="1705" w:type="dxa"/>
          </w:tcPr>
          <w:p w14:paraId="7099D7B6">
            <w:pPr>
              <w:adjustRightInd/>
              <w:snapToGrid/>
              <w:rPr>
                <w:rFonts w:ascii="宋体" w:hAnsi="宋体"/>
                <w:color w:val="auto"/>
                <w:szCs w:val="21"/>
                <w:highlight w:val="none"/>
              </w:rPr>
            </w:pPr>
          </w:p>
        </w:tc>
        <w:tc>
          <w:tcPr>
            <w:tcW w:w="1705" w:type="dxa"/>
          </w:tcPr>
          <w:p w14:paraId="2453E1E6">
            <w:pPr>
              <w:adjustRightInd/>
              <w:snapToGrid/>
              <w:rPr>
                <w:rFonts w:ascii="宋体" w:hAnsi="宋体"/>
                <w:color w:val="auto"/>
                <w:szCs w:val="21"/>
                <w:highlight w:val="none"/>
              </w:rPr>
            </w:pPr>
          </w:p>
        </w:tc>
        <w:tc>
          <w:tcPr>
            <w:tcW w:w="1706" w:type="dxa"/>
          </w:tcPr>
          <w:p w14:paraId="35FAA700">
            <w:pPr>
              <w:adjustRightInd/>
              <w:snapToGrid/>
              <w:rPr>
                <w:rFonts w:ascii="宋体" w:hAnsi="宋体"/>
                <w:color w:val="auto"/>
                <w:szCs w:val="21"/>
                <w:highlight w:val="none"/>
              </w:rPr>
            </w:pPr>
          </w:p>
        </w:tc>
        <w:tc>
          <w:tcPr>
            <w:tcW w:w="2001" w:type="dxa"/>
          </w:tcPr>
          <w:p w14:paraId="39FF0EE5">
            <w:pPr>
              <w:adjustRightInd/>
              <w:snapToGrid/>
              <w:rPr>
                <w:rFonts w:ascii="宋体" w:hAnsi="宋体"/>
                <w:color w:val="auto"/>
                <w:szCs w:val="21"/>
                <w:highlight w:val="none"/>
              </w:rPr>
            </w:pPr>
          </w:p>
        </w:tc>
        <w:tc>
          <w:tcPr>
            <w:tcW w:w="1401" w:type="dxa"/>
          </w:tcPr>
          <w:p w14:paraId="291DC41A">
            <w:pPr>
              <w:adjustRightInd/>
              <w:snapToGrid/>
              <w:rPr>
                <w:rFonts w:ascii="宋体" w:hAnsi="宋体"/>
                <w:color w:val="auto"/>
                <w:szCs w:val="21"/>
                <w:highlight w:val="none"/>
              </w:rPr>
            </w:pPr>
          </w:p>
        </w:tc>
      </w:tr>
      <w:tr w14:paraId="574434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7" w:hRule="atLeast"/>
        </w:trPr>
        <w:tc>
          <w:tcPr>
            <w:tcW w:w="1705" w:type="dxa"/>
          </w:tcPr>
          <w:p w14:paraId="586D78DB">
            <w:pPr>
              <w:adjustRightInd/>
              <w:snapToGrid/>
              <w:rPr>
                <w:rFonts w:ascii="宋体" w:hAnsi="宋体"/>
                <w:color w:val="auto"/>
                <w:szCs w:val="21"/>
                <w:highlight w:val="none"/>
              </w:rPr>
            </w:pPr>
          </w:p>
        </w:tc>
        <w:tc>
          <w:tcPr>
            <w:tcW w:w="1705" w:type="dxa"/>
          </w:tcPr>
          <w:p w14:paraId="35404354">
            <w:pPr>
              <w:adjustRightInd/>
              <w:snapToGrid/>
              <w:rPr>
                <w:rFonts w:ascii="宋体" w:hAnsi="宋体"/>
                <w:color w:val="auto"/>
                <w:szCs w:val="21"/>
                <w:highlight w:val="none"/>
              </w:rPr>
            </w:pPr>
          </w:p>
        </w:tc>
        <w:tc>
          <w:tcPr>
            <w:tcW w:w="1706" w:type="dxa"/>
          </w:tcPr>
          <w:p w14:paraId="21BBE97E">
            <w:pPr>
              <w:adjustRightInd/>
              <w:snapToGrid/>
              <w:rPr>
                <w:rFonts w:ascii="宋体" w:hAnsi="宋体"/>
                <w:color w:val="auto"/>
                <w:szCs w:val="21"/>
                <w:highlight w:val="none"/>
              </w:rPr>
            </w:pPr>
          </w:p>
        </w:tc>
        <w:tc>
          <w:tcPr>
            <w:tcW w:w="2001" w:type="dxa"/>
          </w:tcPr>
          <w:p w14:paraId="7EFA7F80">
            <w:pPr>
              <w:adjustRightInd/>
              <w:snapToGrid/>
              <w:rPr>
                <w:rFonts w:ascii="宋体" w:hAnsi="宋体"/>
                <w:color w:val="auto"/>
                <w:szCs w:val="21"/>
                <w:highlight w:val="none"/>
              </w:rPr>
            </w:pPr>
          </w:p>
        </w:tc>
        <w:tc>
          <w:tcPr>
            <w:tcW w:w="1401" w:type="dxa"/>
          </w:tcPr>
          <w:p w14:paraId="5842E9FF">
            <w:pPr>
              <w:adjustRightInd/>
              <w:snapToGrid/>
              <w:rPr>
                <w:rFonts w:ascii="宋体" w:hAnsi="宋体"/>
                <w:color w:val="auto"/>
                <w:szCs w:val="21"/>
                <w:highlight w:val="none"/>
              </w:rPr>
            </w:pPr>
          </w:p>
        </w:tc>
      </w:tr>
      <w:tr w14:paraId="6F58D3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7" w:hRule="atLeast"/>
        </w:trPr>
        <w:tc>
          <w:tcPr>
            <w:tcW w:w="1705" w:type="dxa"/>
          </w:tcPr>
          <w:p w14:paraId="4D0F2330">
            <w:pPr>
              <w:adjustRightInd/>
              <w:snapToGrid/>
              <w:rPr>
                <w:rFonts w:ascii="宋体" w:hAnsi="宋体"/>
                <w:color w:val="auto"/>
                <w:szCs w:val="21"/>
                <w:highlight w:val="none"/>
              </w:rPr>
            </w:pPr>
          </w:p>
        </w:tc>
        <w:tc>
          <w:tcPr>
            <w:tcW w:w="1705" w:type="dxa"/>
          </w:tcPr>
          <w:p w14:paraId="2EFA3C03">
            <w:pPr>
              <w:adjustRightInd/>
              <w:snapToGrid/>
              <w:rPr>
                <w:rFonts w:ascii="宋体" w:hAnsi="宋体"/>
                <w:color w:val="auto"/>
                <w:szCs w:val="21"/>
                <w:highlight w:val="none"/>
              </w:rPr>
            </w:pPr>
          </w:p>
        </w:tc>
        <w:tc>
          <w:tcPr>
            <w:tcW w:w="1706" w:type="dxa"/>
          </w:tcPr>
          <w:p w14:paraId="1D6EFA62">
            <w:pPr>
              <w:adjustRightInd/>
              <w:snapToGrid/>
              <w:rPr>
                <w:rFonts w:ascii="宋体" w:hAnsi="宋体"/>
                <w:color w:val="auto"/>
                <w:szCs w:val="21"/>
                <w:highlight w:val="none"/>
              </w:rPr>
            </w:pPr>
          </w:p>
        </w:tc>
        <w:tc>
          <w:tcPr>
            <w:tcW w:w="2001" w:type="dxa"/>
          </w:tcPr>
          <w:p w14:paraId="30E7B9B8">
            <w:pPr>
              <w:adjustRightInd/>
              <w:snapToGrid/>
              <w:rPr>
                <w:rFonts w:ascii="宋体" w:hAnsi="宋体"/>
                <w:color w:val="auto"/>
                <w:szCs w:val="21"/>
                <w:highlight w:val="none"/>
              </w:rPr>
            </w:pPr>
          </w:p>
        </w:tc>
        <w:tc>
          <w:tcPr>
            <w:tcW w:w="1401" w:type="dxa"/>
          </w:tcPr>
          <w:p w14:paraId="6E00F94E">
            <w:pPr>
              <w:adjustRightInd/>
              <w:snapToGrid/>
              <w:rPr>
                <w:rFonts w:ascii="宋体" w:hAnsi="宋体"/>
                <w:color w:val="auto"/>
                <w:szCs w:val="21"/>
                <w:highlight w:val="none"/>
              </w:rPr>
            </w:pPr>
          </w:p>
        </w:tc>
      </w:tr>
      <w:tr w14:paraId="100DA2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7" w:hRule="atLeast"/>
        </w:trPr>
        <w:tc>
          <w:tcPr>
            <w:tcW w:w="1705" w:type="dxa"/>
          </w:tcPr>
          <w:p w14:paraId="71A4FB94">
            <w:pPr>
              <w:adjustRightInd/>
              <w:snapToGrid/>
              <w:rPr>
                <w:rFonts w:ascii="宋体" w:hAnsi="宋体"/>
                <w:color w:val="auto"/>
                <w:szCs w:val="21"/>
                <w:highlight w:val="none"/>
              </w:rPr>
            </w:pPr>
          </w:p>
        </w:tc>
        <w:tc>
          <w:tcPr>
            <w:tcW w:w="1705" w:type="dxa"/>
          </w:tcPr>
          <w:p w14:paraId="1B1AAD91">
            <w:pPr>
              <w:adjustRightInd/>
              <w:snapToGrid/>
              <w:rPr>
                <w:rFonts w:ascii="宋体" w:hAnsi="宋体"/>
                <w:color w:val="auto"/>
                <w:szCs w:val="21"/>
                <w:highlight w:val="none"/>
              </w:rPr>
            </w:pPr>
          </w:p>
        </w:tc>
        <w:tc>
          <w:tcPr>
            <w:tcW w:w="1706" w:type="dxa"/>
          </w:tcPr>
          <w:p w14:paraId="11DB3E11">
            <w:pPr>
              <w:adjustRightInd/>
              <w:snapToGrid/>
              <w:rPr>
                <w:rFonts w:ascii="宋体" w:hAnsi="宋体"/>
                <w:color w:val="auto"/>
                <w:szCs w:val="21"/>
                <w:highlight w:val="none"/>
              </w:rPr>
            </w:pPr>
          </w:p>
        </w:tc>
        <w:tc>
          <w:tcPr>
            <w:tcW w:w="2001" w:type="dxa"/>
          </w:tcPr>
          <w:p w14:paraId="5D5094FE">
            <w:pPr>
              <w:adjustRightInd/>
              <w:snapToGrid/>
              <w:rPr>
                <w:rFonts w:ascii="宋体" w:hAnsi="宋体"/>
                <w:color w:val="auto"/>
                <w:szCs w:val="21"/>
                <w:highlight w:val="none"/>
              </w:rPr>
            </w:pPr>
          </w:p>
        </w:tc>
        <w:tc>
          <w:tcPr>
            <w:tcW w:w="1401" w:type="dxa"/>
          </w:tcPr>
          <w:p w14:paraId="1AE27486">
            <w:pPr>
              <w:adjustRightInd/>
              <w:snapToGrid/>
              <w:rPr>
                <w:rFonts w:ascii="宋体" w:hAnsi="宋体"/>
                <w:color w:val="auto"/>
                <w:szCs w:val="21"/>
                <w:highlight w:val="none"/>
              </w:rPr>
            </w:pPr>
          </w:p>
        </w:tc>
      </w:tr>
    </w:tbl>
    <w:p w14:paraId="6683F61F">
      <w:pPr>
        <w:pStyle w:val="20"/>
        <w:rPr>
          <w:rFonts w:ascii="宋体" w:hAnsi="宋体"/>
          <w:color w:val="auto"/>
          <w:szCs w:val="21"/>
          <w:highlight w:val="none"/>
        </w:rPr>
      </w:pPr>
    </w:p>
    <w:p w14:paraId="1ED1B0C9">
      <w:pPr>
        <w:pStyle w:val="20"/>
        <w:rPr>
          <w:rFonts w:ascii="宋体" w:hAnsi="宋体"/>
          <w:color w:val="auto"/>
          <w:szCs w:val="21"/>
          <w:highlight w:val="none"/>
        </w:rPr>
      </w:pPr>
      <w:r>
        <w:rPr>
          <w:rFonts w:hint="eastAsia" w:ascii="宋体" w:hAnsi="宋体"/>
          <w:color w:val="auto"/>
          <w:szCs w:val="21"/>
          <w:highlight w:val="none"/>
        </w:rPr>
        <w:t>注：</w:t>
      </w:r>
    </w:p>
    <w:p w14:paraId="328A4C72">
      <w:pPr>
        <w:pStyle w:val="20"/>
        <w:numPr>
          <w:ilvl w:val="0"/>
          <w:numId w:val="16"/>
        </w:numPr>
        <w:rPr>
          <w:rFonts w:ascii="宋体" w:hAnsi="宋体"/>
          <w:color w:val="auto"/>
          <w:szCs w:val="21"/>
          <w:highlight w:val="none"/>
        </w:rPr>
      </w:pPr>
      <w:r>
        <w:rPr>
          <w:rFonts w:hint="eastAsia" w:ascii="宋体" w:hAnsi="宋体"/>
          <w:color w:val="auto"/>
          <w:szCs w:val="21"/>
          <w:highlight w:val="none"/>
        </w:rPr>
        <w:t>该表格为参考格式，投标人可按实际情况自行制订。</w:t>
      </w:r>
    </w:p>
    <w:p w14:paraId="239D32F7">
      <w:pPr>
        <w:pStyle w:val="20"/>
        <w:numPr>
          <w:ilvl w:val="0"/>
          <w:numId w:val="16"/>
        </w:numPr>
        <w:rPr>
          <w:rFonts w:ascii="宋体" w:hAnsi="宋体"/>
          <w:color w:val="auto"/>
          <w:szCs w:val="21"/>
          <w:highlight w:val="none"/>
        </w:rPr>
      </w:pPr>
      <w:r>
        <w:rPr>
          <w:rFonts w:hint="eastAsia" w:ascii="宋体" w:hAnsi="宋体"/>
          <w:color w:val="auto"/>
          <w:szCs w:val="21"/>
          <w:highlight w:val="none"/>
        </w:rPr>
        <w:t>业绩表所列出的材料应为真实准确的，并应提供相关证明材料复印件加盖公章。请勿提供虚假、过期材料，否则将依据相关规定严肃处理。</w:t>
      </w:r>
    </w:p>
    <w:p w14:paraId="332C9F42">
      <w:pPr>
        <w:pStyle w:val="5"/>
        <w:ind w:firstLine="422" w:firstLineChars="200"/>
        <w:rPr>
          <w:rFonts w:hint="eastAsia" w:ascii="宋体" w:hAnsi="宋体"/>
          <w:b/>
          <w:bCs/>
          <w:color w:val="auto"/>
          <w:sz w:val="21"/>
          <w:szCs w:val="21"/>
          <w:highlight w:val="none"/>
          <w:lang w:val="en-US" w:eastAsia="zh-CN"/>
        </w:rPr>
      </w:pPr>
      <w:r>
        <w:rPr>
          <w:rFonts w:hint="eastAsia" w:ascii="宋体" w:hAnsi="宋体"/>
          <w:b/>
          <w:bCs/>
          <w:color w:val="auto"/>
          <w:sz w:val="21"/>
          <w:szCs w:val="21"/>
          <w:highlight w:val="none"/>
          <w:lang w:val="en-US" w:eastAsia="zh-CN"/>
        </w:rPr>
        <w:br w:type="page"/>
      </w:r>
    </w:p>
    <w:p w14:paraId="082D95DA">
      <w:pPr>
        <w:outlineLvl w:val="3"/>
        <w:rPr>
          <w:rFonts w:hint="eastAsia" w:ascii="宋体" w:hAnsi="宋体"/>
          <w:b/>
          <w:bCs/>
          <w:color w:val="auto"/>
          <w:szCs w:val="21"/>
          <w:highlight w:val="none"/>
        </w:rPr>
      </w:pPr>
      <w:bookmarkStart w:id="241" w:name="_Toc12915"/>
      <w:r>
        <w:rPr>
          <w:rFonts w:hint="eastAsia" w:ascii="宋体" w:hAnsi="宋体"/>
          <w:b/>
          <w:bCs/>
          <w:color w:val="auto"/>
          <w:sz w:val="21"/>
          <w:szCs w:val="21"/>
          <w:highlight w:val="none"/>
          <w:lang w:val="en-US" w:eastAsia="zh-CN"/>
        </w:rPr>
        <w:t>附件12.投标截止日前6个月内任意1个月</w:t>
      </w:r>
      <w:r>
        <w:rPr>
          <w:rFonts w:hint="eastAsia" w:ascii="宋体" w:hAnsi="宋体"/>
          <w:b/>
          <w:bCs/>
          <w:color w:val="auto"/>
          <w:szCs w:val="21"/>
          <w:highlight w:val="none"/>
        </w:rPr>
        <w:t>依法缴纳税收及无欠税的证明材料（加盖</w:t>
      </w:r>
      <w:r>
        <w:rPr>
          <w:rFonts w:hint="eastAsia" w:ascii="宋体" w:hAnsi="宋体"/>
          <w:b/>
          <w:bCs/>
          <w:color w:val="auto"/>
          <w:szCs w:val="21"/>
          <w:highlight w:val="none"/>
          <w:lang w:val="en-US" w:eastAsia="zh-CN"/>
        </w:rPr>
        <w:t>投标人</w:t>
      </w:r>
      <w:r>
        <w:rPr>
          <w:rFonts w:hint="eastAsia" w:ascii="宋体" w:hAnsi="宋体"/>
          <w:b/>
          <w:bCs/>
          <w:color w:val="auto"/>
          <w:szCs w:val="21"/>
          <w:highlight w:val="none"/>
        </w:rPr>
        <w:t>公章）</w:t>
      </w:r>
      <w:bookmarkEnd w:id="241"/>
    </w:p>
    <w:p w14:paraId="6E01C1AF">
      <w:pPr>
        <w:rPr>
          <w:rFonts w:hint="eastAsia" w:ascii="宋体" w:hAnsi="宋体"/>
          <w:color w:val="auto"/>
          <w:szCs w:val="21"/>
          <w:highlight w:val="none"/>
        </w:rPr>
      </w:pPr>
      <w:r>
        <w:rPr>
          <w:rFonts w:hint="eastAsia" w:ascii="宋体" w:hAnsi="宋体"/>
          <w:color w:val="auto"/>
          <w:szCs w:val="21"/>
          <w:highlight w:val="none"/>
        </w:rPr>
        <w:t>1.依法缴纳税收证明材料（可参考下面样式，提供</w:t>
      </w:r>
      <w:r>
        <w:rPr>
          <w:rFonts w:hint="eastAsia" w:ascii="宋体" w:hAnsi="宋体"/>
          <w:color w:val="auto"/>
          <w:szCs w:val="21"/>
          <w:highlight w:val="none"/>
          <w:lang w:val="en-US" w:eastAsia="zh-CN"/>
        </w:rPr>
        <w:t>投标人</w:t>
      </w:r>
      <w:r>
        <w:rPr>
          <w:rFonts w:hint="eastAsia" w:ascii="宋体" w:hAnsi="宋体"/>
          <w:color w:val="auto"/>
          <w:szCs w:val="21"/>
          <w:highlight w:val="none"/>
        </w:rPr>
        <w:t>的证明材料）</w:t>
      </w:r>
    </w:p>
    <w:p w14:paraId="7A3F0B32">
      <w:pPr>
        <w:rPr>
          <w:rFonts w:hint="eastAsia" w:ascii="宋体" w:hAnsi="宋体"/>
          <w:color w:val="auto"/>
          <w:szCs w:val="21"/>
          <w:highlight w:val="none"/>
        </w:rPr>
      </w:pPr>
      <w:r>
        <w:rPr>
          <w:rFonts w:hint="eastAsia" w:ascii="宋体" w:hAnsi="宋体"/>
          <w:color w:val="auto"/>
          <w:szCs w:val="21"/>
          <w:highlight w:val="none"/>
          <w:lang w:val="en-US" w:eastAsia="zh-CN"/>
        </w:rPr>
        <w:t>2.</w:t>
      </w:r>
      <w:r>
        <w:rPr>
          <w:rFonts w:hint="eastAsia" w:ascii="宋体" w:hAnsi="宋体"/>
          <w:color w:val="auto"/>
          <w:szCs w:val="21"/>
          <w:highlight w:val="none"/>
        </w:rPr>
        <w:t>无欠税的证明材料（可参考下面样式，提供</w:t>
      </w:r>
      <w:r>
        <w:rPr>
          <w:rFonts w:hint="eastAsia" w:ascii="宋体" w:hAnsi="宋体"/>
          <w:color w:val="auto"/>
          <w:szCs w:val="21"/>
          <w:highlight w:val="none"/>
          <w:lang w:val="en-US" w:eastAsia="zh-CN"/>
        </w:rPr>
        <w:t>投标人</w:t>
      </w:r>
      <w:r>
        <w:rPr>
          <w:rFonts w:hint="eastAsia" w:ascii="宋体" w:hAnsi="宋体"/>
          <w:color w:val="auto"/>
          <w:szCs w:val="21"/>
          <w:highlight w:val="none"/>
        </w:rPr>
        <w:t>的证明材料）</w:t>
      </w:r>
    </w:p>
    <w:p w14:paraId="7BB1F1A8">
      <w:pPr>
        <w:pStyle w:val="6"/>
        <w:rPr>
          <w:color w:val="auto"/>
        </w:rPr>
      </w:pPr>
      <w:r>
        <w:rPr>
          <w:color w:val="auto"/>
        </w:rPr>
        <w:drawing>
          <wp:inline distT="0" distB="0" distL="114300" distR="114300">
            <wp:extent cx="3012440" cy="3867785"/>
            <wp:effectExtent l="0" t="0" r="16510" b="1841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14"/>
                    <a:stretch>
                      <a:fillRect/>
                    </a:stretch>
                  </pic:blipFill>
                  <pic:spPr>
                    <a:xfrm>
                      <a:off x="0" y="0"/>
                      <a:ext cx="3012440" cy="3867785"/>
                    </a:xfrm>
                    <a:prstGeom prst="rect">
                      <a:avLst/>
                    </a:prstGeom>
                    <a:noFill/>
                    <a:ln>
                      <a:noFill/>
                    </a:ln>
                  </pic:spPr>
                </pic:pic>
              </a:graphicData>
            </a:graphic>
          </wp:inline>
        </w:drawing>
      </w:r>
    </w:p>
    <w:p w14:paraId="3B726342">
      <w:pPr>
        <w:rPr>
          <w:color w:val="auto"/>
        </w:rPr>
      </w:pPr>
    </w:p>
    <w:p w14:paraId="448621D6">
      <w:pPr>
        <w:rPr>
          <w:rFonts w:hint="eastAsia" w:ascii="宋体" w:hAnsi="宋体"/>
          <w:color w:val="auto"/>
          <w:sz w:val="21"/>
          <w:szCs w:val="21"/>
          <w:highlight w:val="none"/>
          <w:lang w:val="en-US" w:eastAsia="zh-CN"/>
        </w:rPr>
      </w:pPr>
      <w:r>
        <w:rPr>
          <w:color w:val="auto"/>
        </w:rPr>
        <w:drawing>
          <wp:inline distT="0" distB="0" distL="114300" distR="114300">
            <wp:extent cx="3084830" cy="3278505"/>
            <wp:effectExtent l="0" t="0" r="1270" b="17145"/>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r:embed="rId15"/>
                    <a:stretch>
                      <a:fillRect/>
                    </a:stretch>
                  </pic:blipFill>
                  <pic:spPr>
                    <a:xfrm>
                      <a:off x="0" y="0"/>
                      <a:ext cx="3084830" cy="3278505"/>
                    </a:xfrm>
                    <a:prstGeom prst="rect">
                      <a:avLst/>
                    </a:prstGeom>
                    <a:noFill/>
                    <a:ln>
                      <a:noFill/>
                    </a:ln>
                  </pic:spPr>
                </pic:pic>
              </a:graphicData>
            </a:graphic>
          </wp:inline>
        </w:drawing>
      </w:r>
    </w:p>
    <w:p w14:paraId="58C6E4B2">
      <w:pPr>
        <w:pStyle w:val="4"/>
        <w:widowControl w:val="0"/>
        <w:overflowPunct w:val="0"/>
        <w:spacing w:line="240" w:lineRule="auto"/>
        <w:rPr>
          <w:rFonts w:ascii="宋体" w:hAnsi="宋体"/>
          <w:color w:val="auto"/>
          <w:sz w:val="21"/>
          <w:szCs w:val="21"/>
          <w:highlight w:val="none"/>
        </w:rPr>
      </w:pPr>
      <w:bookmarkStart w:id="242" w:name="_Toc32373"/>
      <w:r>
        <w:rPr>
          <w:rFonts w:hint="eastAsia" w:ascii="宋体" w:hAnsi="宋体"/>
          <w:color w:val="auto"/>
          <w:sz w:val="21"/>
          <w:szCs w:val="21"/>
          <w:highlight w:val="none"/>
        </w:rPr>
        <w:t>附件1</w:t>
      </w:r>
      <w:r>
        <w:rPr>
          <w:rFonts w:hint="eastAsia" w:ascii="宋体" w:hAnsi="宋体"/>
          <w:color w:val="auto"/>
          <w:sz w:val="21"/>
          <w:szCs w:val="21"/>
          <w:highlight w:val="none"/>
          <w:lang w:val="en-US" w:eastAsia="zh-CN"/>
        </w:rPr>
        <w:t>3</w:t>
      </w:r>
      <w:r>
        <w:rPr>
          <w:rFonts w:hint="eastAsia" w:ascii="宋体" w:hAnsi="宋体"/>
          <w:color w:val="auto"/>
          <w:sz w:val="21"/>
          <w:szCs w:val="21"/>
          <w:highlight w:val="none"/>
        </w:rPr>
        <w:t>.用户需求条款偏离表格式</w:t>
      </w:r>
      <w:bookmarkEnd w:id="235"/>
      <w:bookmarkEnd w:id="242"/>
    </w:p>
    <w:p w14:paraId="315D1218">
      <w:pPr>
        <w:jc w:val="center"/>
        <w:rPr>
          <w:rFonts w:ascii="黑体" w:eastAsia="黑体"/>
          <w:color w:val="auto"/>
          <w:sz w:val="28"/>
          <w:szCs w:val="28"/>
          <w:highlight w:val="none"/>
        </w:rPr>
      </w:pPr>
    </w:p>
    <w:p w14:paraId="201AEFA5">
      <w:pPr>
        <w:jc w:val="center"/>
        <w:rPr>
          <w:rFonts w:ascii="黑体" w:eastAsia="黑体"/>
          <w:color w:val="auto"/>
          <w:sz w:val="28"/>
          <w:szCs w:val="28"/>
          <w:highlight w:val="none"/>
        </w:rPr>
      </w:pPr>
      <w:r>
        <w:rPr>
          <w:rFonts w:hint="eastAsia" w:ascii="黑体" w:eastAsia="黑体"/>
          <w:color w:val="auto"/>
          <w:sz w:val="28"/>
          <w:szCs w:val="28"/>
          <w:highlight w:val="none"/>
        </w:rPr>
        <w:t>用户需求条款偏离表</w:t>
      </w:r>
    </w:p>
    <w:tbl>
      <w:tblPr>
        <w:tblStyle w:val="16"/>
        <w:tblW w:w="843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08"/>
        <w:gridCol w:w="1620"/>
        <w:gridCol w:w="1360"/>
        <w:gridCol w:w="1587"/>
        <w:gridCol w:w="1133"/>
        <w:gridCol w:w="1730"/>
      </w:tblGrid>
      <w:tr w14:paraId="1B4EF1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2" w:hRule="atLeast"/>
        </w:trPr>
        <w:tc>
          <w:tcPr>
            <w:tcW w:w="1008" w:type="dxa"/>
            <w:vAlign w:val="center"/>
          </w:tcPr>
          <w:p w14:paraId="7E3A512C">
            <w:pPr>
              <w:jc w:val="center"/>
              <w:rPr>
                <w:rFonts w:ascii="宋体" w:hAnsi="宋体"/>
                <w:color w:val="auto"/>
                <w:szCs w:val="21"/>
                <w:highlight w:val="none"/>
              </w:rPr>
            </w:pPr>
            <w:r>
              <w:rPr>
                <w:rFonts w:hint="eastAsia" w:ascii="宋体" w:hAnsi="宋体"/>
                <w:color w:val="auto"/>
                <w:szCs w:val="21"/>
                <w:highlight w:val="none"/>
              </w:rPr>
              <w:t>序号</w:t>
            </w:r>
          </w:p>
        </w:tc>
        <w:tc>
          <w:tcPr>
            <w:tcW w:w="1620" w:type="dxa"/>
            <w:vAlign w:val="center"/>
          </w:tcPr>
          <w:p w14:paraId="5020E1C9">
            <w:pPr>
              <w:jc w:val="center"/>
              <w:rPr>
                <w:rFonts w:ascii="宋体" w:hAnsi="宋体"/>
                <w:color w:val="auto"/>
                <w:szCs w:val="21"/>
                <w:highlight w:val="none"/>
              </w:rPr>
            </w:pPr>
            <w:r>
              <w:rPr>
                <w:rFonts w:hint="eastAsia" w:ascii="宋体" w:hAnsi="宋体"/>
                <w:color w:val="auto"/>
                <w:szCs w:val="21"/>
                <w:highlight w:val="none"/>
              </w:rPr>
              <w:t>服务项目名称</w:t>
            </w:r>
          </w:p>
        </w:tc>
        <w:tc>
          <w:tcPr>
            <w:tcW w:w="1360" w:type="dxa"/>
            <w:vAlign w:val="center"/>
          </w:tcPr>
          <w:p w14:paraId="2932E071">
            <w:pPr>
              <w:jc w:val="center"/>
              <w:rPr>
                <w:rFonts w:ascii="宋体" w:hAnsi="宋体"/>
                <w:color w:val="auto"/>
                <w:szCs w:val="21"/>
                <w:highlight w:val="none"/>
              </w:rPr>
            </w:pPr>
            <w:r>
              <w:rPr>
                <w:rFonts w:hint="eastAsia" w:ascii="宋体" w:hAnsi="宋体"/>
                <w:color w:val="auto"/>
                <w:szCs w:val="21"/>
                <w:highlight w:val="none"/>
              </w:rPr>
              <w:t>采购要求</w:t>
            </w:r>
          </w:p>
        </w:tc>
        <w:tc>
          <w:tcPr>
            <w:tcW w:w="1587" w:type="dxa"/>
            <w:vAlign w:val="center"/>
          </w:tcPr>
          <w:p w14:paraId="3EEEC5C3">
            <w:pPr>
              <w:jc w:val="center"/>
              <w:rPr>
                <w:rFonts w:ascii="宋体" w:hAnsi="宋体"/>
                <w:color w:val="auto"/>
                <w:szCs w:val="21"/>
                <w:highlight w:val="none"/>
              </w:rPr>
            </w:pPr>
            <w:r>
              <w:rPr>
                <w:rFonts w:hint="eastAsia" w:ascii="宋体" w:hAnsi="宋体"/>
                <w:color w:val="auto"/>
                <w:szCs w:val="21"/>
                <w:highlight w:val="none"/>
              </w:rPr>
              <w:t>投标实际响应</w:t>
            </w:r>
          </w:p>
        </w:tc>
        <w:tc>
          <w:tcPr>
            <w:tcW w:w="1133" w:type="dxa"/>
            <w:vAlign w:val="center"/>
          </w:tcPr>
          <w:p w14:paraId="327A5801">
            <w:pPr>
              <w:jc w:val="center"/>
              <w:rPr>
                <w:rFonts w:ascii="宋体" w:hAnsi="宋体"/>
                <w:color w:val="auto"/>
                <w:szCs w:val="21"/>
                <w:highlight w:val="none"/>
              </w:rPr>
            </w:pPr>
            <w:r>
              <w:rPr>
                <w:rFonts w:hint="eastAsia" w:ascii="宋体" w:hAnsi="宋体"/>
                <w:color w:val="auto"/>
                <w:szCs w:val="21"/>
                <w:highlight w:val="none"/>
              </w:rPr>
              <w:t>是否偏离</w:t>
            </w:r>
          </w:p>
        </w:tc>
        <w:tc>
          <w:tcPr>
            <w:tcW w:w="1730" w:type="dxa"/>
            <w:vAlign w:val="center"/>
          </w:tcPr>
          <w:p w14:paraId="688F4424">
            <w:pPr>
              <w:jc w:val="center"/>
              <w:rPr>
                <w:rFonts w:ascii="宋体" w:hAnsi="宋体"/>
                <w:color w:val="auto"/>
                <w:szCs w:val="21"/>
                <w:highlight w:val="none"/>
              </w:rPr>
            </w:pPr>
            <w:r>
              <w:rPr>
                <w:rFonts w:hint="eastAsia" w:ascii="宋体" w:hAnsi="宋体"/>
                <w:color w:val="auto"/>
                <w:szCs w:val="21"/>
                <w:highlight w:val="none"/>
              </w:rPr>
              <w:t>说明</w:t>
            </w:r>
          </w:p>
        </w:tc>
      </w:tr>
      <w:tr w14:paraId="686B48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08" w:type="dxa"/>
            <w:vAlign w:val="center"/>
          </w:tcPr>
          <w:p w14:paraId="38AFA47D">
            <w:pPr>
              <w:jc w:val="center"/>
              <w:rPr>
                <w:rFonts w:ascii="宋体" w:hAnsi="宋体"/>
                <w:color w:val="auto"/>
                <w:szCs w:val="21"/>
                <w:highlight w:val="none"/>
              </w:rPr>
            </w:pPr>
          </w:p>
        </w:tc>
        <w:tc>
          <w:tcPr>
            <w:tcW w:w="1620" w:type="dxa"/>
            <w:vAlign w:val="center"/>
          </w:tcPr>
          <w:p w14:paraId="4C716FE5">
            <w:pPr>
              <w:jc w:val="center"/>
              <w:rPr>
                <w:rFonts w:ascii="宋体" w:hAnsi="宋体"/>
                <w:color w:val="auto"/>
                <w:szCs w:val="21"/>
                <w:highlight w:val="none"/>
              </w:rPr>
            </w:pPr>
          </w:p>
        </w:tc>
        <w:tc>
          <w:tcPr>
            <w:tcW w:w="1360" w:type="dxa"/>
            <w:vAlign w:val="center"/>
          </w:tcPr>
          <w:p w14:paraId="23756EDA">
            <w:pPr>
              <w:jc w:val="center"/>
              <w:rPr>
                <w:rFonts w:ascii="宋体" w:hAnsi="宋体"/>
                <w:color w:val="auto"/>
                <w:szCs w:val="21"/>
                <w:highlight w:val="none"/>
              </w:rPr>
            </w:pPr>
          </w:p>
        </w:tc>
        <w:tc>
          <w:tcPr>
            <w:tcW w:w="1587" w:type="dxa"/>
            <w:vAlign w:val="center"/>
          </w:tcPr>
          <w:p w14:paraId="5527539D">
            <w:pPr>
              <w:jc w:val="center"/>
              <w:rPr>
                <w:rFonts w:ascii="宋体" w:hAnsi="宋体"/>
                <w:color w:val="auto"/>
                <w:szCs w:val="21"/>
                <w:highlight w:val="none"/>
              </w:rPr>
            </w:pPr>
          </w:p>
        </w:tc>
        <w:tc>
          <w:tcPr>
            <w:tcW w:w="1133" w:type="dxa"/>
            <w:vAlign w:val="center"/>
          </w:tcPr>
          <w:p w14:paraId="199849D2">
            <w:pPr>
              <w:jc w:val="center"/>
              <w:rPr>
                <w:rFonts w:ascii="宋体" w:hAnsi="宋体"/>
                <w:color w:val="auto"/>
                <w:szCs w:val="21"/>
                <w:highlight w:val="none"/>
              </w:rPr>
            </w:pPr>
          </w:p>
        </w:tc>
        <w:tc>
          <w:tcPr>
            <w:tcW w:w="1730" w:type="dxa"/>
            <w:vAlign w:val="center"/>
          </w:tcPr>
          <w:p w14:paraId="03C995A7">
            <w:pPr>
              <w:jc w:val="center"/>
              <w:rPr>
                <w:rFonts w:ascii="宋体" w:hAnsi="宋体"/>
                <w:color w:val="auto"/>
                <w:szCs w:val="21"/>
                <w:highlight w:val="none"/>
              </w:rPr>
            </w:pPr>
          </w:p>
        </w:tc>
      </w:tr>
      <w:tr w14:paraId="528C7F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08" w:type="dxa"/>
            <w:vAlign w:val="center"/>
          </w:tcPr>
          <w:p w14:paraId="46DEB797">
            <w:pPr>
              <w:jc w:val="center"/>
              <w:rPr>
                <w:rFonts w:ascii="宋体" w:hAnsi="宋体"/>
                <w:color w:val="auto"/>
                <w:szCs w:val="21"/>
                <w:highlight w:val="none"/>
              </w:rPr>
            </w:pPr>
          </w:p>
        </w:tc>
        <w:tc>
          <w:tcPr>
            <w:tcW w:w="1620" w:type="dxa"/>
            <w:vAlign w:val="center"/>
          </w:tcPr>
          <w:p w14:paraId="25CED034">
            <w:pPr>
              <w:jc w:val="center"/>
              <w:rPr>
                <w:rFonts w:ascii="宋体" w:hAnsi="宋体"/>
                <w:color w:val="auto"/>
                <w:szCs w:val="21"/>
                <w:highlight w:val="none"/>
              </w:rPr>
            </w:pPr>
          </w:p>
        </w:tc>
        <w:tc>
          <w:tcPr>
            <w:tcW w:w="1360" w:type="dxa"/>
            <w:vAlign w:val="center"/>
          </w:tcPr>
          <w:p w14:paraId="1740D271">
            <w:pPr>
              <w:jc w:val="center"/>
              <w:rPr>
                <w:rFonts w:ascii="宋体" w:hAnsi="宋体"/>
                <w:color w:val="auto"/>
                <w:szCs w:val="21"/>
                <w:highlight w:val="none"/>
              </w:rPr>
            </w:pPr>
          </w:p>
        </w:tc>
        <w:tc>
          <w:tcPr>
            <w:tcW w:w="1587" w:type="dxa"/>
            <w:vAlign w:val="center"/>
          </w:tcPr>
          <w:p w14:paraId="0CAC3EF9">
            <w:pPr>
              <w:jc w:val="center"/>
              <w:rPr>
                <w:rFonts w:ascii="宋体" w:hAnsi="宋体"/>
                <w:color w:val="auto"/>
                <w:szCs w:val="21"/>
                <w:highlight w:val="none"/>
              </w:rPr>
            </w:pPr>
          </w:p>
        </w:tc>
        <w:tc>
          <w:tcPr>
            <w:tcW w:w="1133" w:type="dxa"/>
            <w:vAlign w:val="center"/>
          </w:tcPr>
          <w:p w14:paraId="4A53D24E">
            <w:pPr>
              <w:jc w:val="center"/>
              <w:rPr>
                <w:rFonts w:ascii="宋体" w:hAnsi="宋体"/>
                <w:color w:val="auto"/>
                <w:szCs w:val="21"/>
                <w:highlight w:val="none"/>
              </w:rPr>
            </w:pPr>
          </w:p>
        </w:tc>
        <w:tc>
          <w:tcPr>
            <w:tcW w:w="1730" w:type="dxa"/>
            <w:vAlign w:val="center"/>
          </w:tcPr>
          <w:p w14:paraId="39EFB7BE">
            <w:pPr>
              <w:jc w:val="center"/>
              <w:rPr>
                <w:rFonts w:ascii="宋体" w:hAnsi="宋体"/>
                <w:color w:val="auto"/>
                <w:szCs w:val="21"/>
                <w:highlight w:val="none"/>
              </w:rPr>
            </w:pPr>
          </w:p>
        </w:tc>
      </w:tr>
      <w:tr w14:paraId="382372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08" w:type="dxa"/>
            <w:vAlign w:val="center"/>
          </w:tcPr>
          <w:p w14:paraId="610F5747">
            <w:pPr>
              <w:jc w:val="center"/>
              <w:rPr>
                <w:rFonts w:ascii="宋体" w:hAnsi="宋体"/>
                <w:color w:val="auto"/>
                <w:szCs w:val="21"/>
                <w:highlight w:val="none"/>
              </w:rPr>
            </w:pPr>
          </w:p>
        </w:tc>
        <w:tc>
          <w:tcPr>
            <w:tcW w:w="1620" w:type="dxa"/>
            <w:vAlign w:val="center"/>
          </w:tcPr>
          <w:p w14:paraId="3154C5CA">
            <w:pPr>
              <w:jc w:val="center"/>
              <w:rPr>
                <w:rFonts w:ascii="宋体" w:hAnsi="宋体"/>
                <w:color w:val="auto"/>
                <w:szCs w:val="21"/>
                <w:highlight w:val="none"/>
              </w:rPr>
            </w:pPr>
          </w:p>
        </w:tc>
        <w:tc>
          <w:tcPr>
            <w:tcW w:w="1360" w:type="dxa"/>
            <w:vAlign w:val="center"/>
          </w:tcPr>
          <w:p w14:paraId="1B9BAD7E">
            <w:pPr>
              <w:jc w:val="center"/>
              <w:rPr>
                <w:rFonts w:ascii="宋体" w:hAnsi="宋体"/>
                <w:color w:val="auto"/>
                <w:szCs w:val="21"/>
                <w:highlight w:val="none"/>
              </w:rPr>
            </w:pPr>
          </w:p>
        </w:tc>
        <w:tc>
          <w:tcPr>
            <w:tcW w:w="1587" w:type="dxa"/>
            <w:vAlign w:val="center"/>
          </w:tcPr>
          <w:p w14:paraId="240F968B">
            <w:pPr>
              <w:jc w:val="center"/>
              <w:rPr>
                <w:rFonts w:ascii="宋体" w:hAnsi="宋体"/>
                <w:color w:val="auto"/>
                <w:szCs w:val="21"/>
                <w:highlight w:val="none"/>
              </w:rPr>
            </w:pPr>
          </w:p>
        </w:tc>
        <w:tc>
          <w:tcPr>
            <w:tcW w:w="1133" w:type="dxa"/>
            <w:vAlign w:val="center"/>
          </w:tcPr>
          <w:p w14:paraId="74EFAB6A">
            <w:pPr>
              <w:jc w:val="center"/>
              <w:rPr>
                <w:rFonts w:ascii="宋体" w:hAnsi="宋体"/>
                <w:color w:val="auto"/>
                <w:szCs w:val="21"/>
                <w:highlight w:val="none"/>
              </w:rPr>
            </w:pPr>
          </w:p>
        </w:tc>
        <w:tc>
          <w:tcPr>
            <w:tcW w:w="1730" w:type="dxa"/>
            <w:vAlign w:val="center"/>
          </w:tcPr>
          <w:p w14:paraId="3FE1A576">
            <w:pPr>
              <w:jc w:val="center"/>
              <w:rPr>
                <w:rFonts w:ascii="宋体" w:hAnsi="宋体"/>
                <w:color w:val="auto"/>
                <w:szCs w:val="21"/>
                <w:highlight w:val="none"/>
              </w:rPr>
            </w:pPr>
          </w:p>
        </w:tc>
      </w:tr>
    </w:tbl>
    <w:p w14:paraId="0689B541">
      <w:pPr>
        <w:rPr>
          <w:rFonts w:ascii="宋体" w:hAnsi="宋体"/>
          <w:color w:val="auto"/>
          <w:szCs w:val="21"/>
          <w:highlight w:val="none"/>
        </w:rPr>
      </w:pPr>
    </w:p>
    <w:p w14:paraId="369819F5">
      <w:pPr>
        <w:rPr>
          <w:rFonts w:hint="eastAsia" w:ascii="宋体" w:hAnsi="宋体"/>
          <w:color w:val="auto"/>
          <w:szCs w:val="21"/>
          <w:highlight w:val="none"/>
        </w:rPr>
      </w:pPr>
      <w:r>
        <w:rPr>
          <w:rFonts w:hint="eastAsia" w:ascii="宋体" w:hAnsi="宋体"/>
          <w:color w:val="auto"/>
          <w:szCs w:val="21"/>
          <w:highlight w:val="none"/>
        </w:rPr>
        <w:t>投标人名称（加盖公章）：</w:t>
      </w:r>
    </w:p>
    <w:p w14:paraId="5220D8EA">
      <w:pPr>
        <w:rPr>
          <w:rFonts w:ascii="宋体" w:hAnsi="宋体"/>
          <w:color w:val="auto"/>
          <w:szCs w:val="21"/>
          <w:highlight w:val="none"/>
        </w:rPr>
      </w:pPr>
      <w:r>
        <w:rPr>
          <w:rFonts w:hint="eastAsia" w:ascii="宋体" w:hAnsi="宋体"/>
          <w:color w:val="auto"/>
          <w:szCs w:val="21"/>
          <w:highlight w:val="none"/>
        </w:rPr>
        <w:t>日      期：</w:t>
      </w:r>
    </w:p>
    <w:p w14:paraId="114DD84F">
      <w:pPr>
        <w:pStyle w:val="6"/>
        <w:rPr>
          <w:color w:val="auto"/>
        </w:rPr>
      </w:pPr>
    </w:p>
    <w:p w14:paraId="3119FE5D">
      <w:pPr>
        <w:spacing w:after="0" w:line="360" w:lineRule="auto"/>
        <w:rPr>
          <w:rFonts w:ascii="宋体" w:hAnsi="宋体" w:eastAsia="宋体"/>
          <w:color w:val="auto"/>
          <w:sz w:val="21"/>
          <w:szCs w:val="21"/>
          <w:highlight w:val="none"/>
        </w:rPr>
      </w:pPr>
      <w:r>
        <w:rPr>
          <w:rFonts w:hint="eastAsia" w:ascii="宋体" w:hAnsi="宋体"/>
          <w:color w:val="auto"/>
          <w:szCs w:val="21"/>
          <w:highlight w:val="none"/>
        </w:rPr>
        <w:t>注：</w:t>
      </w:r>
      <w:r>
        <w:rPr>
          <w:rFonts w:hint="eastAsia" w:ascii="宋体" w:hAnsi="宋体"/>
          <w:color w:val="auto"/>
          <w:szCs w:val="21"/>
          <w:highlight w:val="none"/>
          <w:lang w:val="en-US" w:eastAsia="zh-CN"/>
        </w:rPr>
        <w:t>1、</w:t>
      </w:r>
      <w:r>
        <w:rPr>
          <w:rFonts w:hint="eastAsia" w:ascii="宋体" w:hAnsi="宋体"/>
          <w:color w:val="auto"/>
          <w:szCs w:val="21"/>
          <w:highlight w:val="none"/>
        </w:rPr>
        <w:t>投标人应根据“用户需求书”规定的商务要求及技术要求进行填写，如完全符合用户需求书要求，可按如下“示例”进行填写。</w:t>
      </w:r>
      <w:r>
        <w:rPr>
          <w:rFonts w:hint="eastAsia" w:ascii="宋体" w:hAnsi="宋体"/>
          <w:color w:val="auto"/>
          <w:sz w:val="21"/>
          <w:szCs w:val="21"/>
          <w:highlight w:val="none"/>
          <w:lang w:val="en-US" w:eastAsia="zh-CN"/>
        </w:rPr>
        <w:t>2</w:t>
      </w:r>
      <w:r>
        <w:rPr>
          <w:rFonts w:hint="eastAsia" w:ascii="宋体" w:hAnsi="宋体" w:eastAsia="宋体"/>
          <w:color w:val="auto"/>
          <w:sz w:val="21"/>
          <w:szCs w:val="21"/>
          <w:highlight w:val="none"/>
        </w:rPr>
        <w:t>、投标人若未填写完整则视为完全响应招标文件的</w:t>
      </w:r>
      <w:r>
        <w:rPr>
          <w:rFonts w:hint="eastAsia" w:ascii="宋体" w:hAnsi="宋体"/>
          <w:color w:val="auto"/>
          <w:szCs w:val="21"/>
          <w:highlight w:val="none"/>
        </w:rPr>
        <w:t>“用户需求书”规定的商务要求及技术</w:t>
      </w:r>
      <w:r>
        <w:rPr>
          <w:rFonts w:hint="eastAsia" w:ascii="宋体" w:hAnsi="宋体"/>
          <w:color w:val="auto"/>
          <w:szCs w:val="21"/>
          <w:highlight w:val="none"/>
          <w:lang w:val="en-US" w:eastAsia="zh-CN"/>
        </w:rPr>
        <w:t>的所有</w:t>
      </w:r>
      <w:r>
        <w:rPr>
          <w:rFonts w:hint="eastAsia" w:ascii="宋体" w:hAnsi="宋体"/>
          <w:color w:val="auto"/>
          <w:szCs w:val="21"/>
          <w:highlight w:val="none"/>
        </w:rPr>
        <w:t>要求</w:t>
      </w:r>
      <w:r>
        <w:rPr>
          <w:rFonts w:hint="eastAsia" w:ascii="宋体" w:hAnsi="宋体" w:eastAsia="宋体"/>
          <w:color w:val="auto"/>
          <w:sz w:val="21"/>
          <w:szCs w:val="21"/>
          <w:highlight w:val="none"/>
        </w:rPr>
        <w:t>，因此对投标人投标产生负面影响的，投标人自行承担后果。</w:t>
      </w:r>
    </w:p>
    <w:p w14:paraId="5C6D49EA">
      <w:pPr>
        <w:rPr>
          <w:rFonts w:hint="eastAsia" w:ascii="宋体" w:hAnsi="宋体" w:cstheme="minorBidi"/>
          <w:b/>
          <w:bCs/>
          <w:color w:val="auto"/>
          <w:szCs w:val="21"/>
          <w:highlight w:val="none"/>
        </w:rPr>
      </w:pPr>
    </w:p>
    <w:p w14:paraId="7CF4F25D">
      <w:pPr>
        <w:rPr>
          <w:rFonts w:hint="eastAsia" w:ascii="宋体" w:hAnsi="宋体" w:cstheme="minorBidi"/>
          <w:b/>
          <w:bCs/>
          <w:color w:val="auto"/>
          <w:szCs w:val="21"/>
          <w:highlight w:val="none"/>
        </w:rPr>
      </w:pPr>
    </w:p>
    <w:p w14:paraId="5F8D87D6">
      <w:pPr>
        <w:rPr>
          <w:rFonts w:ascii="宋体" w:hAnsi="宋体" w:cstheme="minorBidi"/>
          <w:b/>
          <w:bCs/>
          <w:color w:val="auto"/>
          <w:szCs w:val="21"/>
          <w:highlight w:val="none"/>
        </w:rPr>
      </w:pPr>
      <w:r>
        <w:rPr>
          <w:rFonts w:hint="eastAsia" w:ascii="宋体" w:hAnsi="宋体" w:cstheme="minorBidi"/>
          <w:b/>
          <w:bCs/>
          <w:color w:val="auto"/>
          <w:szCs w:val="21"/>
          <w:highlight w:val="none"/>
        </w:rPr>
        <w:t>示例</w:t>
      </w:r>
      <w:r>
        <w:rPr>
          <w:rFonts w:hint="eastAsia" w:ascii="宋体" w:hAnsi="宋体"/>
          <w:b/>
          <w:bCs/>
          <w:color w:val="auto"/>
          <w:szCs w:val="21"/>
          <w:highlight w:val="none"/>
        </w:rPr>
        <w:t>：</w:t>
      </w:r>
    </w:p>
    <w:p w14:paraId="13DCBDC7">
      <w:pPr>
        <w:jc w:val="center"/>
        <w:rPr>
          <w:rFonts w:hAnsi="宋体" w:cs="宋体"/>
          <w:b/>
          <w:bCs/>
          <w:color w:val="auto"/>
          <w:highlight w:val="none"/>
        </w:rPr>
      </w:pPr>
      <w:r>
        <w:rPr>
          <w:rFonts w:hint="eastAsia" w:hAnsi="宋体" w:cs="宋体"/>
          <w:b/>
          <w:bCs/>
          <w:color w:val="auto"/>
          <w:highlight w:val="none"/>
        </w:rPr>
        <w:t>用户需求条款偏离表</w:t>
      </w:r>
    </w:p>
    <w:tbl>
      <w:tblPr>
        <w:tblStyle w:val="16"/>
        <w:tblW w:w="4994"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98"/>
        <w:gridCol w:w="1755"/>
        <w:gridCol w:w="1691"/>
        <w:gridCol w:w="1984"/>
        <w:gridCol w:w="1259"/>
        <w:gridCol w:w="1125"/>
      </w:tblGrid>
      <w:tr w14:paraId="6DB8EC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2" w:hRule="atLeast"/>
        </w:trPr>
        <w:tc>
          <w:tcPr>
            <w:tcW w:w="410" w:type="pct"/>
            <w:vAlign w:val="center"/>
          </w:tcPr>
          <w:p w14:paraId="24C420FB">
            <w:pPr>
              <w:jc w:val="center"/>
              <w:rPr>
                <w:rFonts w:ascii="宋体" w:hAnsi="宋体"/>
                <w:color w:val="auto"/>
                <w:szCs w:val="21"/>
                <w:highlight w:val="none"/>
              </w:rPr>
            </w:pPr>
            <w:r>
              <w:rPr>
                <w:rFonts w:hint="eastAsia" w:ascii="宋体" w:hAnsi="宋体"/>
                <w:color w:val="auto"/>
                <w:szCs w:val="21"/>
                <w:highlight w:val="none"/>
              </w:rPr>
              <w:t>序号</w:t>
            </w:r>
          </w:p>
        </w:tc>
        <w:tc>
          <w:tcPr>
            <w:tcW w:w="1030" w:type="pct"/>
            <w:vAlign w:val="center"/>
          </w:tcPr>
          <w:p w14:paraId="18441FC5">
            <w:pPr>
              <w:jc w:val="center"/>
              <w:rPr>
                <w:rFonts w:ascii="宋体" w:hAnsi="宋体"/>
                <w:color w:val="auto"/>
                <w:szCs w:val="21"/>
                <w:highlight w:val="none"/>
              </w:rPr>
            </w:pPr>
            <w:r>
              <w:rPr>
                <w:rFonts w:hint="eastAsia" w:ascii="宋体" w:hAnsi="宋体"/>
                <w:color w:val="auto"/>
                <w:szCs w:val="21"/>
                <w:highlight w:val="none"/>
              </w:rPr>
              <w:t>项目名称</w:t>
            </w:r>
          </w:p>
        </w:tc>
        <w:tc>
          <w:tcPr>
            <w:tcW w:w="993" w:type="pct"/>
            <w:vAlign w:val="center"/>
          </w:tcPr>
          <w:p w14:paraId="04B8D71D">
            <w:pPr>
              <w:jc w:val="center"/>
              <w:rPr>
                <w:rFonts w:ascii="宋体" w:hAnsi="宋体"/>
                <w:color w:val="auto"/>
                <w:szCs w:val="21"/>
                <w:highlight w:val="none"/>
              </w:rPr>
            </w:pPr>
            <w:r>
              <w:rPr>
                <w:rFonts w:hint="eastAsia" w:ascii="宋体" w:hAnsi="宋体"/>
                <w:color w:val="auto"/>
                <w:szCs w:val="21"/>
                <w:highlight w:val="none"/>
              </w:rPr>
              <w:t>采购要求</w:t>
            </w:r>
          </w:p>
        </w:tc>
        <w:tc>
          <w:tcPr>
            <w:tcW w:w="1165" w:type="pct"/>
            <w:vAlign w:val="center"/>
          </w:tcPr>
          <w:p w14:paraId="5C1C19FF">
            <w:pPr>
              <w:jc w:val="center"/>
              <w:rPr>
                <w:rFonts w:ascii="宋体" w:hAnsi="宋体"/>
                <w:color w:val="auto"/>
                <w:szCs w:val="21"/>
                <w:highlight w:val="none"/>
              </w:rPr>
            </w:pPr>
            <w:r>
              <w:rPr>
                <w:rFonts w:hint="eastAsia" w:ascii="宋体" w:hAnsi="宋体"/>
                <w:color w:val="auto"/>
                <w:szCs w:val="21"/>
                <w:highlight w:val="none"/>
              </w:rPr>
              <w:t>投标实际响应</w:t>
            </w:r>
          </w:p>
        </w:tc>
        <w:tc>
          <w:tcPr>
            <w:tcW w:w="739" w:type="pct"/>
            <w:vAlign w:val="center"/>
          </w:tcPr>
          <w:p w14:paraId="6A7ED3BE">
            <w:pPr>
              <w:jc w:val="center"/>
              <w:rPr>
                <w:rFonts w:ascii="宋体" w:hAnsi="宋体"/>
                <w:color w:val="auto"/>
                <w:szCs w:val="21"/>
                <w:highlight w:val="none"/>
              </w:rPr>
            </w:pPr>
            <w:r>
              <w:rPr>
                <w:rFonts w:hint="eastAsia" w:ascii="宋体" w:hAnsi="宋体"/>
                <w:color w:val="auto"/>
                <w:szCs w:val="21"/>
                <w:highlight w:val="none"/>
              </w:rPr>
              <w:t>是否偏离</w:t>
            </w:r>
          </w:p>
        </w:tc>
        <w:tc>
          <w:tcPr>
            <w:tcW w:w="660" w:type="pct"/>
            <w:vAlign w:val="center"/>
          </w:tcPr>
          <w:p w14:paraId="359CA609">
            <w:pPr>
              <w:jc w:val="center"/>
              <w:rPr>
                <w:rFonts w:ascii="宋体" w:hAnsi="宋体"/>
                <w:color w:val="auto"/>
                <w:szCs w:val="21"/>
                <w:highlight w:val="none"/>
              </w:rPr>
            </w:pPr>
            <w:r>
              <w:rPr>
                <w:rFonts w:hint="eastAsia" w:ascii="宋体" w:hAnsi="宋体"/>
                <w:color w:val="auto"/>
                <w:szCs w:val="21"/>
                <w:highlight w:val="none"/>
              </w:rPr>
              <w:t>说明</w:t>
            </w:r>
          </w:p>
        </w:tc>
      </w:tr>
      <w:tr w14:paraId="1CD5ED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10" w:type="pct"/>
            <w:vAlign w:val="center"/>
          </w:tcPr>
          <w:p w14:paraId="380B314B">
            <w:pPr>
              <w:jc w:val="center"/>
              <w:rPr>
                <w:rFonts w:ascii="宋体" w:hAnsi="宋体"/>
                <w:color w:val="auto"/>
                <w:szCs w:val="21"/>
                <w:highlight w:val="none"/>
              </w:rPr>
            </w:pPr>
            <w:r>
              <w:rPr>
                <w:rFonts w:hint="eastAsia" w:ascii="宋体" w:hAnsi="宋体"/>
                <w:color w:val="auto"/>
                <w:szCs w:val="21"/>
                <w:highlight w:val="none"/>
              </w:rPr>
              <w:t>1</w:t>
            </w:r>
          </w:p>
        </w:tc>
        <w:tc>
          <w:tcPr>
            <w:tcW w:w="1030" w:type="pct"/>
            <w:vAlign w:val="center"/>
          </w:tcPr>
          <w:p w14:paraId="6967EB00">
            <w:pPr>
              <w:jc w:val="center"/>
              <w:rPr>
                <w:rFonts w:hint="default" w:ascii="宋体" w:hAnsi="宋体" w:eastAsia="宋体"/>
                <w:color w:val="auto"/>
                <w:szCs w:val="21"/>
                <w:highlight w:val="none"/>
                <w:lang w:val="en-US" w:eastAsia="zh-CN"/>
              </w:rPr>
            </w:pPr>
            <w:r>
              <w:rPr>
                <w:rFonts w:hint="eastAsia" w:ascii="宋体" w:hAnsi="宋体"/>
                <w:color w:val="auto"/>
                <w:szCs w:val="21"/>
                <w:highlight w:val="none"/>
                <w:lang w:eastAsia="zh-CN"/>
              </w:rPr>
              <w:t>餐厨项目2025年度定点维修服务项目（</w:t>
            </w:r>
            <w:r>
              <w:rPr>
                <w:rFonts w:hint="eastAsia" w:ascii="宋体" w:hAnsi="宋体"/>
                <w:color w:val="auto"/>
                <w:szCs w:val="21"/>
                <w:highlight w:val="none"/>
                <w:lang w:val="en-US" w:eastAsia="zh-CN"/>
              </w:rPr>
              <w:t>第三次采购</w:t>
            </w:r>
            <w:r>
              <w:rPr>
                <w:rFonts w:hint="eastAsia" w:ascii="宋体" w:hAnsi="宋体"/>
                <w:color w:val="auto"/>
                <w:szCs w:val="21"/>
                <w:highlight w:val="none"/>
                <w:lang w:eastAsia="zh-CN"/>
              </w:rPr>
              <w:t>）</w:t>
            </w:r>
          </w:p>
        </w:tc>
        <w:tc>
          <w:tcPr>
            <w:tcW w:w="993" w:type="pct"/>
            <w:vAlign w:val="center"/>
          </w:tcPr>
          <w:p w14:paraId="763AD32F">
            <w:pPr>
              <w:jc w:val="center"/>
              <w:rPr>
                <w:rFonts w:ascii="宋体" w:hAnsi="宋体"/>
                <w:color w:val="auto"/>
                <w:szCs w:val="21"/>
                <w:highlight w:val="none"/>
              </w:rPr>
            </w:pPr>
            <w:r>
              <w:rPr>
                <w:rFonts w:hint="eastAsia" w:ascii="宋体" w:hAnsi="宋体"/>
                <w:color w:val="auto"/>
                <w:szCs w:val="21"/>
                <w:highlight w:val="none"/>
              </w:rPr>
              <w:t>采购文件</w:t>
            </w:r>
            <w:r>
              <w:rPr>
                <w:rFonts w:hint="eastAsia" w:ascii="宋体" w:hAnsi="宋体"/>
                <w:color w:val="auto"/>
                <w:szCs w:val="21"/>
                <w:highlight w:val="none"/>
                <w:lang w:val="en-US" w:eastAsia="zh-CN"/>
              </w:rPr>
              <w:t>用户</w:t>
            </w:r>
            <w:r>
              <w:rPr>
                <w:rFonts w:hint="eastAsia" w:ascii="宋体" w:hAnsi="宋体"/>
                <w:color w:val="auto"/>
                <w:szCs w:val="21"/>
                <w:highlight w:val="none"/>
              </w:rPr>
              <w:t>需求书所列的所有条款要求。</w:t>
            </w:r>
          </w:p>
        </w:tc>
        <w:tc>
          <w:tcPr>
            <w:tcW w:w="1165" w:type="pct"/>
            <w:vAlign w:val="center"/>
          </w:tcPr>
          <w:p w14:paraId="6F4BFB57">
            <w:pPr>
              <w:jc w:val="center"/>
              <w:rPr>
                <w:rFonts w:ascii="宋体" w:hAnsi="宋体"/>
                <w:color w:val="auto"/>
                <w:szCs w:val="21"/>
                <w:highlight w:val="none"/>
              </w:rPr>
            </w:pPr>
            <w:r>
              <w:rPr>
                <w:rFonts w:hint="eastAsia" w:ascii="宋体" w:hAnsi="宋体"/>
                <w:color w:val="auto"/>
                <w:szCs w:val="21"/>
                <w:highlight w:val="none"/>
              </w:rPr>
              <w:t>完全响应采购文件</w:t>
            </w:r>
            <w:r>
              <w:rPr>
                <w:rFonts w:hint="eastAsia" w:ascii="宋体" w:hAnsi="宋体"/>
                <w:color w:val="auto"/>
                <w:szCs w:val="21"/>
                <w:highlight w:val="none"/>
                <w:lang w:val="en-US" w:eastAsia="zh-CN"/>
              </w:rPr>
              <w:t>用户</w:t>
            </w:r>
            <w:r>
              <w:rPr>
                <w:rFonts w:hint="eastAsia" w:ascii="宋体" w:hAnsi="宋体"/>
                <w:color w:val="auto"/>
                <w:szCs w:val="21"/>
                <w:highlight w:val="none"/>
              </w:rPr>
              <w:t>需求书所列的所有条款要求</w:t>
            </w:r>
          </w:p>
        </w:tc>
        <w:tc>
          <w:tcPr>
            <w:tcW w:w="739" w:type="pct"/>
            <w:vAlign w:val="center"/>
          </w:tcPr>
          <w:p w14:paraId="58890DEA">
            <w:pPr>
              <w:jc w:val="center"/>
              <w:rPr>
                <w:rFonts w:ascii="宋体" w:hAnsi="宋体"/>
                <w:color w:val="auto"/>
                <w:szCs w:val="21"/>
                <w:highlight w:val="none"/>
              </w:rPr>
            </w:pPr>
            <w:r>
              <w:rPr>
                <w:rFonts w:hint="eastAsia" w:ascii="宋体" w:hAnsi="宋体"/>
                <w:color w:val="auto"/>
                <w:szCs w:val="21"/>
                <w:highlight w:val="none"/>
              </w:rPr>
              <w:t>无</w:t>
            </w:r>
          </w:p>
        </w:tc>
        <w:tc>
          <w:tcPr>
            <w:tcW w:w="660" w:type="pct"/>
            <w:vAlign w:val="center"/>
          </w:tcPr>
          <w:p w14:paraId="4284702F">
            <w:pPr>
              <w:jc w:val="center"/>
              <w:rPr>
                <w:rFonts w:ascii="宋体" w:hAnsi="宋体"/>
                <w:color w:val="auto"/>
                <w:szCs w:val="21"/>
                <w:highlight w:val="none"/>
              </w:rPr>
            </w:pPr>
            <w:r>
              <w:rPr>
                <w:rFonts w:hint="eastAsia" w:ascii="宋体" w:hAnsi="宋体"/>
                <w:color w:val="auto"/>
                <w:szCs w:val="21"/>
                <w:highlight w:val="none"/>
              </w:rPr>
              <w:t>无</w:t>
            </w:r>
          </w:p>
        </w:tc>
      </w:tr>
    </w:tbl>
    <w:p w14:paraId="769FA56D">
      <w:pPr>
        <w:rPr>
          <w:rFonts w:hint="eastAsia" w:ascii="宋体" w:hAnsi="宋体"/>
          <w:color w:val="auto"/>
          <w:szCs w:val="21"/>
          <w:highlight w:val="none"/>
        </w:rPr>
      </w:pPr>
    </w:p>
    <w:p w14:paraId="69902D0C">
      <w:pPr>
        <w:ind w:right="561" w:firstLine="420" w:firstLineChars="200"/>
        <w:rPr>
          <w:rFonts w:ascii="宋体" w:hAnsi="宋体" w:cs="宋体"/>
          <w:color w:val="auto"/>
          <w:szCs w:val="21"/>
          <w:highlight w:val="none"/>
        </w:rPr>
      </w:pPr>
      <w:r>
        <w:rPr>
          <w:rFonts w:hint="eastAsia" w:ascii="宋体" w:hAnsi="宋体" w:cs="宋体"/>
          <w:color w:val="auto"/>
          <w:szCs w:val="21"/>
          <w:highlight w:val="none"/>
        </w:rPr>
        <w:t>投标人名称（加盖公章）：</w:t>
      </w:r>
    </w:p>
    <w:p w14:paraId="46E289C7">
      <w:pPr>
        <w:ind w:right="561" w:firstLine="420" w:firstLineChars="200"/>
        <w:rPr>
          <w:rFonts w:ascii="宋体" w:hAnsi="宋体" w:cs="宋体"/>
          <w:color w:val="auto"/>
          <w:szCs w:val="21"/>
          <w:highlight w:val="none"/>
        </w:rPr>
      </w:pPr>
      <w:r>
        <w:rPr>
          <w:rFonts w:hint="eastAsia" w:ascii="宋体" w:hAnsi="宋体" w:cs="宋体"/>
          <w:color w:val="auto"/>
          <w:szCs w:val="21"/>
          <w:highlight w:val="none"/>
        </w:rPr>
        <w:t>日      期：</w:t>
      </w:r>
    </w:p>
    <w:p w14:paraId="280F071D">
      <w:pPr>
        <w:rPr>
          <w:rFonts w:ascii="宋体" w:hAnsi="宋体"/>
          <w:color w:val="auto"/>
          <w:szCs w:val="21"/>
          <w:highlight w:val="none"/>
        </w:rPr>
      </w:pPr>
      <w:r>
        <w:rPr>
          <w:rFonts w:hint="eastAsia" w:ascii="宋体" w:hAnsi="宋体"/>
          <w:color w:val="auto"/>
          <w:szCs w:val="21"/>
          <w:highlight w:val="none"/>
        </w:rPr>
        <w:br w:type="page"/>
      </w:r>
    </w:p>
    <w:p w14:paraId="6C0B6AD6">
      <w:pPr>
        <w:pStyle w:val="6"/>
        <w:rPr>
          <w:color w:val="auto"/>
          <w:szCs w:val="21"/>
          <w:highlight w:val="none"/>
        </w:rPr>
        <w:sectPr>
          <w:headerReference r:id="rId7" w:type="first"/>
          <w:footerReference r:id="rId9" w:type="first"/>
          <w:headerReference r:id="rId5" w:type="default"/>
          <w:footerReference r:id="rId8" w:type="default"/>
          <w:headerReference r:id="rId6" w:type="even"/>
          <w:pgSz w:w="11906" w:h="16838"/>
          <w:pgMar w:top="1440" w:right="1800" w:bottom="1440" w:left="1800" w:header="708" w:footer="708" w:gutter="0"/>
          <w:cols w:space="708" w:num="1"/>
          <w:titlePg/>
          <w:docGrid w:type="lines" w:linePitch="360" w:charSpace="0"/>
        </w:sectPr>
      </w:pPr>
    </w:p>
    <w:p w14:paraId="2C35C8B0">
      <w:pPr>
        <w:pStyle w:val="4"/>
        <w:widowControl w:val="0"/>
        <w:overflowPunct w:val="0"/>
        <w:spacing w:line="240" w:lineRule="auto"/>
        <w:rPr>
          <w:color w:val="auto"/>
          <w:highlight w:val="none"/>
        </w:rPr>
      </w:pPr>
      <w:bookmarkStart w:id="243" w:name="_Toc15162"/>
      <w:bookmarkStart w:id="244" w:name="_Toc25343"/>
      <w:r>
        <w:rPr>
          <w:rFonts w:hint="eastAsia" w:ascii="宋体" w:hAnsi="宋体"/>
          <w:color w:val="auto"/>
          <w:sz w:val="21"/>
          <w:szCs w:val="21"/>
          <w:highlight w:val="none"/>
        </w:rPr>
        <w:t>附件1</w:t>
      </w:r>
      <w:r>
        <w:rPr>
          <w:rFonts w:hint="eastAsia" w:ascii="宋体" w:hAnsi="宋体"/>
          <w:color w:val="auto"/>
          <w:sz w:val="21"/>
          <w:szCs w:val="21"/>
          <w:highlight w:val="none"/>
          <w:lang w:val="en-US" w:eastAsia="zh-CN"/>
        </w:rPr>
        <w:t>4</w:t>
      </w:r>
      <w:r>
        <w:rPr>
          <w:rFonts w:hint="eastAsia" w:ascii="宋体" w:hAnsi="宋体"/>
          <w:color w:val="auto"/>
          <w:sz w:val="21"/>
          <w:szCs w:val="21"/>
          <w:highlight w:val="none"/>
        </w:rPr>
        <w:t>.</w:t>
      </w:r>
      <w:bookmarkStart w:id="245" w:name="OLE_LINK10"/>
      <w:r>
        <w:rPr>
          <w:rFonts w:hint="eastAsia" w:ascii="宋体" w:hAnsi="宋体"/>
          <w:color w:val="auto"/>
          <w:sz w:val="21"/>
          <w:szCs w:val="21"/>
          <w:highlight w:val="none"/>
        </w:rPr>
        <w:t>投标保证金汇入情况说明格式</w:t>
      </w:r>
      <w:bookmarkEnd w:id="243"/>
      <w:bookmarkEnd w:id="244"/>
      <w:bookmarkEnd w:id="245"/>
    </w:p>
    <w:p w14:paraId="6A2057DD">
      <w:pPr>
        <w:rPr>
          <w:color w:val="auto"/>
          <w:highlight w:val="none"/>
        </w:rPr>
      </w:pPr>
    </w:p>
    <w:p w14:paraId="1B8243AC">
      <w:pPr>
        <w:jc w:val="center"/>
        <w:rPr>
          <w:rFonts w:ascii="黑体" w:eastAsia="黑体"/>
          <w:color w:val="auto"/>
          <w:sz w:val="28"/>
          <w:szCs w:val="28"/>
          <w:highlight w:val="none"/>
        </w:rPr>
      </w:pPr>
      <w:r>
        <w:rPr>
          <w:rFonts w:hint="eastAsia" w:ascii="黑体" w:eastAsia="黑体"/>
          <w:color w:val="auto"/>
          <w:sz w:val="28"/>
          <w:szCs w:val="28"/>
          <w:highlight w:val="none"/>
        </w:rPr>
        <w:t>投标保证金汇入情况说明</w:t>
      </w:r>
    </w:p>
    <w:p w14:paraId="4799A826">
      <w:pPr>
        <w:spacing w:line="480" w:lineRule="auto"/>
        <w:rPr>
          <w:rFonts w:ascii="宋体" w:hAnsi="宋体"/>
          <w:color w:val="auto"/>
          <w:szCs w:val="21"/>
          <w:highlight w:val="none"/>
        </w:rPr>
      </w:pPr>
      <w:r>
        <w:rPr>
          <w:rFonts w:hint="eastAsia" w:ascii="宋体" w:hAnsi="宋体"/>
          <w:color w:val="auto"/>
          <w:szCs w:val="21"/>
          <w:highlight w:val="none"/>
        </w:rPr>
        <w:t>致：广东政通招标有限公司：</w:t>
      </w:r>
    </w:p>
    <w:p w14:paraId="15C1B56C">
      <w:pPr>
        <w:spacing w:line="480" w:lineRule="auto"/>
        <w:ind w:firstLine="420" w:firstLineChars="200"/>
        <w:rPr>
          <w:rFonts w:ascii="宋体" w:hAnsi="宋体"/>
          <w:color w:val="auto"/>
          <w:szCs w:val="21"/>
          <w:highlight w:val="none"/>
        </w:rPr>
      </w:pPr>
      <w:r>
        <w:rPr>
          <w:rFonts w:hint="eastAsia" w:ascii="宋体" w:hAnsi="宋体"/>
          <w:color w:val="auto"/>
          <w:szCs w:val="21"/>
          <w:highlight w:val="none"/>
        </w:rPr>
        <w:t>本单位已按项目包（采购项目编号：</w:t>
      </w:r>
      <w:r>
        <w:rPr>
          <w:rFonts w:hint="eastAsia" w:ascii="宋体" w:hAnsi="宋体"/>
          <w:color w:val="auto"/>
          <w:szCs w:val="21"/>
          <w:highlight w:val="none"/>
          <w:lang w:eastAsia="zh-CN"/>
        </w:rPr>
        <w:t>DSE-GK-2025-001</w:t>
      </w:r>
      <w:r>
        <w:rPr>
          <w:rFonts w:hint="eastAsia" w:ascii="宋体" w:hAnsi="宋体"/>
          <w:color w:val="auto"/>
          <w:szCs w:val="21"/>
          <w:highlight w:val="none"/>
        </w:rPr>
        <w:t>）的采购文件要求，于年月日前以</w:t>
      </w:r>
      <w:r>
        <w:rPr>
          <w:rFonts w:hint="eastAsia" w:ascii="宋体" w:hAnsi="宋体"/>
          <w:color w:val="auto"/>
          <w:szCs w:val="21"/>
          <w:highlight w:val="none"/>
          <w:u w:val="single"/>
        </w:rPr>
        <w:t xml:space="preserve">           （付款形式）</w:t>
      </w:r>
      <w:r>
        <w:rPr>
          <w:rFonts w:hint="eastAsia" w:ascii="宋体" w:hAnsi="宋体"/>
          <w:color w:val="auto"/>
          <w:szCs w:val="21"/>
          <w:highlight w:val="none"/>
        </w:rPr>
        <w:t>方式汇入指定帐户（帐户名称：</w:t>
      </w:r>
      <w:r>
        <w:rPr>
          <w:rFonts w:hint="eastAsia" w:ascii="宋体" w:hAnsi="宋体"/>
          <w:color w:val="auto"/>
          <w:szCs w:val="21"/>
          <w:highlight w:val="none"/>
          <w:u w:val="single"/>
        </w:rPr>
        <w:t xml:space="preserve"> 广东东实环境股份有限公司  </w:t>
      </w:r>
      <w:r>
        <w:rPr>
          <w:rFonts w:hint="eastAsia" w:ascii="宋体" w:hAnsi="宋体"/>
          <w:color w:val="auto"/>
          <w:szCs w:val="21"/>
          <w:highlight w:val="none"/>
        </w:rPr>
        <w:t>，帐号：</w:t>
      </w:r>
      <w:r>
        <w:rPr>
          <w:rFonts w:hint="eastAsia" w:ascii="宋体" w:hAnsi="宋体"/>
          <w:color w:val="auto"/>
          <w:szCs w:val="21"/>
          <w:highlight w:val="none"/>
          <w:u w:val="single"/>
        </w:rPr>
        <w:t xml:space="preserve"> 380010190010009298 </w:t>
      </w:r>
      <w:r>
        <w:rPr>
          <w:rFonts w:hint="eastAsia" w:ascii="宋体" w:hAnsi="宋体"/>
          <w:color w:val="auto"/>
          <w:szCs w:val="21"/>
          <w:highlight w:val="none"/>
        </w:rPr>
        <w:t>,开户银行：</w:t>
      </w:r>
      <w:r>
        <w:rPr>
          <w:rFonts w:hint="eastAsia" w:ascii="宋体" w:hAnsi="宋体"/>
          <w:color w:val="auto"/>
          <w:szCs w:val="21"/>
          <w:highlight w:val="none"/>
          <w:u w:val="single"/>
        </w:rPr>
        <w:t xml:space="preserve">  东莞农村商业银行中心支行     </w:t>
      </w:r>
      <w:r>
        <w:rPr>
          <w:rFonts w:hint="eastAsia" w:ascii="宋体" w:hAnsi="宋体"/>
          <w:color w:val="auto"/>
          <w:szCs w:val="21"/>
          <w:highlight w:val="none"/>
        </w:rPr>
        <w:t>）。</w:t>
      </w:r>
    </w:p>
    <w:p w14:paraId="02C80B0C">
      <w:pPr>
        <w:spacing w:line="480" w:lineRule="auto"/>
        <w:ind w:firstLine="420" w:firstLineChars="200"/>
        <w:rPr>
          <w:rFonts w:ascii="宋体" w:hAnsi="宋体"/>
          <w:color w:val="auto"/>
          <w:szCs w:val="21"/>
          <w:highlight w:val="none"/>
        </w:rPr>
      </w:pPr>
      <w:r>
        <w:rPr>
          <w:rFonts w:hint="eastAsia" w:ascii="宋体" w:hAnsi="宋体"/>
          <w:color w:val="auto"/>
          <w:szCs w:val="21"/>
          <w:highlight w:val="none"/>
        </w:rPr>
        <w:t>本单位投标保证金的汇款情况：（详见附件－投标保证金进帐单）</w:t>
      </w:r>
    </w:p>
    <w:p w14:paraId="0E5C8D02">
      <w:pPr>
        <w:spacing w:line="480" w:lineRule="auto"/>
        <w:ind w:firstLine="420" w:firstLineChars="200"/>
        <w:rPr>
          <w:rFonts w:ascii="宋体" w:hAnsi="宋体"/>
          <w:color w:val="auto"/>
          <w:szCs w:val="21"/>
          <w:highlight w:val="none"/>
        </w:rPr>
      </w:pPr>
      <w:r>
        <w:rPr>
          <w:rFonts w:hint="eastAsia" w:ascii="宋体" w:hAnsi="宋体"/>
          <w:color w:val="auto"/>
          <w:szCs w:val="21"/>
          <w:highlight w:val="none"/>
        </w:rPr>
        <w:t>汇出时间：</w:t>
      </w:r>
      <w:r>
        <w:rPr>
          <w:rFonts w:hint="eastAsia" w:ascii="宋体" w:hAnsi="宋体"/>
          <w:color w:val="auto"/>
          <w:szCs w:val="21"/>
          <w:highlight w:val="none"/>
          <w:u w:val="single"/>
        </w:rPr>
        <w:t xml:space="preserve">       </w:t>
      </w:r>
      <w:r>
        <w:rPr>
          <w:rFonts w:hint="eastAsia" w:ascii="宋体" w:hAnsi="宋体"/>
          <w:color w:val="auto"/>
          <w:szCs w:val="21"/>
          <w:highlight w:val="none"/>
        </w:rPr>
        <w:t>年</w:t>
      </w:r>
      <w:r>
        <w:rPr>
          <w:rFonts w:hint="eastAsia" w:ascii="宋体" w:hAnsi="宋体"/>
          <w:color w:val="auto"/>
          <w:szCs w:val="21"/>
          <w:highlight w:val="none"/>
          <w:u w:val="single"/>
        </w:rPr>
        <w:t xml:space="preserve">       </w:t>
      </w:r>
      <w:r>
        <w:rPr>
          <w:rFonts w:hint="eastAsia" w:ascii="宋体" w:hAnsi="宋体"/>
          <w:color w:val="auto"/>
          <w:szCs w:val="21"/>
          <w:highlight w:val="none"/>
        </w:rPr>
        <w:t>月</w:t>
      </w:r>
      <w:r>
        <w:rPr>
          <w:rFonts w:hint="eastAsia" w:ascii="宋体" w:hAnsi="宋体"/>
          <w:color w:val="auto"/>
          <w:szCs w:val="21"/>
          <w:highlight w:val="none"/>
          <w:u w:val="single"/>
        </w:rPr>
        <w:t xml:space="preserve">       </w:t>
      </w:r>
      <w:r>
        <w:rPr>
          <w:rFonts w:hint="eastAsia" w:ascii="宋体" w:hAnsi="宋体"/>
          <w:color w:val="auto"/>
          <w:szCs w:val="21"/>
          <w:highlight w:val="none"/>
        </w:rPr>
        <w:t>日；</w:t>
      </w:r>
    </w:p>
    <w:p w14:paraId="4B24ED30">
      <w:pPr>
        <w:spacing w:line="480" w:lineRule="auto"/>
        <w:ind w:firstLine="420" w:firstLineChars="200"/>
        <w:rPr>
          <w:rFonts w:ascii="宋体" w:hAnsi="宋体"/>
          <w:color w:val="auto"/>
          <w:szCs w:val="21"/>
          <w:highlight w:val="none"/>
        </w:rPr>
      </w:pPr>
      <w:r>
        <w:rPr>
          <w:rFonts w:hint="eastAsia" w:ascii="宋体" w:hAnsi="宋体"/>
          <w:color w:val="auto"/>
          <w:szCs w:val="21"/>
          <w:highlight w:val="none"/>
        </w:rPr>
        <w:t>汇款金额：（大写）人民币</w:t>
      </w:r>
      <w:r>
        <w:rPr>
          <w:rFonts w:hint="eastAsia" w:ascii="宋体" w:hAnsi="宋体"/>
          <w:color w:val="auto"/>
          <w:szCs w:val="21"/>
          <w:highlight w:val="none"/>
          <w:u w:val="single"/>
        </w:rPr>
        <w:t xml:space="preserve">       </w:t>
      </w:r>
      <w:r>
        <w:rPr>
          <w:rFonts w:hint="eastAsia" w:ascii="宋体" w:hAnsi="宋体"/>
          <w:color w:val="auto"/>
          <w:szCs w:val="21"/>
          <w:highlight w:val="none"/>
        </w:rPr>
        <w:t>元（小写：￥</w:t>
      </w:r>
      <w:r>
        <w:rPr>
          <w:rFonts w:hint="eastAsia" w:ascii="宋体" w:hAnsi="宋体"/>
          <w:color w:val="auto"/>
          <w:szCs w:val="21"/>
          <w:highlight w:val="none"/>
          <w:u w:val="single"/>
        </w:rPr>
        <w:t xml:space="preserve">       </w:t>
      </w:r>
      <w:r>
        <w:rPr>
          <w:rFonts w:hint="eastAsia" w:ascii="宋体" w:hAnsi="宋体"/>
          <w:color w:val="auto"/>
          <w:szCs w:val="21"/>
          <w:highlight w:val="none"/>
        </w:rPr>
        <w:t>元），</w:t>
      </w:r>
    </w:p>
    <w:p w14:paraId="274AC955">
      <w:pPr>
        <w:spacing w:line="480" w:lineRule="auto"/>
        <w:ind w:firstLine="420" w:firstLineChars="200"/>
        <w:rPr>
          <w:rFonts w:ascii="宋体" w:hAnsi="宋体"/>
          <w:color w:val="auto"/>
          <w:szCs w:val="21"/>
          <w:highlight w:val="none"/>
        </w:rPr>
      </w:pPr>
      <w:r>
        <w:rPr>
          <w:rFonts w:hint="eastAsia" w:ascii="宋体" w:hAnsi="宋体"/>
          <w:color w:val="auto"/>
          <w:szCs w:val="21"/>
          <w:highlight w:val="none"/>
        </w:rPr>
        <w:t>汇款帐户名称：</w:t>
      </w:r>
      <w:r>
        <w:rPr>
          <w:rFonts w:hint="eastAsia" w:ascii="宋体" w:hAnsi="宋体"/>
          <w:color w:val="auto"/>
          <w:szCs w:val="21"/>
          <w:highlight w:val="none"/>
          <w:u w:val="single"/>
        </w:rPr>
        <w:t xml:space="preserve">  （必须是投标时使用的帐户名）   </w:t>
      </w:r>
    </w:p>
    <w:p w14:paraId="5709A825">
      <w:pPr>
        <w:spacing w:line="480" w:lineRule="auto"/>
        <w:ind w:firstLine="420" w:firstLineChars="200"/>
        <w:rPr>
          <w:rFonts w:ascii="宋体" w:hAnsi="宋体"/>
          <w:color w:val="auto"/>
          <w:szCs w:val="21"/>
          <w:highlight w:val="none"/>
        </w:rPr>
      </w:pPr>
      <w:r>
        <w:rPr>
          <w:rFonts w:hint="eastAsia" w:ascii="宋体" w:hAnsi="宋体"/>
          <w:color w:val="auto"/>
          <w:szCs w:val="21"/>
          <w:highlight w:val="none"/>
        </w:rPr>
        <w:t>帐        号：</w:t>
      </w:r>
      <w:r>
        <w:rPr>
          <w:rFonts w:hint="eastAsia" w:ascii="宋体" w:hAnsi="宋体"/>
          <w:color w:val="auto"/>
          <w:szCs w:val="21"/>
          <w:highlight w:val="none"/>
          <w:u w:val="single"/>
        </w:rPr>
        <w:t xml:space="preserve">  （必须是投标时使用的帐号）        </w:t>
      </w:r>
    </w:p>
    <w:p w14:paraId="6FC71A86">
      <w:pPr>
        <w:spacing w:line="480" w:lineRule="auto"/>
        <w:ind w:firstLine="420" w:firstLineChars="200"/>
        <w:rPr>
          <w:rFonts w:ascii="宋体" w:hAnsi="宋体"/>
          <w:color w:val="auto"/>
          <w:szCs w:val="21"/>
          <w:highlight w:val="none"/>
          <w:u w:val="single"/>
        </w:rPr>
      </w:pPr>
      <w:r>
        <w:rPr>
          <w:rFonts w:hint="eastAsia" w:ascii="宋体" w:hAnsi="宋体"/>
          <w:color w:val="auto"/>
          <w:szCs w:val="21"/>
          <w:highlight w:val="none"/>
        </w:rPr>
        <w:t>开 户  银 行：</w:t>
      </w:r>
      <w:r>
        <w:rPr>
          <w:rFonts w:hint="eastAsia" w:ascii="宋体" w:hAnsi="宋体"/>
          <w:color w:val="auto"/>
          <w:szCs w:val="21"/>
          <w:highlight w:val="none"/>
          <w:u w:val="single"/>
        </w:rPr>
        <w:t xml:space="preserve">  （      银行   分行  支行    ）</w:t>
      </w:r>
    </w:p>
    <w:p w14:paraId="787F5D3D">
      <w:pPr>
        <w:spacing w:line="480" w:lineRule="auto"/>
        <w:ind w:firstLine="420" w:firstLineChars="200"/>
        <w:rPr>
          <w:rFonts w:ascii="宋体" w:hAnsi="宋体"/>
          <w:color w:val="auto"/>
          <w:szCs w:val="21"/>
          <w:highlight w:val="none"/>
        </w:rPr>
      </w:pPr>
      <w:r>
        <w:rPr>
          <w:rFonts w:hint="eastAsia" w:ascii="宋体" w:hAnsi="宋体"/>
          <w:color w:val="auto"/>
          <w:szCs w:val="21"/>
          <w:highlight w:val="none"/>
        </w:rPr>
        <w:t>本单位谨承诺上述资料是正确、真实的，如因上述证明与事实不符导致的一切损失，本单位保证承担赔偿等一切法律责任。</w:t>
      </w:r>
    </w:p>
    <w:p w14:paraId="26A241D0">
      <w:pPr>
        <w:spacing w:line="480" w:lineRule="auto"/>
        <w:ind w:firstLine="420" w:firstLineChars="200"/>
        <w:rPr>
          <w:rFonts w:ascii="宋体" w:hAnsi="宋体"/>
          <w:color w:val="auto"/>
          <w:szCs w:val="21"/>
          <w:highlight w:val="none"/>
        </w:rPr>
      </w:pPr>
      <w:r>
        <w:rPr>
          <w:rFonts w:hint="eastAsia" w:ascii="宋体" w:hAnsi="宋体"/>
          <w:color w:val="auto"/>
          <w:szCs w:val="21"/>
          <w:highlight w:val="none"/>
        </w:rPr>
        <w:t>投标保证金退回时，请按上述资料退回。</w:t>
      </w:r>
    </w:p>
    <w:p w14:paraId="42F6C97B">
      <w:pPr>
        <w:spacing w:line="480" w:lineRule="auto"/>
        <w:ind w:right="844" w:rightChars="402"/>
        <w:jc w:val="right"/>
        <w:rPr>
          <w:rFonts w:ascii="宋体" w:hAnsi="宋体"/>
          <w:color w:val="auto"/>
          <w:szCs w:val="21"/>
          <w:highlight w:val="none"/>
        </w:rPr>
      </w:pPr>
      <w:r>
        <w:rPr>
          <w:rFonts w:hint="eastAsia" w:ascii="宋体" w:hAnsi="宋体"/>
          <w:color w:val="auto"/>
          <w:szCs w:val="21"/>
          <w:highlight w:val="none"/>
        </w:rPr>
        <w:t>（单位公章）</w:t>
      </w:r>
    </w:p>
    <w:p w14:paraId="74684DAF">
      <w:pPr>
        <w:spacing w:line="480" w:lineRule="auto"/>
        <w:ind w:right="628" w:rightChars="299"/>
        <w:jc w:val="right"/>
        <w:rPr>
          <w:rFonts w:ascii="宋体" w:hAnsi="宋体"/>
          <w:color w:val="auto"/>
          <w:szCs w:val="21"/>
          <w:highlight w:val="none"/>
        </w:rPr>
      </w:pPr>
      <w:r>
        <w:rPr>
          <w:rFonts w:hint="eastAsia" w:ascii="宋体" w:hAnsi="宋体"/>
          <w:color w:val="auto"/>
          <w:szCs w:val="21"/>
          <w:highlight w:val="none"/>
        </w:rPr>
        <w:t>年 月 日</w:t>
      </w:r>
    </w:p>
    <w:p w14:paraId="0B32C061">
      <w:pPr>
        <w:spacing w:line="480" w:lineRule="auto"/>
        <w:rPr>
          <w:rFonts w:ascii="宋体" w:hAnsi="宋体"/>
          <w:color w:val="auto"/>
          <w:szCs w:val="21"/>
          <w:highlight w:val="none"/>
        </w:rPr>
      </w:pPr>
      <w:r>
        <w:rPr>
          <w:rFonts w:hint="eastAsia" w:ascii="宋体" w:hAnsi="宋体"/>
          <w:color w:val="auto"/>
          <w:szCs w:val="21"/>
          <w:highlight w:val="none"/>
        </w:rPr>
        <w:t>单位名称：</w:t>
      </w:r>
    </w:p>
    <w:p w14:paraId="64843055">
      <w:pPr>
        <w:spacing w:line="480" w:lineRule="auto"/>
        <w:rPr>
          <w:rFonts w:ascii="宋体" w:hAnsi="宋体"/>
          <w:color w:val="auto"/>
          <w:szCs w:val="21"/>
          <w:highlight w:val="none"/>
        </w:rPr>
      </w:pPr>
      <w:r>
        <w:rPr>
          <w:rFonts w:hint="eastAsia" w:ascii="宋体" w:hAnsi="宋体"/>
          <w:color w:val="auto"/>
          <w:szCs w:val="21"/>
          <w:highlight w:val="none"/>
        </w:rPr>
        <w:t>单位地址：</w:t>
      </w:r>
    </w:p>
    <w:p w14:paraId="69BF8108">
      <w:pPr>
        <w:spacing w:line="480" w:lineRule="auto"/>
        <w:rPr>
          <w:rFonts w:ascii="宋体" w:hAnsi="宋体"/>
          <w:color w:val="auto"/>
          <w:szCs w:val="21"/>
          <w:highlight w:val="none"/>
        </w:rPr>
      </w:pPr>
      <w:r>
        <w:rPr>
          <w:rFonts w:hint="eastAsia" w:ascii="宋体" w:hAnsi="宋体"/>
          <w:color w:val="auto"/>
          <w:szCs w:val="21"/>
          <w:highlight w:val="none"/>
        </w:rPr>
        <w:t>联系人：</w:t>
      </w:r>
    </w:p>
    <w:p w14:paraId="6698FB82">
      <w:pPr>
        <w:spacing w:line="480" w:lineRule="auto"/>
        <w:rPr>
          <w:rFonts w:ascii="宋体" w:hAnsi="宋体"/>
          <w:color w:val="auto"/>
          <w:szCs w:val="21"/>
          <w:highlight w:val="none"/>
        </w:rPr>
      </w:pPr>
      <w:r>
        <w:rPr>
          <w:rFonts w:hint="eastAsia" w:ascii="宋体" w:hAnsi="宋体"/>
          <w:color w:val="auto"/>
          <w:szCs w:val="21"/>
          <w:highlight w:val="none"/>
        </w:rPr>
        <w:t xml:space="preserve">单位电话： </w:t>
      </w:r>
    </w:p>
    <w:p w14:paraId="55EDC563">
      <w:pPr>
        <w:spacing w:line="480" w:lineRule="auto"/>
        <w:rPr>
          <w:rFonts w:ascii="宋体" w:hAnsi="宋体"/>
          <w:color w:val="auto"/>
          <w:szCs w:val="21"/>
          <w:highlight w:val="none"/>
        </w:rPr>
      </w:pPr>
      <w:r>
        <w:rPr>
          <w:rFonts w:hint="eastAsia" w:ascii="宋体" w:hAnsi="宋体"/>
          <w:color w:val="auto"/>
          <w:szCs w:val="21"/>
          <w:highlight w:val="none"/>
        </w:rPr>
        <w:t>联系人手机：</w:t>
      </w:r>
    </w:p>
    <w:p w14:paraId="451ADA35">
      <w:pPr>
        <w:rPr>
          <w:rFonts w:ascii="宋体" w:hAnsi="宋体"/>
          <w:color w:val="auto"/>
          <w:szCs w:val="21"/>
          <w:highlight w:val="none"/>
        </w:rPr>
      </w:pPr>
    </w:p>
    <w:p w14:paraId="1D337103">
      <w:pPr>
        <w:spacing w:line="380" w:lineRule="exact"/>
        <w:ind w:firstLine="420" w:firstLineChars="200"/>
        <w:rPr>
          <w:rFonts w:ascii="宋体" w:hAnsi="宋体"/>
          <w:color w:val="auto"/>
          <w:szCs w:val="21"/>
          <w:highlight w:val="none"/>
        </w:rPr>
      </w:pPr>
      <w:r>
        <w:rPr>
          <w:rFonts w:hint="eastAsia" w:ascii="宋体" w:hAnsi="宋体"/>
          <w:color w:val="auto"/>
          <w:szCs w:val="21"/>
          <w:highlight w:val="none"/>
        </w:rPr>
        <w:br w:type="page"/>
      </w:r>
    </w:p>
    <w:p w14:paraId="59495192">
      <w:pPr>
        <w:spacing w:line="380" w:lineRule="exact"/>
        <w:ind w:firstLine="420" w:firstLineChars="200"/>
        <w:rPr>
          <w:rFonts w:ascii="宋体" w:hAnsi="宋体"/>
          <w:color w:val="auto"/>
          <w:szCs w:val="21"/>
          <w:highlight w:val="none"/>
        </w:rPr>
      </w:pPr>
      <w:r>
        <w:rPr>
          <w:rFonts w:hint="eastAsia" w:ascii="宋体" w:hAnsi="宋体"/>
          <w:color w:val="auto"/>
          <w:szCs w:val="21"/>
          <w:highlight w:val="none"/>
        </w:rPr>
        <w:t>附：我方投标保证金汇款凭证</w:t>
      </w:r>
    </w:p>
    <w:tbl>
      <w:tblPr>
        <w:tblStyle w:val="16"/>
        <w:tblW w:w="8953"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953"/>
      </w:tblGrid>
      <w:tr w14:paraId="1BBF64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89" w:hRule="atLeast"/>
        </w:trPr>
        <w:tc>
          <w:tcPr>
            <w:tcW w:w="8953" w:type="dxa"/>
            <w:vAlign w:val="center"/>
          </w:tcPr>
          <w:p w14:paraId="6C86BACD">
            <w:pPr>
              <w:tabs>
                <w:tab w:val="left" w:pos="3885"/>
              </w:tabs>
              <w:jc w:val="center"/>
              <w:rPr>
                <w:rFonts w:ascii="宋体" w:hAnsi="宋体"/>
                <w:color w:val="auto"/>
                <w:szCs w:val="21"/>
                <w:highlight w:val="none"/>
              </w:rPr>
            </w:pPr>
            <w:r>
              <w:rPr>
                <w:rFonts w:hint="eastAsia" w:ascii="宋体" w:hAnsi="宋体"/>
                <w:color w:val="auto"/>
                <w:szCs w:val="21"/>
                <w:highlight w:val="none"/>
              </w:rPr>
              <w:t>（粘贴汇款单或转账</w:t>
            </w:r>
            <w:r>
              <w:rPr>
                <w:rFonts w:ascii="宋体" w:hAnsi="宋体"/>
                <w:color w:val="auto"/>
                <w:szCs w:val="21"/>
                <w:highlight w:val="none"/>
              </w:rPr>
              <w:t>凭证</w:t>
            </w:r>
            <w:r>
              <w:rPr>
                <w:rFonts w:hint="eastAsia" w:ascii="宋体" w:hAnsi="宋体"/>
                <w:color w:val="auto"/>
                <w:szCs w:val="21"/>
                <w:highlight w:val="none"/>
              </w:rPr>
              <w:t>复印件，并在骑缝上加盖投标人公章，或是直接把转账</w:t>
            </w:r>
            <w:r>
              <w:rPr>
                <w:rFonts w:ascii="宋体" w:hAnsi="宋体"/>
                <w:color w:val="auto"/>
                <w:szCs w:val="21"/>
                <w:highlight w:val="none"/>
              </w:rPr>
              <w:t>凭证</w:t>
            </w:r>
            <w:r>
              <w:rPr>
                <w:rFonts w:hint="eastAsia" w:ascii="宋体" w:hAnsi="宋体"/>
                <w:color w:val="auto"/>
                <w:szCs w:val="21"/>
                <w:highlight w:val="none"/>
              </w:rPr>
              <w:t>复印到此张纸上）</w:t>
            </w:r>
          </w:p>
        </w:tc>
      </w:tr>
    </w:tbl>
    <w:p w14:paraId="7A06D7F7">
      <w:pPr>
        <w:spacing w:line="480" w:lineRule="auto"/>
        <w:ind w:firstLine="420" w:firstLineChars="200"/>
        <w:rPr>
          <w:rFonts w:ascii="宋体" w:hAnsi="宋体"/>
          <w:color w:val="auto"/>
          <w:szCs w:val="21"/>
          <w:highlight w:val="none"/>
        </w:rPr>
      </w:pPr>
      <w:r>
        <w:rPr>
          <w:rFonts w:hint="eastAsia" w:ascii="宋体" w:hAnsi="宋体"/>
          <w:color w:val="auto"/>
          <w:szCs w:val="21"/>
          <w:highlight w:val="none"/>
        </w:rPr>
        <w:t>注：此表既要装订在投标文件中，又要按投标人须知的规定与开标一览表、投标保证金汇款底单复印件及授权委托书一同密封装入唱标信封，唱标信封单独提交。</w:t>
      </w:r>
    </w:p>
    <w:p w14:paraId="75B2DE74">
      <w:pPr>
        <w:rPr>
          <w:rFonts w:ascii="宋体" w:hAnsi="宋体"/>
          <w:color w:val="auto"/>
          <w:szCs w:val="21"/>
          <w:highlight w:val="none"/>
        </w:rPr>
      </w:pPr>
    </w:p>
    <w:p w14:paraId="373B4BAB">
      <w:pPr>
        <w:rPr>
          <w:rFonts w:ascii="宋体" w:hAnsi="宋体"/>
          <w:color w:val="auto"/>
          <w:szCs w:val="21"/>
          <w:highlight w:val="none"/>
        </w:rPr>
      </w:pPr>
    </w:p>
    <w:p w14:paraId="562B9EB2">
      <w:pPr>
        <w:rPr>
          <w:rFonts w:ascii="宋体" w:hAnsi="宋体"/>
          <w:color w:val="auto"/>
          <w:szCs w:val="21"/>
          <w:highlight w:val="none"/>
        </w:rPr>
      </w:pPr>
    </w:p>
    <w:p w14:paraId="59640D48">
      <w:pPr>
        <w:rPr>
          <w:rFonts w:ascii="宋体" w:hAnsi="宋体"/>
          <w:color w:val="auto"/>
          <w:szCs w:val="21"/>
          <w:highlight w:val="none"/>
        </w:rPr>
      </w:pPr>
    </w:p>
    <w:p w14:paraId="4C1B4550">
      <w:pPr>
        <w:rPr>
          <w:rFonts w:ascii="宋体" w:hAnsi="宋体"/>
          <w:color w:val="auto"/>
          <w:szCs w:val="21"/>
          <w:highlight w:val="none"/>
        </w:rPr>
      </w:pPr>
    </w:p>
    <w:p w14:paraId="3F891254">
      <w:pPr>
        <w:rPr>
          <w:rFonts w:ascii="宋体" w:hAnsi="宋体"/>
          <w:color w:val="auto"/>
          <w:szCs w:val="21"/>
          <w:highlight w:val="none"/>
        </w:rPr>
      </w:pPr>
    </w:p>
    <w:p w14:paraId="07E826D2">
      <w:pPr>
        <w:rPr>
          <w:rFonts w:ascii="宋体" w:hAnsi="宋体"/>
          <w:color w:val="auto"/>
          <w:szCs w:val="21"/>
          <w:highlight w:val="none"/>
        </w:rPr>
      </w:pPr>
    </w:p>
    <w:p w14:paraId="05653190">
      <w:pPr>
        <w:rPr>
          <w:rFonts w:ascii="宋体" w:hAnsi="宋体"/>
          <w:color w:val="auto"/>
          <w:szCs w:val="21"/>
          <w:highlight w:val="none"/>
        </w:rPr>
      </w:pPr>
    </w:p>
    <w:p w14:paraId="2A237859">
      <w:pPr>
        <w:rPr>
          <w:rFonts w:ascii="宋体" w:hAnsi="宋体"/>
          <w:color w:val="auto"/>
          <w:szCs w:val="21"/>
          <w:highlight w:val="none"/>
        </w:rPr>
      </w:pPr>
    </w:p>
    <w:p w14:paraId="65B6C7DD">
      <w:pPr>
        <w:rPr>
          <w:rFonts w:ascii="宋体" w:hAnsi="宋体"/>
          <w:color w:val="auto"/>
          <w:szCs w:val="21"/>
          <w:highlight w:val="none"/>
        </w:rPr>
      </w:pPr>
    </w:p>
    <w:p w14:paraId="65086A84">
      <w:pPr>
        <w:rPr>
          <w:rFonts w:ascii="宋体" w:hAnsi="宋体"/>
          <w:color w:val="auto"/>
          <w:szCs w:val="21"/>
          <w:highlight w:val="none"/>
        </w:rPr>
      </w:pPr>
    </w:p>
    <w:p w14:paraId="46DD10D4">
      <w:pPr>
        <w:rPr>
          <w:rFonts w:ascii="宋体" w:hAnsi="宋体"/>
          <w:color w:val="auto"/>
          <w:szCs w:val="21"/>
          <w:highlight w:val="none"/>
        </w:rPr>
      </w:pPr>
    </w:p>
    <w:p w14:paraId="437D33C0">
      <w:pPr>
        <w:rPr>
          <w:rFonts w:ascii="宋体" w:hAnsi="宋体"/>
          <w:color w:val="auto"/>
          <w:szCs w:val="21"/>
          <w:highlight w:val="none"/>
        </w:rPr>
      </w:pPr>
    </w:p>
    <w:p w14:paraId="4662479F">
      <w:pPr>
        <w:rPr>
          <w:rFonts w:ascii="宋体" w:hAnsi="宋体"/>
          <w:color w:val="auto"/>
          <w:szCs w:val="21"/>
          <w:highlight w:val="none"/>
        </w:rPr>
      </w:pPr>
    </w:p>
    <w:p w14:paraId="7DBDAB51">
      <w:pPr>
        <w:rPr>
          <w:rFonts w:ascii="宋体" w:hAnsi="宋体"/>
          <w:color w:val="auto"/>
          <w:szCs w:val="21"/>
          <w:highlight w:val="none"/>
        </w:rPr>
      </w:pPr>
    </w:p>
    <w:p w14:paraId="791FCFC8">
      <w:pPr>
        <w:rPr>
          <w:rFonts w:ascii="宋体" w:hAnsi="宋体"/>
          <w:color w:val="auto"/>
          <w:szCs w:val="21"/>
          <w:highlight w:val="none"/>
        </w:rPr>
      </w:pPr>
    </w:p>
    <w:p w14:paraId="764D2D25">
      <w:pPr>
        <w:rPr>
          <w:rFonts w:ascii="宋体" w:hAnsi="宋体"/>
          <w:color w:val="auto"/>
          <w:szCs w:val="21"/>
          <w:highlight w:val="none"/>
        </w:rPr>
      </w:pPr>
    </w:p>
    <w:p w14:paraId="4494D487">
      <w:pPr>
        <w:rPr>
          <w:rFonts w:ascii="宋体" w:hAnsi="宋体"/>
          <w:color w:val="auto"/>
          <w:szCs w:val="21"/>
          <w:highlight w:val="none"/>
        </w:rPr>
      </w:pPr>
    </w:p>
    <w:p w14:paraId="5C7D2E43">
      <w:pPr>
        <w:rPr>
          <w:rFonts w:ascii="宋体" w:hAnsi="宋体"/>
          <w:color w:val="auto"/>
          <w:szCs w:val="21"/>
          <w:highlight w:val="none"/>
        </w:rPr>
      </w:pPr>
    </w:p>
    <w:p w14:paraId="7E5BB434">
      <w:pPr>
        <w:rPr>
          <w:rFonts w:ascii="宋体" w:hAnsi="宋体"/>
          <w:color w:val="auto"/>
          <w:szCs w:val="21"/>
          <w:highlight w:val="none"/>
        </w:rPr>
      </w:pPr>
    </w:p>
    <w:p w14:paraId="179F6FA2">
      <w:pPr>
        <w:rPr>
          <w:rFonts w:ascii="宋体" w:hAnsi="宋体"/>
          <w:color w:val="auto"/>
          <w:szCs w:val="21"/>
          <w:highlight w:val="none"/>
        </w:rPr>
      </w:pPr>
    </w:p>
    <w:p w14:paraId="6537D824">
      <w:pPr>
        <w:pStyle w:val="4"/>
        <w:numPr>
          <w:ilvl w:val="255"/>
          <w:numId w:val="0"/>
        </w:numPr>
        <w:tabs>
          <w:tab w:val="left" w:pos="720"/>
          <w:tab w:val="left" w:pos="3840"/>
        </w:tabs>
        <w:ind w:left="283"/>
        <w:jc w:val="both"/>
        <w:rPr>
          <w:rFonts w:ascii="宋体" w:hAnsi="宋体"/>
          <w:color w:val="auto"/>
          <w:sz w:val="21"/>
          <w:szCs w:val="21"/>
          <w:highlight w:val="none"/>
        </w:rPr>
      </w:pPr>
      <w:bookmarkStart w:id="246" w:name="_Toc28623"/>
      <w:bookmarkStart w:id="247" w:name="_Toc1562"/>
      <w:bookmarkStart w:id="248" w:name="_Toc17028"/>
      <w:bookmarkStart w:id="249" w:name="_Toc4866"/>
      <w:bookmarkStart w:id="250" w:name="_Toc2144"/>
      <w:bookmarkStart w:id="251" w:name="_Toc19947"/>
      <w:bookmarkStart w:id="252" w:name="_Toc29855"/>
      <w:bookmarkStart w:id="253" w:name="_Toc2801"/>
      <w:bookmarkStart w:id="254" w:name="_Toc14605"/>
      <w:bookmarkStart w:id="255" w:name="_Toc25861"/>
      <w:bookmarkStart w:id="256" w:name="_Toc18296"/>
      <w:bookmarkStart w:id="257" w:name="_Toc17120"/>
      <w:r>
        <w:rPr>
          <w:rFonts w:hint="eastAsia" w:ascii="宋体" w:hAnsi="宋体"/>
          <w:color w:val="auto"/>
          <w:sz w:val="21"/>
          <w:szCs w:val="21"/>
          <w:highlight w:val="none"/>
        </w:rPr>
        <w:t>附件</w:t>
      </w:r>
      <w:r>
        <w:rPr>
          <w:rFonts w:hint="eastAsia" w:ascii="宋体" w:hAnsi="宋体"/>
          <w:color w:val="auto"/>
          <w:sz w:val="21"/>
          <w:szCs w:val="21"/>
          <w:highlight w:val="none"/>
          <w:lang w:val="en-US" w:eastAsia="zh-CN"/>
        </w:rPr>
        <w:t>15</w:t>
      </w:r>
      <w:r>
        <w:rPr>
          <w:rFonts w:hint="eastAsia" w:ascii="宋体" w:hAnsi="宋体"/>
          <w:color w:val="auto"/>
          <w:sz w:val="21"/>
          <w:szCs w:val="21"/>
          <w:highlight w:val="none"/>
        </w:rPr>
        <w:t>.不可撤销履约保函</w:t>
      </w:r>
      <w:bookmarkEnd w:id="246"/>
      <w:bookmarkEnd w:id="247"/>
      <w:bookmarkEnd w:id="248"/>
      <w:bookmarkEnd w:id="249"/>
      <w:bookmarkEnd w:id="250"/>
      <w:bookmarkEnd w:id="251"/>
      <w:bookmarkEnd w:id="252"/>
      <w:bookmarkEnd w:id="253"/>
      <w:bookmarkEnd w:id="254"/>
      <w:bookmarkEnd w:id="255"/>
      <w:bookmarkEnd w:id="256"/>
      <w:r>
        <w:rPr>
          <w:rFonts w:hint="eastAsia" w:ascii="宋体" w:hAnsi="宋体" w:cs="宋体"/>
          <w:color w:val="auto"/>
          <w:sz w:val="21"/>
          <w:szCs w:val="21"/>
          <w:highlight w:val="none"/>
        </w:rPr>
        <w:t>（投标时无须提供本模板格式）</w:t>
      </w:r>
      <w:bookmarkEnd w:id="257"/>
    </w:p>
    <w:p w14:paraId="21C8276A">
      <w:pPr>
        <w:jc w:val="center"/>
        <w:rPr>
          <w:rFonts w:ascii="黑体" w:eastAsia="黑体"/>
          <w:color w:val="auto"/>
          <w:sz w:val="28"/>
          <w:szCs w:val="28"/>
          <w:highlight w:val="none"/>
        </w:rPr>
      </w:pPr>
      <w:r>
        <w:rPr>
          <w:rFonts w:hint="eastAsia" w:ascii="黑体" w:eastAsia="黑体"/>
          <w:color w:val="auto"/>
          <w:sz w:val="28"/>
          <w:szCs w:val="28"/>
          <w:highlight w:val="none"/>
        </w:rPr>
        <w:t>不可撤销履约保函</w:t>
      </w:r>
    </w:p>
    <w:p w14:paraId="7FC51D88">
      <w:pPr>
        <w:jc w:val="center"/>
        <w:rPr>
          <w:rFonts w:ascii="宋体" w:hAnsi="宋体"/>
          <w:color w:val="auto"/>
          <w:highlight w:val="none"/>
        </w:rPr>
      </w:pPr>
      <w:r>
        <w:rPr>
          <w:rFonts w:hint="eastAsia" w:ascii="宋体" w:hAnsi="宋体"/>
          <w:color w:val="auto"/>
          <w:highlight w:val="none"/>
        </w:rPr>
        <w:t xml:space="preserve">                                         银行编号：            </w:t>
      </w:r>
    </w:p>
    <w:p w14:paraId="5747941C">
      <w:pPr>
        <w:rPr>
          <w:rFonts w:ascii="宋体" w:hAnsi="宋体"/>
          <w:color w:val="auto"/>
          <w:highlight w:val="none"/>
        </w:rPr>
      </w:pPr>
      <w:r>
        <w:rPr>
          <w:rFonts w:ascii="宋体" w:hAnsi="宋体"/>
          <w:color w:val="auto"/>
          <w:highlight w:val="none"/>
        </w:rPr>
        <w:t>致：</w:t>
      </w:r>
      <w:r>
        <w:rPr>
          <w:rFonts w:hint="eastAsia" w:ascii="宋体" w:hAnsi="宋体"/>
          <w:color w:val="auto"/>
          <w:highlight w:val="none"/>
          <w:u w:val="single"/>
        </w:rPr>
        <w:t xml:space="preserve">                        </w:t>
      </w:r>
      <w:r>
        <w:rPr>
          <w:rFonts w:hint="eastAsia" w:ascii="宋体" w:hAnsi="宋体"/>
          <w:color w:val="auto"/>
          <w:highlight w:val="none"/>
        </w:rPr>
        <w:t>（</w:t>
      </w:r>
      <w:r>
        <w:rPr>
          <w:rFonts w:hint="eastAsia"/>
          <w:color w:val="auto"/>
          <w:highlight w:val="none"/>
        </w:rPr>
        <w:t>甲方</w:t>
      </w:r>
      <w:r>
        <w:rPr>
          <w:rFonts w:hint="eastAsia" w:ascii="宋体" w:hAnsi="宋体"/>
          <w:color w:val="auto"/>
          <w:highlight w:val="none"/>
        </w:rPr>
        <w:t>）</w:t>
      </w:r>
    </w:p>
    <w:p w14:paraId="61F17CCF">
      <w:pPr>
        <w:ind w:firstLine="420" w:firstLineChars="200"/>
        <w:rPr>
          <w:rFonts w:ascii="宋体" w:hAnsi="宋体"/>
          <w:color w:val="auto"/>
          <w:highlight w:val="none"/>
        </w:rPr>
      </w:pPr>
      <w:r>
        <w:rPr>
          <w:rFonts w:hint="eastAsia" w:ascii="宋体" w:hAnsi="宋体"/>
          <w:color w:val="auto"/>
          <w:highlight w:val="none"/>
        </w:rPr>
        <w:t>鉴于</w:t>
      </w:r>
      <w:r>
        <w:rPr>
          <w:rFonts w:hint="eastAsia" w:ascii="宋体" w:hAnsi="宋体"/>
          <w:color w:val="auto"/>
          <w:highlight w:val="none"/>
          <w:u w:val="single"/>
        </w:rPr>
        <w:t xml:space="preserve">         （地址：          ，下称 “乙方” ）</w:t>
      </w:r>
      <w:r>
        <w:rPr>
          <w:rFonts w:hint="eastAsia" w:ascii="宋体" w:hAnsi="宋体"/>
          <w:color w:val="auto"/>
          <w:highlight w:val="none"/>
        </w:rPr>
        <w:t>已保证按</w:t>
      </w:r>
      <w:r>
        <w:rPr>
          <w:rFonts w:hint="eastAsia" w:ascii="宋体" w:hAnsi="宋体"/>
          <w:color w:val="auto"/>
          <w:highlight w:val="none"/>
          <w:u w:val="single"/>
        </w:rPr>
        <w:t xml:space="preserve">        承包合同书（合同编号：    ）</w:t>
      </w:r>
      <w:r>
        <w:rPr>
          <w:rFonts w:hint="eastAsia" w:ascii="宋体" w:hAnsi="宋体"/>
          <w:color w:val="auto"/>
          <w:highlight w:val="none"/>
        </w:rPr>
        <w:t>中规定的义务履行合同。</w:t>
      </w:r>
    </w:p>
    <w:p w14:paraId="25DD0970">
      <w:pPr>
        <w:ind w:firstLine="420" w:firstLineChars="200"/>
        <w:rPr>
          <w:rFonts w:ascii="宋体" w:hAnsi="宋体"/>
          <w:color w:val="auto"/>
          <w:highlight w:val="none"/>
        </w:rPr>
      </w:pPr>
      <w:r>
        <w:rPr>
          <w:rFonts w:hint="eastAsia" w:ascii="宋体" w:hAnsi="宋体"/>
          <w:color w:val="auto"/>
          <w:highlight w:val="none"/>
        </w:rPr>
        <w:t>根据上述合同约定，乙方应向</w:t>
      </w:r>
      <w:r>
        <w:rPr>
          <w:rFonts w:hint="eastAsia"/>
          <w:color w:val="auto"/>
          <w:highlight w:val="none"/>
        </w:rPr>
        <w:t>甲方</w:t>
      </w:r>
      <w:r>
        <w:rPr>
          <w:rFonts w:hint="eastAsia" w:ascii="宋体" w:hAnsi="宋体"/>
          <w:color w:val="auto"/>
          <w:highlight w:val="none"/>
        </w:rPr>
        <w:t>提供一份金额为合同总价的</w:t>
      </w:r>
      <w:r>
        <w:rPr>
          <w:rFonts w:hint="eastAsia" w:ascii="宋体" w:hAnsi="宋体"/>
          <w:color w:val="auto"/>
          <w:szCs w:val="24"/>
          <w:highlight w:val="none"/>
          <w:u w:val="single"/>
        </w:rPr>
        <w:t xml:space="preserve">   </w:t>
      </w:r>
      <w:r>
        <w:rPr>
          <w:rFonts w:hint="eastAsia" w:ascii="宋体" w:hAnsi="宋体"/>
          <w:color w:val="auto"/>
          <w:szCs w:val="24"/>
          <w:highlight w:val="none"/>
        </w:rPr>
        <w:t>%</w:t>
      </w:r>
      <w:r>
        <w:rPr>
          <w:rFonts w:hint="eastAsia" w:ascii="宋体" w:hAnsi="宋体"/>
          <w:color w:val="auto"/>
          <w:highlight w:val="none"/>
        </w:rPr>
        <w:t>即</w:t>
      </w:r>
      <w:r>
        <w:rPr>
          <w:rFonts w:hint="eastAsia" w:ascii="宋体" w:hAnsi="宋体"/>
          <w:color w:val="auto"/>
          <w:highlight w:val="none"/>
          <w:u w:val="single"/>
        </w:rPr>
        <w:t>人民币      （RMB    元）</w:t>
      </w:r>
      <w:r>
        <w:rPr>
          <w:rFonts w:hint="eastAsia" w:ascii="宋体" w:hAnsi="宋体"/>
          <w:color w:val="auto"/>
          <w:highlight w:val="none"/>
        </w:rPr>
        <w:t>的</w:t>
      </w:r>
      <w:r>
        <w:rPr>
          <w:rFonts w:hint="eastAsia" w:ascii="宋体" w:hAnsi="宋体"/>
          <w:bCs/>
          <w:color w:val="auto"/>
          <w:highlight w:val="none"/>
        </w:rPr>
        <w:t>不可撤销</w:t>
      </w:r>
      <w:r>
        <w:rPr>
          <w:rFonts w:hint="eastAsia" w:ascii="宋体" w:hAnsi="宋体"/>
          <w:color w:val="auto"/>
          <w:highlight w:val="none"/>
        </w:rPr>
        <w:t>银行履约保函，作为乙方履行上述合同的担保。</w:t>
      </w:r>
    </w:p>
    <w:p w14:paraId="4141408B">
      <w:pPr>
        <w:ind w:firstLine="420" w:firstLineChars="200"/>
        <w:rPr>
          <w:rFonts w:ascii="宋体" w:hAnsi="宋体"/>
          <w:color w:val="auto"/>
          <w:highlight w:val="none"/>
        </w:rPr>
      </w:pPr>
      <w:r>
        <w:rPr>
          <w:rFonts w:hint="eastAsia" w:ascii="宋体" w:hAnsi="宋体"/>
          <w:color w:val="auto"/>
          <w:highlight w:val="none"/>
        </w:rPr>
        <w:t>我方</w:t>
      </w:r>
      <w:r>
        <w:rPr>
          <w:rFonts w:hint="eastAsia" w:ascii="宋体" w:hAnsi="宋体"/>
          <w:color w:val="auto"/>
          <w:highlight w:val="none"/>
          <w:u w:val="single"/>
        </w:rPr>
        <w:t xml:space="preserve">            （银行名称）</w:t>
      </w:r>
      <w:r>
        <w:rPr>
          <w:rFonts w:hint="eastAsia" w:ascii="宋体" w:hAnsi="宋体"/>
          <w:color w:val="auto"/>
          <w:highlight w:val="none"/>
        </w:rPr>
        <w:t>，受乙方的委托，不仅作为连带责任保证人而且作为主要的责任人，无条件和不可撤销地同意在</w:t>
      </w:r>
      <w:r>
        <w:rPr>
          <w:rFonts w:hint="eastAsia"/>
          <w:color w:val="auto"/>
          <w:highlight w:val="none"/>
        </w:rPr>
        <w:t>甲方</w:t>
      </w:r>
      <w:r>
        <w:rPr>
          <w:rFonts w:hint="eastAsia" w:ascii="宋体" w:hAnsi="宋体"/>
          <w:color w:val="auto"/>
          <w:highlight w:val="none"/>
        </w:rPr>
        <w:t>提出因乙方没有履行上述合同规定，而要求扣划保证金的书面要求后，7个工作日内为</w:t>
      </w:r>
      <w:r>
        <w:rPr>
          <w:rFonts w:hint="eastAsia"/>
          <w:color w:val="auto"/>
          <w:highlight w:val="none"/>
        </w:rPr>
        <w:t>甲方</w:t>
      </w:r>
      <w:r>
        <w:rPr>
          <w:rFonts w:hint="eastAsia" w:ascii="宋体" w:hAnsi="宋体"/>
          <w:color w:val="auto"/>
          <w:highlight w:val="none"/>
        </w:rPr>
        <w:t>扣划金额不超过</w:t>
      </w:r>
      <w:r>
        <w:rPr>
          <w:rFonts w:hint="eastAsia" w:ascii="宋体" w:hAnsi="宋体"/>
          <w:color w:val="auto"/>
          <w:highlight w:val="none"/>
          <w:u w:val="single"/>
        </w:rPr>
        <w:t>人民币          （RMB       元）</w:t>
      </w:r>
      <w:r>
        <w:rPr>
          <w:rFonts w:hint="eastAsia" w:ascii="宋体" w:hAnsi="宋体"/>
          <w:color w:val="auto"/>
          <w:highlight w:val="none"/>
        </w:rPr>
        <w:t>的保证金。</w:t>
      </w:r>
    </w:p>
    <w:p w14:paraId="193DD9E0">
      <w:pPr>
        <w:ind w:firstLine="420" w:firstLineChars="200"/>
        <w:rPr>
          <w:color w:val="auto"/>
          <w:highlight w:val="none"/>
        </w:rPr>
      </w:pPr>
      <w:r>
        <w:rPr>
          <w:rFonts w:hint="eastAsia" w:ascii="宋体" w:hAnsi="宋体"/>
          <w:color w:val="auto"/>
          <w:highlight w:val="none"/>
        </w:rPr>
        <w:t>我</w:t>
      </w:r>
      <w:r>
        <w:rPr>
          <w:rFonts w:hint="eastAsia"/>
          <w:color w:val="auto"/>
          <w:highlight w:val="none"/>
        </w:rPr>
        <w:t>方还同意，任何甲方与乙方之间可能对合同条款的修改、规范或其他合同文件的变动补充，都不能免除我方按本保函所承担的责任。因此，有关上述变动、补充和修改无须通知我方。</w:t>
      </w:r>
    </w:p>
    <w:p w14:paraId="7EB3A802">
      <w:pPr>
        <w:ind w:firstLine="420" w:firstLineChars="200"/>
        <w:rPr>
          <w:color w:val="auto"/>
          <w:highlight w:val="none"/>
        </w:rPr>
      </w:pPr>
      <w:r>
        <w:rPr>
          <w:rFonts w:hint="eastAsia"/>
          <w:color w:val="auto"/>
          <w:highlight w:val="none"/>
        </w:rPr>
        <w:t>本保函从上述合同签订之日起至项目服务期结束验收合格并完成结算后，双方签字之日起7天内保持有效。</w:t>
      </w:r>
    </w:p>
    <w:p w14:paraId="1307D3A7">
      <w:pPr>
        <w:ind w:firstLine="2824" w:firstLineChars="1345"/>
        <w:rPr>
          <w:rFonts w:ascii="宋体" w:hAnsi="宋体"/>
          <w:color w:val="auto"/>
          <w:highlight w:val="none"/>
        </w:rPr>
      </w:pPr>
    </w:p>
    <w:p w14:paraId="1CB42D54">
      <w:pPr>
        <w:ind w:firstLine="5040" w:firstLineChars="2400"/>
        <w:rPr>
          <w:rFonts w:ascii="宋体" w:hAnsi="宋体"/>
          <w:color w:val="auto"/>
          <w:highlight w:val="none"/>
        </w:rPr>
      </w:pPr>
      <w:r>
        <w:rPr>
          <w:rFonts w:hint="eastAsia" w:ascii="宋体" w:hAnsi="宋体"/>
          <w:color w:val="auto"/>
          <w:highlight w:val="none"/>
        </w:rPr>
        <w:t>保证人：（盖章）</w:t>
      </w:r>
      <w:r>
        <w:rPr>
          <w:rFonts w:hint="eastAsia" w:ascii="宋体" w:hAnsi="宋体"/>
          <w:color w:val="auto"/>
          <w:highlight w:val="none"/>
          <w:u w:val="single"/>
        </w:rPr>
        <w:t xml:space="preserve">                        </w:t>
      </w:r>
    </w:p>
    <w:p w14:paraId="44A3250D">
      <w:pPr>
        <w:ind w:firstLine="5040" w:firstLineChars="2400"/>
        <w:rPr>
          <w:rFonts w:ascii="宋体" w:hAnsi="宋体"/>
          <w:color w:val="auto"/>
          <w:highlight w:val="none"/>
        </w:rPr>
      </w:pPr>
      <w:r>
        <w:rPr>
          <w:rFonts w:hint="eastAsia" w:ascii="宋体" w:hAnsi="宋体"/>
          <w:color w:val="auto"/>
          <w:highlight w:val="none"/>
        </w:rPr>
        <w:t>负责人：（签字）</w:t>
      </w:r>
      <w:r>
        <w:rPr>
          <w:rFonts w:hint="eastAsia" w:ascii="宋体" w:hAnsi="宋体"/>
          <w:color w:val="auto"/>
          <w:highlight w:val="none"/>
          <w:u w:val="single"/>
        </w:rPr>
        <w:t xml:space="preserve">                        </w:t>
      </w:r>
    </w:p>
    <w:p w14:paraId="4ABD011E">
      <w:pPr>
        <w:ind w:firstLine="5040" w:firstLineChars="2400"/>
        <w:rPr>
          <w:rFonts w:ascii="宋体" w:hAnsi="宋体"/>
          <w:color w:val="auto"/>
          <w:highlight w:val="none"/>
        </w:rPr>
      </w:pPr>
      <w:r>
        <w:rPr>
          <w:rFonts w:hint="eastAsia" w:ascii="宋体" w:hAnsi="宋体"/>
          <w:color w:val="auto"/>
          <w:highlight w:val="none"/>
        </w:rPr>
        <w:t>联系人：</w:t>
      </w:r>
      <w:r>
        <w:rPr>
          <w:rFonts w:hint="eastAsia" w:ascii="宋体" w:hAnsi="宋体"/>
          <w:color w:val="auto"/>
          <w:highlight w:val="none"/>
          <w:u w:val="single"/>
        </w:rPr>
        <w:t xml:space="preserve">                               </w:t>
      </w:r>
      <w:r>
        <w:rPr>
          <w:rFonts w:hint="eastAsia" w:ascii="宋体" w:hAnsi="宋体"/>
          <w:color w:val="auto"/>
          <w:highlight w:val="none"/>
        </w:rPr>
        <w:t xml:space="preserve">   </w:t>
      </w:r>
    </w:p>
    <w:p w14:paraId="1FA617E5">
      <w:pPr>
        <w:ind w:firstLine="5040" w:firstLineChars="2400"/>
        <w:rPr>
          <w:rFonts w:ascii="宋体" w:hAnsi="宋体"/>
          <w:color w:val="auto"/>
          <w:highlight w:val="none"/>
        </w:rPr>
      </w:pPr>
      <w:r>
        <w:rPr>
          <w:rFonts w:hint="eastAsia" w:ascii="宋体" w:hAnsi="宋体"/>
          <w:color w:val="auto"/>
          <w:highlight w:val="none"/>
        </w:rPr>
        <w:t>联系电话：</w:t>
      </w:r>
      <w:r>
        <w:rPr>
          <w:rFonts w:hint="eastAsia" w:ascii="宋体" w:hAnsi="宋体"/>
          <w:color w:val="auto"/>
          <w:highlight w:val="none"/>
          <w:u w:val="single"/>
        </w:rPr>
        <w:t xml:space="preserve">                             </w:t>
      </w:r>
    </w:p>
    <w:p w14:paraId="37FDCE3F">
      <w:pPr>
        <w:ind w:firstLine="5040" w:firstLineChars="2400"/>
        <w:rPr>
          <w:rFonts w:ascii="宋体" w:hAnsi="宋体"/>
          <w:color w:val="auto"/>
          <w:highlight w:val="none"/>
        </w:rPr>
      </w:pPr>
      <w:r>
        <w:rPr>
          <w:rFonts w:hint="eastAsia" w:ascii="宋体" w:hAnsi="宋体"/>
          <w:color w:val="auto"/>
          <w:highlight w:val="none"/>
        </w:rPr>
        <w:t>日期：</w:t>
      </w:r>
      <w:r>
        <w:rPr>
          <w:rFonts w:hint="eastAsia" w:ascii="宋体" w:hAnsi="宋体"/>
          <w:color w:val="auto"/>
          <w:highlight w:val="none"/>
          <w:u w:val="single"/>
        </w:rPr>
        <w:t xml:space="preserve">                               </w:t>
      </w:r>
    </w:p>
    <w:p w14:paraId="4F49AE79">
      <w:pPr>
        <w:pStyle w:val="7"/>
        <w:rPr>
          <w:color w:val="auto"/>
          <w:szCs w:val="24"/>
          <w:highlight w:val="none"/>
        </w:rPr>
      </w:pPr>
      <w:r>
        <w:rPr>
          <w:rFonts w:hint="eastAsia"/>
          <w:color w:val="auto"/>
          <w:szCs w:val="24"/>
          <w:highlight w:val="none"/>
        </w:rPr>
        <w:t>说明：投标人在投标时不需提交正式保函，在投标文件中盖投标人公章确认保函格式即可，乙方</w:t>
      </w:r>
      <w:r>
        <w:rPr>
          <w:rFonts w:hint="eastAsia"/>
          <w:color w:val="auto"/>
          <w:highlight w:val="none"/>
        </w:rPr>
        <w:t>在签订合同时</w:t>
      </w:r>
      <w:r>
        <w:rPr>
          <w:rFonts w:hint="eastAsia"/>
          <w:color w:val="auto"/>
          <w:szCs w:val="24"/>
          <w:highlight w:val="none"/>
        </w:rPr>
        <w:t>提交正式保函。</w:t>
      </w:r>
    </w:p>
    <w:p w14:paraId="193BD54E">
      <w:pPr>
        <w:rPr>
          <w:rFonts w:ascii="宋体" w:hAnsi="宋体"/>
          <w:color w:val="auto"/>
          <w:szCs w:val="21"/>
          <w:highlight w:val="none"/>
        </w:rPr>
      </w:pPr>
    </w:p>
    <w:p w14:paraId="4C6954EC">
      <w:pPr>
        <w:rPr>
          <w:rFonts w:ascii="宋体" w:hAnsi="宋体"/>
          <w:color w:val="auto"/>
          <w:szCs w:val="21"/>
          <w:highlight w:val="none"/>
        </w:rPr>
        <w:sectPr>
          <w:pgSz w:w="11906" w:h="16838"/>
          <w:pgMar w:top="1440" w:right="1800" w:bottom="1440" w:left="1800" w:header="708" w:footer="708" w:gutter="0"/>
          <w:cols w:space="708" w:num="1"/>
          <w:titlePg/>
          <w:docGrid w:type="lines" w:linePitch="360" w:charSpace="0"/>
        </w:sectPr>
      </w:pPr>
    </w:p>
    <w:p w14:paraId="5F5860D9">
      <w:pPr>
        <w:pStyle w:val="4"/>
        <w:numPr>
          <w:ilvl w:val="255"/>
          <w:numId w:val="0"/>
        </w:numPr>
        <w:tabs>
          <w:tab w:val="left" w:pos="720"/>
          <w:tab w:val="left" w:pos="3840"/>
        </w:tabs>
        <w:ind w:left="283"/>
        <w:jc w:val="both"/>
        <w:rPr>
          <w:rFonts w:ascii="宋体" w:hAnsi="宋体"/>
          <w:color w:val="auto"/>
          <w:sz w:val="21"/>
          <w:szCs w:val="21"/>
          <w:highlight w:val="none"/>
        </w:rPr>
      </w:pPr>
      <w:bookmarkStart w:id="258" w:name="_Toc29098"/>
      <w:bookmarkStart w:id="259" w:name="_Toc1326"/>
      <w:r>
        <w:rPr>
          <w:rFonts w:hint="eastAsia" w:ascii="宋体" w:hAnsi="宋体"/>
          <w:color w:val="auto"/>
          <w:sz w:val="21"/>
          <w:szCs w:val="21"/>
          <w:highlight w:val="none"/>
        </w:rPr>
        <w:t>附件</w:t>
      </w:r>
      <w:r>
        <w:rPr>
          <w:rFonts w:hint="eastAsia" w:ascii="宋体" w:hAnsi="宋体"/>
          <w:color w:val="auto"/>
          <w:sz w:val="21"/>
          <w:szCs w:val="21"/>
          <w:highlight w:val="none"/>
          <w:lang w:val="en-US" w:eastAsia="zh-CN"/>
        </w:rPr>
        <w:t>16</w:t>
      </w:r>
      <w:r>
        <w:rPr>
          <w:rFonts w:hint="eastAsia" w:ascii="宋体" w:hAnsi="宋体"/>
          <w:color w:val="auto"/>
          <w:sz w:val="21"/>
          <w:szCs w:val="21"/>
          <w:highlight w:val="none"/>
        </w:rPr>
        <w:t>.预付款保函（适用于预付款支付）</w:t>
      </w:r>
      <w:bookmarkEnd w:id="258"/>
      <w:r>
        <w:rPr>
          <w:rFonts w:hint="eastAsia" w:ascii="宋体" w:hAnsi="宋体" w:cs="宋体"/>
          <w:color w:val="auto"/>
          <w:sz w:val="21"/>
          <w:szCs w:val="21"/>
          <w:highlight w:val="none"/>
        </w:rPr>
        <w:t>（投标时无须提供本模板格式）</w:t>
      </w:r>
      <w:bookmarkEnd w:id="259"/>
    </w:p>
    <w:p w14:paraId="2793A97B">
      <w:pPr>
        <w:pStyle w:val="7"/>
        <w:rPr>
          <w:color w:val="auto"/>
          <w:szCs w:val="24"/>
          <w:highlight w:val="none"/>
        </w:rPr>
      </w:pPr>
    </w:p>
    <w:p w14:paraId="64632D1D">
      <w:pPr>
        <w:jc w:val="center"/>
        <w:rPr>
          <w:rFonts w:ascii="黑体" w:eastAsia="黑体"/>
          <w:color w:val="auto"/>
          <w:sz w:val="28"/>
          <w:szCs w:val="28"/>
          <w:highlight w:val="none"/>
        </w:rPr>
      </w:pPr>
      <w:bookmarkStart w:id="260" w:name="_Toc5034"/>
      <w:bookmarkStart w:id="261" w:name="_Toc29054"/>
      <w:bookmarkStart w:id="262" w:name="_Toc1039"/>
      <w:bookmarkStart w:id="263" w:name="_Toc31418"/>
      <w:bookmarkStart w:id="264" w:name="_Toc10315"/>
      <w:bookmarkStart w:id="265" w:name="_Toc27545"/>
      <w:bookmarkStart w:id="266" w:name="_Toc29728"/>
      <w:bookmarkStart w:id="267" w:name="_Toc7374"/>
      <w:bookmarkStart w:id="268" w:name="_Toc6877"/>
      <w:bookmarkStart w:id="269" w:name="_Toc3295"/>
      <w:bookmarkStart w:id="270" w:name="_Toc25494"/>
      <w:bookmarkStart w:id="271" w:name="_Toc20669"/>
      <w:r>
        <w:rPr>
          <w:rFonts w:hint="eastAsia" w:ascii="黑体" w:eastAsia="黑体"/>
          <w:color w:val="auto"/>
          <w:sz w:val="28"/>
          <w:szCs w:val="28"/>
          <w:highlight w:val="none"/>
        </w:rPr>
        <w:t>不可撤销预付款保函</w:t>
      </w:r>
      <w:bookmarkEnd w:id="260"/>
      <w:bookmarkEnd w:id="261"/>
      <w:bookmarkEnd w:id="262"/>
      <w:bookmarkEnd w:id="263"/>
      <w:bookmarkEnd w:id="264"/>
      <w:bookmarkEnd w:id="265"/>
      <w:bookmarkEnd w:id="266"/>
      <w:bookmarkEnd w:id="267"/>
      <w:bookmarkEnd w:id="268"/>
      <w:bookmarkEnd w:id="269"/>
      <w:bookmarkEnd w:id="270"/>
      <w:bookmarkEnd w:id="271"/>
    </w:p>
    <w:p w14:paraId="3E676F5C">
      <w:pPr>
        <w:ind w:firstLine="6300"/>
        <w:rPr>
          <w:color w:val="auto"/>
          <w:szCs w:val="21"/>
          <w:highlight w:val="none"/>
          <w:u w:val="single"/>
        </w:rPr>
      </w:pPr>
      <w:r>
        <w:rPr>
          <w:rFonts w:hint="eastAsia"/>
          <w:color w:val="auto"/>
          <w:szCs w:val="21"/>
          <w:highlight w:val="none"/>
        </w:rPr>
        <w:t>银行编号：</w:t>
      </w:r>
      <w:r>
        <w:rPr>
          <w:rFonts w:hint="eastAsia"/>
          <w:color w:val="auto"/>
          <w:szCs w:val="21"/>
          <w:highlight w:val="none"/>
          <w:u w:val="single"/>
        </w:rPr>
        <w:t xml:space="preserve">             </w:t>
      </w:r>
    </w:p>
    <w:p w14:paraId="62BC412E">
      <w:pPr>
        <w:ind w:firstLine="6300"/>
        <w:rPr>
          <w:color w:val="auto"/>
          <w:szCs w:val="21"/>
          <w:highlight w:val="none"/>
        </w:rPr>
      </w:pPr>
    </w:p>
    <w:p w14:paraId="29C64163">
      <w:pPr>
        <w:rPr>
          <w:rFonts w:ascii="宋体" w:hAnsi="宋体"/>
          <w:color w:val="auto"/>
          <w:szCs w:val="21"/>
          <w:highlight w:val="none"/>
        </w:rPr>
      </w:pPr>
      <w:r>
        <w:rPr>
          <w:rFonts w:hint="eastAsia" w:ascii="宋体" w:hAnsi="宋体"/>
          <w:color w:val="auto"/>
          <w:szCs w:val="21"/>
          <w:highlight w:val="none"/>
        </w:rPr>
        <w:t>致：</w:t>
      </w:r>
      <w:r>
        <w:rPr>
          <w:rFonts w:hint="eastAsia" w:ascii="宋体" w:hAnsi="宋体"/>
          <w:color w:val="auto"/>
          <w:szCs w:val="21"/>
          <w:highlight w:val="none"/>
          <w:u w:val="single"/>
        </w:rPr>
        <w:t xml:space="preserve">                    </w:t>
      </w:r>
      <w:r>
        <w:rPr>
          <w:rFonts w:hint="eastAsia" w:ascii="宋体" w:hAnsi="宋体"/>
          <w:color w:val="auto"/>
          <w:szCs w:val="21"/>
          <w:highlight w:val="none"/>
        </w:rPr>
        <w:t>（下称“采购人”）</w:t>
      </w:r>
    </w:p>
    <w:p w14:paraId="5FC82ACD">
      <w:pPr>
        <w:ind w:firstLine="437"/>
        <w:rPr>
          <w:rFonts w:ascii="宋体" w:hAnsi="宋体"/>
          <w:color w:val="auto"/>
          <w:szCs w:val="21"/>
          <w:highlight w:val="none"/>
        </w:rPr>
      </w:pPr>
      <w:r>
        <w:rPr>
          <w:rFonts w:hint="eastAsia" w:ascii="宋体" w:hAnsi="宋体"/>
          <w:color w:val="auto"/>
          <w:szCs w:val="21"/>
          <w:highlight w:val="none"/>
        </w:rPr>
        <w:t>鉴于</w:t>
      </w:r>
      <w:r>
        <w:rPr>
          <w:rFonts w:hint="eastAsia" w:ascii="宋体" w:hAnsi="宋体"/>
          <w:color w:val="auto"/>
          <w:szCs w:val="21"/>
          <w:highlight w:val="none"/>
          <w:u w:val="single"/>
        </w:rPr>
        <w:t xml:space="preserve">            </w:t>
      </w:r>
      <w:r>
        <w:rPr>
          <w:rFonts w:hint="eastAsia" w:ascii="宋体" w:hAnsi="宋体"/>
          <w:color w:val="auto"/>
          <w:szCs w:val="24"/>
          <w:highlight w:val="none"/>
          <w:u w:val="single"/>
        </w:rPr>
        <w:t>（地址：          ，下称 “中标人” ）</w:t>
      </w:r>
      <w:r>
        <w:rPr>
          <w:rFonts w:hint="eastAsia" w:ascii="宋体" w:hAnsi="宋体"/>
          <w:color w:val="auto"/>
          <w:szCs w:val="21"/>
          <w:highlight w:val="none"/>
        </w:rPr>
        <w:t>，已保证按</w:t>
      </w:r>
      <w:r>
        <w:rPr>
          <w:rFonts w:hint="eastAsia" w:ascii="宋体" w:hAnsi="宋体"/>
          <w:color w:val="auto"/>
          <w:szCs w:val="21"/>
          <w:highlight w:val="none"/>
          <w:u w:val="single"/>
        </w:rPr>
        <w:t xml:space="preserve">          承包合同书（合同编号：    ）</w:t>
      </w:r>
      <w:r>
        <w:rPr>
          <w:rFonts w:hint="eastAsia" w:ascii="宋体" w:hAnsi="宋体"/>
          <w:color w:val="auto"/>
          <w:szCs w:val="21"/>
          <w:highlight w:val="none"/>
        </w:rPr>
        <w:t>中规定的义务履行合同。</w:t>
      </w:r>
    </w:p>
    <w:p w14:paraId="21EB0AA8">
      <w:pPr>
        <w:ind w:firstLine="437"/>
        <w:rPr>
          <w:rFonts w:ascii="宋体" w:hAnsi="宋体"/>
          <w:color w:val="auto"/>
          <w:szCs w:val="21"/>
          <w:highlight w:val="none"/>
        </w:rPr>
      </w:pPr>
      <w:r>
        <w:rPr>
          <w:rFonts w:hint="eastAsia" w:ascii="宋体" w:hAnsi="宋体"/>
          <w:color w:val="auto"/>
          <w:szCs w:val="24"/>
          <w:highlight w:val="none"/>
        </w:rPr>
        <w:t>根据上述合同（采购文件）规定，中标人应向采购人提供一份金额为合同总价的</w:t>
      </w:r>
      <w:r>
        <w:rPr>
          <w:rFonts w:hint="eastAsia" w:ascii="宋体" w:hAnsi="宋体"/>
          <w:color w:val="auto"/>
          <w:szCs w:val="24"/>
          <w:highlight w:val="none"/>
          <w:u w:val="single"/>
        </w:rPr>
        <w:t xml:space="preserve">   </w:t>
      </w:r>
      <w:r>
        <w:rPr>
          <w:rFonts w:hint="eastAsia" w:ascii="宋体" w:hAnsi="宋体"/>
          <w:color w:val="auto"/>
          <w:szCs w:val="24"/>
          <w:highlight w:val="none"/>
        </w:rPr>
        <w:t>% 即人民币</w:t>
      </w:r>
      <w:r>
        <w:rPr>
          <w:rFonts w:hint="eastAsia" w:ascii="宋体" w:hAnsi="宋体"/>
          <w:color w:val="auto"/>
          <w:szCs w:val="21"/>
          <w:highlight w:val="none"/>
          <w:u w:val="single"/>
        </w:rPr>
        <w:t xml:space="preserve">      （RMB      元）</w:t>
      </w:r>
      <w:r>
        <w:rPr>
          <w:rFonts w:hint="eastAsia" w:ascii="宋体" w:hAnsi="宋体"/>
          <w:color w:val="auto"/>
          <w:szCs w:val="21"/>
          <w:highlight w:val="none"/>
        </w:rPr>
        <w:t>的不可撤销银行预付款保函，以保证中标人履行合同的相关条款。</w:t>
      </w:r>
    </w:p>
    <w:p w14:paraId="7639434F">
      <w:pPr>
        <w:ind w:firstLine="437"/>
        <w:rPr>
          <w:rFonts w:ascii="宋体" w:hAnsi="宋体"/>
          <w:color w:val="auto"/>
          <w:szCs w:val="21"/>
          <w:highlight w:val="none"/>
        </w:rPr>
      </w:pPr>
      <w:r>
        <w:rPr>
          <w:rFonts w:hint="eastAsia" w:ascii="宋体" w:hAnsi="宋体"/>
          <w:color w:val="auto"/>
          <w:szCs w:val="21"/>
          <w:highlight w:val="none"/>
        </w:rPr>
        <w:t>我方</w:t>
      </w:r>
      <w:r>
        <w:rPr>
          <w:rFonts w:hint="eastAsia" w:ascii="宋体" w:hAnsi="宋体"/>
          <w:color w:val="auto"/>
          <w:szCs w:val="21"/>
          <w:highlight w:val="none"/>
          <w:u w:val="single"/>
        </w:rPr>
        <w:t xml:space="preserve">  （银行名称）  </w:t>
      </w:r>
      <w:r>
        <w:rPr>
          <w:rFonts w:hint="eastAsia" w:ascii="宋体" w:hAnsi="宋体"/>
          <w:color w:val="auto"/>
          <w:szCs w:val="21"/>
          <w:highlight w:val="none"/>
        </w:rPr>
        <w:t>，受中标人的委托，作为连带责任保证人，无条件和不可撤销地同意在采购人提出因中标人没有履行上述合同规定，而要求收回上述金额内任何付款的书面要求后，于7个工作日内为采购人予以支付并保证到达采购人账户，以保证在中标人没有履行或部分履行合同条款的责任时，采购人可以向中标人收回全部或部分预付款。</w:t>
      </w:r>
    </w:p>
    <w:p w14:paraId="7704620B">
      <w:pPr>
        <w:ind w:firstLine="437"/>
        <w:rPr>
          <w:rFonts w:ascii="宋体" w:hAnsi="宋体"/>
          <w:color w:val="auto"/>
          <w:szCs w:val="21"/>
          <w:highlight w:val="none"/>
        </w:rPr>
      </w:pPr>
      <w:r>
        <w:rPr>
          <w:rFonts w:hint="eastAsia" w:ascii="宋体" w:hAnsi="宋体"/>
          <w:color w:val="auto"/>
          <w:szCs w:val="21"/>
          <w:highlight w:val="none"/>
        </w:rPr>
        <w:t>我方还同意，任何采购人与中标人之间可能对合同条款的修改、规范或其他合同文件的变动补充，都不能免除我方按本保函所承担的责任。因此，有关上述变动、补充和修改无须通知我方。</w:t>
      </w:r>
    </w:p>
    <w:p w14:paraId="51BF2955">
      <w:pPr>
        <w:ind w:firstLine="437"/>
        <w:rPr>
          <w:rFonts w:ascii="宋体" w:hAnsi="宋体"/>
          <w:color w:val="auto"/>
          <w:szCs w:val="21"/>
          <w:highlight w:val="none"/>
        </w:rPr>
      </w:pPr>
      <w:r>
        <w:rPr>
          <w:rFonts w:hint="eastAsia" w:ascii="宋体" w:hAnsi="宋体"/>
          <w:color w:val="auto"/>
          <w:szCs w:val="21"/>
          <w:highlight w:val="none"/>
        </w:rPr>
        <w:t>本保函有效期从保函开立之日起至采购人向中标人抵扣完所有预付款之日止。</w:t>
      </w:r>
    </w:p>
    <w:p w14:paraId="6E2E45A3">
      <w:pPr>
        <w:rPr>
          <w:rFonts w:ascii="宋体" w:hAnsi="宋体"/>
          <w:color w:val="auto"/>
          <w:szCs w:val="21"/>
          <w:highlight w:val="none"/>
        </w:rPr>
      </w:pPr>
    </w:p>
    <w:p w14:paraId="3B83378D">
      <w:pPr>
        <w:ind w:firstLine="437"/>
        <w:rPr>
          <w:rFonts w:ascii="宋体" w:hAnsi="宋体"/>
          <w:color w:val="auto"/>
          <w:szCs w:val="21"/>
          <w:highlight w:val="none"/>
        </w:rPr>
      </w:pPr>
    </w:p>
    <w:p w14:paraId="4455A104">
      <w:pPr>
        <w:ind w:firstLine="4860"/>
        <w:rPr>
          <w:rFonts w:ascii="宋体" w:hAnsi="宋体"/>
          <w:color w:val="auto"/>
          <w:szCs w:val="21"/>
          <w:highlight w:val="none"/>
        </w:rPr>
      </w:pPr>
      <w:r>
        <w:rPr>
          <w:rFonts w:hint="eastAsia" w:ascii="宋体" w:hAnsi="宋体"/>
          <w:color w:val="auto"/>
          <w:szCs w:val="21"/>
          <w:highlight w:val="none"/>
        </w:rPr>
        <w:t>保证人：（公章）</w:t>
      </w:r>
      <w:r>
        <w:rPr>
          <w:rFonts w:hint="eastAsia" w:ascii="宋体" w:hAnsi="宋体"/>
          <w:color w:val="auto"/>
          <w:szCs w:val="21"/>
          <w:highlight w:val="none"/>
          <w:u w:val="single"/>
        </w:rPr>
        <w:t xml:space="preserve">                     </w:t>
      </w:r>
    </w:p>
    <w:p w14:paraId="6F0783C6">
      <w:pPr>
        <w:ind w:firstLine="4860"/>
        <w:rPr>
          <w:rFonts w:ascii="宋体" w:hAnsi="宋体"/>
          <w:color w:val="auto"/>
          <w:szCs w:val="21"/>
          <w:highlight w:val="none"/>
          <w:u w:val="single"/>
        </w:rPr>
      </w:pPr>
      <w:r>
        <w:rPr>
          <w:rFonts w:hint="eastAsia" w:ascii="宋体" w:hAnsi="宋体"/>
          <w:color w:val="auto"/>
          <w:szCs w:val="21"/>
          <w:highlight w:val="none"/>
        </w:rPr>
        <w:t>负责人：（签字）</w:t>
      </w:r>
      <w:r>
        <w:rPr>
          <w:rFonts w:hint="eastAsia" w:ascii="宋体" w:hAnsi="宋体"/>
          <w:color w:val="auto"/>
          <w:szCs w:val="21"/>
          <w:highlight w:val="none"/>
          <w:u w:val="single"/>
        </w:rPr>
        <w:t xml:space="preserve">                     </w:t>
      </w:r>
    </w:p>
    <w:p w14:paraId="3D350FE9">
      <w:pPr>
        <w:ind w:firstLine="4860"/>
        <w:rPr>
          <w:rFonts w:ascii="宋体" w:hAnsi="宋体"/>
          <w:color w:val="auto"/>
          <w:szCs w:val="21"/>
          <w:highlight w:val="none"/>
          <w:u w:val="single"/>
        </w:rPr>
      </w:pPr>
      <w:r>
        <w:rPr>
          <w:rFonts w:hint="eastAsia" w:ascii="宋体" w:hAnsi="宋体"/>
          <w:color w:val="auto"/>
          <w:szCs w:val="21"/>
          <w:highlight w:val="none"/>
        </w:rPr>
        <w:t>联系电话：</w:t>
      </w:r>
      <w:r>
        <w:rPr>
          <w:rFonts w:hint="eastAsia" w:ascii="宋体" w:hAnsi="宋体"/>
          <w:color w:val="auto"/>
          <w:szCs w:val="21"/>
          <w:highlight w:val="none"/>
          <w:u w:val="single"/>
        </w:rPr>
        <w:t xml:space="preserve">                          </w:t>
      </w:r>
    </w:p>
    <w:p w14:paraId="3083E2AF">
      <w:pPr>
        <w:ind w:firstLine="4860"/>
        <w:rPr>
          <w:rFonts w:ascii="宋体" w:hAnsi="宋体"/>
          <w:color w:val="auto"/>
          <w:szCs w:val="21"/>
          <w:highlight w:val="none"/>
        </w:rPr>
      </w:pPr>
      <w:r>
        <w:rPr>
          <w:rFonts w:hint="eastAsia" w:ascii="宋体" w:hAnsi="宋体"/>
          <w:color w:val="auto"/>
          <w:szCs w:val="21"/>
          <w:highlight w:val="none"/>
        </w:rPr>
        <w:t>地址：</w:t>
      </w:r>
      <w:r>
        <w:rPr>
          <w:rFonts w:hint="eastAsia" w:ascii="宋体" w:hAnsi="宋体"/>
          <w:color w:val="auto"/>
          <w:szCs w:val="21"/>
          <w:highlight w:val="none"/>
          <w:u w:val="single"/>
        </w:rPr>
        <w:t xml:space="preserve">                              </w:t>
      </w:r>
    </w:p>
    <w:p w14:paraId="15DECB30">
      <w:pPr>
        <w:ind w:firstLine="4860"/>
        <w:rPr>
          <w:rFonts w:ascii="宋体" w:hAnsi="宋体"/>
          <w:color w:val="auto"/>
          <w:szCs w:val="21"/>
          <w:highlight w:val="none"/>
          <w:u w:val="single"/>
        </w:rPr>
      </w:pPr>
      <w:r>
        <w:rPr>
          <w:rFonts w:hint="eastAsia" w:ascii="宋体" w:hAnsi="宋体"/>
          <w:color w:val="auto"/>
          <w:szCs w:val="21"/>
          <w:highlight w:val="none"/>
        </w:rPr>
        <w:t>日期：</w:t>
      </w:r>
      <w:r>
        <w:rPr>
          <w:rFonts w:hint="eastAsia" w:ascii="宋体" w:hAnsi="宋体"/>
          <w:color w:val="auto"/>
          <w:szCs w:val="21"/>
          <w:highlight w:val="none"/>
          <w:u w:val="single"/>
        </w:rPr>
        <w:t xml:space="preserve">                              </w:t>
      </w:r>
    </w:p>
    <w:p w14:paraId="1AFB72A9">
      <w:pPr>
        <w:pStyle w:val="7"/>
        <w:rPr>
          <w:color w:val="auto"/>
          <w:szCs w:val="21"/>
          <w:highlight w:val="none"/>
        </w:rPr>
      </w:pPr>
    </w:p>
    <w:p w14:paraId="2E7F375C">
      <w:pPr>
        <w:pStyle w:val="7"/>
        <w:rPr>
          <w:color w:val="auto"/>
          <w:szCs w:val="21"/>
          <w:highlight w:val="none"/>
        </w:rPr>
      </w:pPr>
    </w:p>
    <w:p w14:paraId="02F3F8E3">
      <w:pPr>
        <w:ind w:firstLine="413" w:firstLineChars="196"/>
        <w:rPr>
          <w:rFonts w:ascii="宋体" w:hAnsi="宋体"/>
          <w:b/>
          <w:color w:val="auto"/>
          <w:szCs w:val="21"/>
          <w:highlight w:val="none"/>
        </w:rPr>
      </w:pPr>
      <w:r>
        <w:rPr>
          <w:rFonts w:hint="eastAsia" w:ascii="宋体" w:hAnsi="宋体"/>
          <w:b/>
          <w:color w:val="auto"/>
          <w:szCs w:val="21"/>
          <w:highlight w:val="none"/>
        </w:rPr>
        <w:t>说明：投标人在投标文件中盖投标人公章确认保函内容即可，如中标再由银行出具保函。</w:t>
      </w:r>
    </w:p>
    <w:p w14:paraId="096989C0">
      <w:pPr>
        <w:rPr>
          <w:rFonts w:ascii="宋体" w:hAnsi="宋体"/>
          <w:color w:val="auto"/>
          <w:szCs w:val="21"/>
          <w:highlight w:val="none"/>
        </w:rPr>
        <w:sectPr>
          <w:pgSz w:w="11906" w:h="16838"/>
          <w:pgMar w:top="1440" w:right="1800" w:bottom="1440" w:left="1800" w:header="708" w:footer="708" w:gutter="0"/>
          <w:cols w:space="708" w:num="1"/>
          <w:titlePg/>
          <w:docGrid w:type="lines" w:linePitch="360" w:charSpace="0"/>
        </w:sectPr>
      </w:pPr>
    </w:p>
    <w:p w14:paraId="78604227">
      <w:pPr>
        <w:pStyle w:val="6"/>
        <w:rPr>
          <w:color w:val="auto"/>
          <w:highlight w:val="none"/>
        </w:rPr>
      </w:pPr>
      <w:bookmarkStart w:id="272" w:name="_Toc1968"/>
    </w:p>
    <w:p w14:paraId="129C87B0">
      <w:pPr>
        <w:jc w:val="center"/>
        <w:outlineLvl w:val="1"/>
        <w:rPr>
          <w:rFonts w:eastAsia="黑体"/>
          <w:color w:val="auto"/>
          <w:sz w:val="72"/>
          <w:szCs w:val="72"/>
          <w:highlight w:val="none"/>
        </w:rPr>
      </w:pPr>
      <w:bookmarkStart w:id="273" w:name="_Toc14628"/>
      <w:bookmarkStart w:id="274" w:name="_Toc16601"/>
      <w:r>
        <w:rPr>
          <w:rFonts w:hint="eastAsia" w:eastAsia="黑体"/>
          <w:color w:val="auto"/>
          <w:sz w:val="72"/>
          <w:szCs w:val="72"/>
          <w:highlight w:val="none"/>
        </w:rPr>
        <w:t>唱标信封</w:t>
      </w:r>
      <w:bookmarkEnd w:id="273"/>
      <w:bookmarkEnd w:id="274"/>
    </w:p>
    <w:p w14:paraId="39377AE3">
      <w:pPr>
        <w:jc w:val="center"/>
        <w:rPr>
          <w:rFonts w:ascii="黑体" w:eastAsia="黑体"/>
          <w:color w:val="auto"/>
          <w:sz w:val="52"/>
          <w:szCs w:val="52"/>
          <w:highlight w:val="none"/>
        </w:rPr>
      </w:pPr>
      <w:r>
        <w:rPr>
          <w:rFonts w:hint="eastAsia" w:ascii="黑体" w:eastAsia="黑体"/>
          <w:color w:val="auto"/>
          <w:sz w:val="52"/>
          <w:szCs w:val="52"/>
          <w:highlight w:val="none"/>
        </w:rPr>
        <w:t>（单独装订成册，单独封装）</w:t>
      </w:r>
    </w:p>
    <w:p w14:paraId="0E0A6A2F">
      <w:pPr>
        <w:rPr>
          <w:color w:val="auto"/>
          <w:highlight w:val="none"/>
        </w:rPr>
      </w:pPr>
    </w:p>
    <w:p w14:paraId="0F547837">
      <w:pPr>
        <w:pStyle w:val="6"/>
        <w:rPr>
          <w:color w:val="auto"/>
          <w:highlight w:val="none"/>
        </w:rPr>
      </w:pPr>
    </w:p>
    <w:p w14:paraId="1A3D0130">
      <w:pPr>
        <w:pStyle w:val="14"/>
        <w:ind w:firstLine="240"/>
        <w:rPr>
          <w:color w:val="auto"/>
          <w:highlight w:val="none"/>
        </w:rPr>
      </w:pPr>
    </w:p>
    <w:p w14:paraId="6601E5EF">
      <w:pPr>
        <w:pStyle w:val="14"/>
        <w:ind w:firstLine="240"/>
        <w:rPr>
          <w:color w:val="auto"/>
          <w:highlight w:val="none"/>
        </w:rPr>
      </w:pPr>
    </w:p>
    <w:p w14:paraId="7CD2870D">
      <w:pPr>
        <w:adjustRightInd/>
        <w:snapToGrid/>
        <w:spacing w:line="276" w:lineRule="auto"/>
        <w:rPr>
          <w:rFonts w:hint="eastAsia" w:ascii="宋体" w:hAnsi="宋体" w:eastAsia="宋体"/>
          <w:b/>
          <w:bCs/>
          <w:color w:val="auto"/>
          <w:sz w:val="32"/>
          <w:szCs w:val="32"/>
          <w:highlight w:val="none"/>
        </w:rPr>
      </w:pPr>
      <w:r>
        <w:rPr>
          <w:rFonts w:hint="eastAsia" w:ascii="宋体" w:hAnsi="宋体" w:eastAsia="宋体"/>
          <w:b/>
          <w:bCs/>
          <w:color w:val="auto"/>
          <w:sz w:val="32"/>
          <w:szCs w:val="32"/>
          <w:highlight w:val="none"/>
        </w:rPr>
        <w:t>项目名称：</w:t>
      </w:r>
    </w:p>
    <w:p w14:paraId="07C44303">
      <w:pPr>
        <w:adjustRightInd/>
        <w:snapToGrid/>
        <w:spacing w:line="276" w:lineRule="auto"/>
        <w:rPr>
          <w:rFonts w:hint="eastAsia" w:ascii="宋体" w:hAnsi="宋体" w:eastAsia="宋体"/>
          <w:b/>
          <w:bCs/>
          <w:color w:val="auto"/>
          <w:sz w:val="32"/>
          <w:szCs w:val="32"/>
          <w:highlight w:val="none"/>
        </w:rPr>
      </w:pPr>
      <w:r>
        <w:rPr>
          <w:rFonts w:hint="eastAsia" w:ascii="宋体" w:hAnsi="宋体" w:eastAsia="宋体"/>
          <w:b/>
          <w:bCs/>
          <w:color w:val="auto"/>
          <w:sz w:val="32"/>
          <w:szCs w:val="32"/>
          <w:highlight w:val="none"/>
        </w:rPr>
        <w:t>项目编号：</w:t>
      </w:r>
    </w:p>
    <w:p w14:paraId="4263C89E">
      <w:pPr>
        <w:adjustRightInd/>
        <w:snapToGrid/>
        <w:spacing w:line="276" w:lineRule="auto"/>
        <w:rPr>
          <w:rFonts w:hint="eastAsia" w:ascii="宋体" w:hAnsi="宋体" w:eastAsia="宋体"/>
          <w:b/>
          <w:bCs/>
          <w:color w:val="auto"/>
          <w:sz w:val="32"/>
          <w:szCs w:val="32"/>
          <w:highlight w:val="none"/>
        </w:rPr>
      </w:pPr>
      <w:r>
        <w:rPr>
          <w:rFonts w:hint="eastAsia" w:ascii="宋体" w:hAnsi="宋体" w:eastAsia="宋体"/>
          <w:b/>
          <w:bCs/>
          <w:color w:val="auto"/>
          <w:sz w:val="32"/>
          <w:szCs w:val="32"/>
          <w:highlight w:val="none"/>
        </w:rPr>
        <w:t>投标人名称：</w:t>
      </w:r>
    </w:p>
    <w:p w14:paraId="5A765DA9">
      <w:pPr>
        <w:adjustRightInd/>
        <w:snapToGrid/>
        <w:spacing w:line="276" w:lineRule="auto"/>
        <w:rPr>
          <w:rFonts w:hint="eastAsia" w:ascii="宋体" w:hAnsi="宋体" w:eastAsia="宋体"/>
          <w:b/>
          <w:bCs/>
          <w:color w:val="auto"/>
          <w:sz w:val="32"/>
          <w:szCs w:val="32"/>
          <w:highlight w:val="none"/>
        </w:rPr>
      </w:pPr>
      <w:r>
        <w:rPr>
          <w:rFonts w:hint="eastAsia" w:ascii="宋体" w:hAnsi="宋体" w:eastAsia="宋体"/>
          <w:b/>
          <w:bCs/>
          <w:color w:val="auto"/>
          <w:sz w:val="32"/>
          <w:szCs w:val="32"/>
          <w:highlight w:val="none"/>
        </w:rPr>
        <w:t>日      期：</w:t>
      </w:r>
    </w:p>
    <w:p w14:paraId="59677D1D">
      <w:pPr>
        <w:rPr>
          <w:rFonts w:ascii="宋体" w:hAnsi="宋体"/>
          <w:color w:val="auto"/>
          <w:spacing w:val="230"/>
          <w:w w:val="100"/>
          <w:kern w:val="0"/>
          <w:szCs w:val="21"/>
          <w:highlight w:val="none"/>
          <w:fitText w:val="1600" w:id="1627552277"/>
        </w:rPr>
      </w:pPr>
      <w:r>
        <w:rPr>
          <w:rFonts w:hint="eastAsia" w:ascii="宋体" w:hAnsi="宋体"/>
          <w:color w:val="auto"/>
          <w:spacing w:val="230"/>
          <w:w w:val="100"/>
          <w:kern w:val="0"/>
          <w:szCs w:val="21"/>
          <w:highlight w:val="none"/>
          <w:fitText w:val="1600" w:id="1627552277"/>
        </w:rPr>
        <w:br w:type="page"/>
      </w:r>
    </w:p>
    <w:p w14:paraId="013CCBE1">
      <w:pPr>
        <w:outlineLvl w:val="1"/>
        <w:rPr>
          <w:color w:val="auto"/>
          <w:spacing w:val="0"/>
          <w:w w:val="100"/>
          <w:kern w:val="0"/>
          <w:sz w:val="72"/>
          <w:szCs w:val="72"/>
          <w:highlight w:val="none"/>
          <w:fitText w:val="1600" w:id="1627552277"/>
        </w:rPr>
        <w:sectPr>
          <w:pgSz w:w="11906" w:h="16838"/>
          <w:pgMar w:top="1440" w:right="1800" w:bottom="1440" w:left="1800" w:header="708" w:footer="708" w:gutter="0"/>
          <w:cols w:space="708" w:num="1"/>
          <w:titlePg/>
          <w:docGrid w:type="lines" w:linePitch="360" w:charSpace="0"/>
        </w:sectPr>
      </w:pPr>
    </w:p>
    <w:bookmarkEnd w:id="272"/>
    <w:p w14:paraId="64A79895">
      <w:pPr>
        <w:pStyle w:val="4"/>
        <w:numPr>
          <w:ilvl w:val="255"/>
          <w:numId w:val="0"/>
        </w:numPr>
        <w:tabs>
          <w:tab w:val="left" w:pos="720"/>
          <w:tab w:val="left" w:pos="3840"/>
        </w:tabs>
        <w:ind w:left="283"/>
        <w:jc w:val="both"/>
        <w:rPr>
          <w:rFonts w:hint="eastAsia" w:ascii="宋体" w:hAnsi="宋体"/>
          <w:color w:val="auto"/>
          <w:sz w:val="21"/>
          <w:szCs w:val="21"/>
          <w:highlight w:val="none"/>
        </w:rPr>
      </w:pPr>
      <w:bookmarkStart w:id="275" w:name="_Toc2708"/>
      <w:bookmarkStart w:id="276" w:name="_Toc31340"/>
      <w:r>
        <w:rPr>
          <w:rFonts w:hint="eastAsia" w:ascii="宋体" w:hAnsi="宋体"/>
          <w:color w:val="auto"/>
          <w:sz w:val="21"/>
          <w:szCs w:val="21"/>
          <w:highlight w:val="none"/>
        </w:rPr>
        <w:t>附件</w:t>
      </w:r>
      <w:r>
        <w:rPr>
          <w:rFonts w:hint="eastAsia" w:ascii="宋体" w:hAnsi="宋体"/>
          <w:color w:val="auto"/>
          <w:sz w:val="21"/>
          <w:szCs w:val="21"/>
          <w:highlight w:val="none"/>
          <w:lang w:val="en-US" w:eastAsia="zh-CN"/>
        </w:rPr>
        <w:t>17</w:t>
      </w:r>
      <w:r>
        <w:rPr>
          <w:rFonts w:hint="eastAsia" w:ascii="宋体" w:hAnsi="宋体"/>
          <w:color w:val="auto"/>
          <w:sz w:val="21"/>
          <w:szCs w:val="21"/>
          <w:highlight w:val="none"/>
        </w:rPr>
        <w:t>.唱标信封内装（内容务必与投标文件正本一致）</w:t>
      </w:r>
      <w:bookmarkEnd w:id="275"/>
      <w:bookmarkEnd w:id="276"/>
    </w:p>
    <w:p w14:paraId="5974EB14">
      <w:pPr>
        <w:numPr>
          <w:ilvl w:val="0"/>
          <w:numId w:val="17"/>
        </w:numPr>
        <w:ind w:firstLineChars="200"/>
        <w:rPr>
          <w:rFonts w:hAnsi="宋体"/>
          <w:color w:val="auto"/>
          <w:szCs w:val="21"/>
          <w:highlight w:val="none"/>
        </w:rPr>
      </w:pPr>
      <w:r>
        <w:rPr>
          <w:rFonts w:hint="eastAsia" w:hAnsi="宋体"/>
          <w:color w:val="auto"/>
          <w:szCs w:val="21"/>
          <w:highlight w:val="none"/>
        </w:rPr>
        <w:t>开标一览表加盖公章；</w:t>
      </w:r>
    </w:p>
    <w:p w14:paraId="430C535F">
      <w:pPr>
        <w:numPr>
          <w:ilvl w:val="0"/>
          <w:numId w:val="17"/>
        </w:numPr>
        <w:ind w:firstLineChars="200"/>
        <w:rPr>
          <w:rFonts w:hAnsi="宋体"/>
          <w:color w:val="auto"/>
          <w:szCs w:val="21"/>
          <w:highlight w:val="none"/>
        </w:rPr>
      </w:pPr>
      <w:r>
        <w:rPr>
          <w:rFonts w:hint="eastAsia" w:hAnsi="宋体"/>
          <w:color w:val="auto"/>
          <w:szCs w:val="21"/>
          <w:highlight w:val="none"/>
        </w:rPr>
        <w:t>法定代表人证明书加盖公章；</w:t>
      </w:r>
    </w:p>
    <w:p w14:paraId="252F48EB">
      <w:pPr>
        <w:numPr>
          <w:ilvl w:val="0"/>
          <w:numId w:val="17"/>
        </w:numPr>
        <w:ind w:firstLineChars="200"/>
        <w:rPr>
          <w:rFonts w:hAnsi="宋体"/>
          <w:color w:val="auto"/>
          <w:szCs w:val="21"/>
          <w:highlight w:val="none"/>
        </w:rPr>
      </w:pPr>
      <w:r>
        <w:rPr>
          <w:rFonts w:hint="eastAsia" w:hAnsi="宋体"/>
          <w:color w:val="auto"/>
          <w:szCs w:val="21"/>
          <w:highlight w:val="none"/>
        </w:rPr>
        <w:t>法定代表人授权委托书加盖公章（法定代表人投标的除外）；</w:t>
      </w:r>
    </w:p>
    <w:p w14:paraId="03AAD924">
      <w:pPr>
        <w:numPr>
          <w:ilvl w:val="0"/>
          <w:numId w:val="17"/>
        </w:numPr>
        <w:ind w:firstLineChars="200"/>
        <w:rPr>
          <w:rFonts w:hAnsi="宋体"/>
          <w:color w:val="auto"/>
          <w:szCs w:val="21"/>
          <w:highlight w:val="none"/>
        </w:rPr>
      </w:pPr>
      <w:r>
        <w:rPr>
          <w:rFonts w:hint="eastAsia" w:hAnsi="宋体"/>
          <w:color w:val="auto"/>
          <w:szCs w:val="21"/>
          <w:highlight w:val="none"/>
        </w:rPr>
        <w:t>投标保证金汇入情况说明（含银行汇款凭证）加盖公章；</w:t>
      </w:r>
    </w:p>
    <w:p w14:paraId="29B39E02">
      <w:pPr>
        <w:numPr>
          <w:ilvl w:val="0"/>
          <w:numId w:val="17"/>
        </w:numPr>
        <w:ind w:firstLineChars="200"/>
        <w:rPr>
          <w:rFonts w:hAnsi="宋体"/>
          <w:color w:val="auto"/>
          <w:szCs w:val="21"/>
          <w:highlight w:val="none"/>
        </w:rPr>
      </w:pPr>
      <w:r>
        <w:rPr>
          <w:rFonts w:hint="eastAsia" w:hAnsi="宋体"/>
          <w:color w:val="auto"/>
          <w:szCs w:val="21"/>
          <w:highlight w:val="none"/>
        </w:rPr>
        <w:t>投标文件电子文件（U盘，须含盖章版PDF投标文件和WORD版投标文件各一版，文字采用WORD文档，计算表格采用 EXCEL文档。）</w:t>
      </w:r>
    </w:p>
    <w:p w14:paraId="28252A75">
      <w:pPr>
        <w:rPr>
          <w:rFonts w:ascii="宋体" w:hAnsi="宋体" w:cs="宋体"/>
          <w:color w:val="auto"/>
          <w:szCs w:val="21"/>
          <w:highlight w:val="none"/>
        </w:rPr>
      </w:pPr>
    </w:p>
    <w:p w14:paraId="2FDFBB02">
      <w:pPr>
        <w:pStyle w:val="6"/>
        <w:rPr>
          <w:color w:val="auto"/>
          <w:highlight w:val="none"/>
        </w:rPr>
      </w:pPr>
    </w:p>
    <w:p w14:paraId="7E25074A">
      <w:pPr>
        <w:rPr>
          <w:color w:val="auto"/>
        </w:rPr>
      </w:pPr>
    </w:p>
    <w:sectPr>
      <w:pgSz w:w="11906" w:h="16838"/>
      <w:pgMar w:top="1440" w:right="1800" w:bottom="1440" w:left="1800" w:header="708" w:footer="708" w:gutter="0"/>
      <w:cols w:space="708" w:num="1"/>
      <w:titlePg/>
      <w:docGrid w:type="lines" w:linePitch="360"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Tahoma">
    <w:panose1 w:val="020B0604030504040204"/>
    <w:charset w:val="00"/>
    <w:family w:val="auto"/>
    <w:pitch w:val="default"/>
    <w:sig w:usb0="E1002EFF" w:usb1="C000605B" w:usb2="00000029" w:usb3="00000000" w:csb0="200101FF" w:csb1="20280000"/>
  </w:font>
  <w:font w:name="Calibri Light">
    <w:panose1 w:val="020F0302020204030204"/>
    <w:charset w:val="00"/>
    <w:family w:val="auto"/>
    <w:pitch w:val="default"/>
    <w:sig w:usb0="E4002EFF" w:usb1="C000247B" w:usb2="00000009" w:usb3="00000000" w:csb0="200001FF" w:csb1="00000000"/>
  </w:font>
  <w:font w:name="方正书宋简体">
    <w:altName w:val="宋体"/>
    <w:panose1 w:val="00000000000000000000"/>
    <w:charset w:val="86"/>
    <w:family w:val="script"/>
    <w:pitch w:val="default"/>
    <w:sig w:usb0="00000000" w:usb1="00000000" w:usb2="00000010" w:usb3="00000000" w:csb0="00040000"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modern"/>
    <w:pitch w:val="default"/>
    <w:sig w:usb0="800002BF" w:usb1="38CF7CFA" w:usb2="00000016" w:usb3="00000000" w:csb0="00040001" w:csb1="00000000"/>
  </w:font>
  <w:font w:name="楷体_GB2312">
    <w:altName w:val="楷体"/>
    <w:panose1 w:val="02010609030101010101"/>
    <w:charset w:val="86"/>
    <w:family w:val="modern"/>
    <w:pitch w:val="default"/>
    <w:sig w:usb0="00000000" w:usb1="00000000" w:usb2="0000000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295D098">
    <w:pPr>
      <w:pStyle w:val="9"/>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6260" cy="444500"/>
              <wp:effectExtent l="0" t="0" r="0" b="0"/>
              <wp:wrapNone/>
              <wp:docPr id="3" name="文本框 1026"/>
              <wp:cNvGraphicFramePr/>
              <a:graphic xmlns:a="http://schemas.openxmlformats.org/drawingml/2006/main">
                <a:graphicData uri="http://schemas.microsoft.com/office/word/2010/wordprocessingShape">
                  <wps:wsp>
                    <wps:cNvSpPr txBox="1"/>
                    <wps:spPr>
                      <a:xfrm>
                        <a:off x="0" y="0"/>
                        <a:ext cx="1826260" cy="444500"/>
                      </a:xfrm>
                      <a:prstGeom prst="rect">
                        <a:avLst/>
                      </a:prstGeom>
                      <a:noFill/>
                      <a:ln>
                        <a:noFill/>
                      </a:ln>
                    </wps:spPr>
                    <wps:txbx>
                      <w:txbxContent>
                        <w:p w14:paraId="21384276">
                          <w:pPr>
                            <w:pStyle w:val="9"/>
                            <w:jc w:val="center"/>
                          </w:pPr>
                          <w:r>
                            <w:rPr>
                              <w:rFonts w:hint="eastAsia"/>
                            </w:rPr>
                            <w:t xml:space="preserve">第 </w:t>
                          </w:r>
                          <w:r>
                            <w:rPr>
                              <w:rFonts w:hint="eastAsia"/>
                            </w:rPr>
                            <w:fldChar w:fldCharType="begin"/>
                          </w:r>
                          <w:r>
                            <w:rPr>
                              <w:rFonts w:hint="eastAsia"/>
                            </w:rPr>
                            <w:instrText xml:space="preserve"> PAGE  \* MERGEFORMAT </w:instrText>
                          </w:r>
                          <w:r>
                            <w:rPr>
                              <w:rFonts w:hint="eastAsia"/>
                            </w:rPr>
                            <w:fldChar w:fldCharType="separate"/>
                          </w:r>
                          <w:r>
                            <w:t>145</w:t>
                          </w:r>
                          <w:r>
                            <w:rPr>
                              <w:rFonts w:hint="eastAsia"/>
                            </w:rPr>
                            <w:fldChar w:fldCharType="end"/>
                          </w:r>
                          <w:r>
                            <w:rPr>
                              <w:rFonts w:hint="eastAsia"/>
                            </w:rPr>
                            <w:t xml:space="preserve"> 页 共 </w:t>
                          </w:r>
                          <w:r>
                            <w:fldChar w:fldCharType="begin"/>
                          </w:r>
                          <w:r>
                            <w:instrText xml:space="preserve"> NUMPAGES  \* MERGEFORMAT </w:instrText>
                          </w:r>
                          <w:r>
                            <w:fldChar w:fldCharType="separate"/>
                          </w:r>
                          <w:r>
                            <w:t>148</w:t>
                          </w:r>
                          <w:r>
                            <w:fldChar w:fldCharType="end"/>
                          </w:r>
                          <w:r>
                            <w:rPr>
                              <w:rFonts w:hint="eastAsia"/>
                            </w:rPr>
                            <w:t xml:space="preserve"> 页</w:t>
                          </w:r>
                        </w:p>
                      </w:txbxContent>
                    </wps:txbx>
                    <wps:bodyPr wrap="square" lIns="0" tIns="0" rIns="0" bIns="0" upright="1">
                      <a:noAutofit/>
                    </wps:bodyPr>
                  </wps:wsp>
                </a:graphicData>
              </a:graphic>
            </wp:anchor>
          </w:drawing>
        </mc:Choice>
        <mc:Fallback>
          <w:pict>
            <v:shape id="文本框 1026" o:spid="_x0000_s1026" o:spt="202" type="#_x0000_t202" style="position:absolute;left:0pt;margin-top:0pt;height:35pt;width:143.8pt;mso-position-horizontal:center;mso-position-horizontal-relative:margin;z-index:251659264;mso-width-relative:page;mso-height-relative:page;" filled="f" stroked="f" coordsize="21600,21600" o:gfxdata="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">
              <v:fill on="f" focussize="0,0"/>
              <v:stroke on="f"/>
              <v:imagedata o:title=""/>
              <o:lock v:ext="edit" aspectratio="f"/>
              <v:textbox inset="0mm,0mm,0mm,0mm">
                <w:txbxContent>
                  <w:p w14:paraId="21384276">
                    <w:pPr>
                      <w:pStyle w:val="9"/>
                      <w:jc w:val="center"/>
                    </w:pPr>
                    <w:r>
                      <w:rPr>
                        <w:rFonts w:hint="eastAsia"/>
                      </w:rPr>
                      <w:t xml:space="preserve">第 </w:t>
                    </w:r>
                    <w:r>
                      <w:rPr>
                        <w:rFonts w:hint="eastAsia"/>
                      </w:rPr>
                      <w:fldChar w:fldCharType="begin"/>
                    </w:r>
                    <w:r>
                      <w:rPr>
                        <w:rFonts w:hint="eastAsia"/>
                      </w:rPr>
                      <w:instrText xml:space="preserve"> PAGE  \* MERGEFORMAT </w:instrText>
                    </w:r>
                    <w:r>
                      <w:rPr>
                        <w:rFonts w:hint="eastAsia"/>
                      </w:rPr>
                      <w:fldChar w:fldCharType="separate"/>
                    </w:r>
                    <w:r>
                      <w:t>145</w:t>
                    </w:r>
                    <w:r>
                      <w:rPr>
                        <w:rFonts w:hint="eastAsia"/>
                      </w:rPr>
                      <w:fldChar w:fldCharType="end"/>
                    </w:r>
                    <w:r>
                      <w:rPr>
                        <w:rFonts w:hint="eastAsia"/>
                      </w:rPr>
                      <w:t xml:space="preserve"> 页 共 </w:t>
                    </w:r>
                    <w:r>
                      <w:fldChar w:fldCharType="begin"/>
                    </w:r>
                    <w:r>
                      <w:instrText xml:space="preserve"> NUMPAGES  \* MERGEFORMAT </w:instrText>
                    </w:r>
                    <w:r>
                      <w:fldChar w:fldCharType="separate"/>
                    </w:r>
                    <w:r>
                      <w:t>148</w:t>
                    </w:r>
                    <w:r>
                      <w:fldChar w:fldCharType="end"/>
                    </w:r>
                    <w:r>
                      <w:rPr>
                        <w:rFonts w:hint="eastAsia"/>
                      </w:rPr>
                      <w:t xml:space="preserve"> 页</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93B05B2">
    <w:pPr>
      <w:pStyle w:val="9"/>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150620" cy="1828800"/>
              <wp:effectExtent l="0" t="0" r="0" b="0"/>
              <wp:wrapNone/>
              <wp:docPr id="4" name="文本框 1025"/>
              <wp:cNvGraphicFramePr/>
              <a:graphic xmlns:a="http://schemas.openxmlformats.org/drawingml/2006/main">
                <a:graphicData uri="http://schemas.microsoft.com/office/word/2010/wordprocessingShape">
                  <wps:wsp>
                    <wps:cNvSpPr txBox="1"/>
                    <wps:spPr>
                      <a:xfrm>
                        <a:off x="0" y="0"/>
                        <a:ext cx="1150620" cy="1828800"/>
                      </a:xfrm>
                      <a:prstGeom prst="rect">
                        <a:avLst/>
                      </a:prstGeom>
                      <a:noFill/>
                      <a:ln>
                        <a:noFill/>
                      </a:ln>
                    </wps:spPr>
                    <wps:txbx>
                      <w:txbxContent>
                        <w:p w14:paraId="7E63D998">
                          <w:pPr>
                            <w:pStyle w:val="9"/>
                            <w:jc w:val="center"/>
                          </w:pPr>
                          <w:r>
                            <w:rPr>
                              <w:rFonts w:hint="eastAsia"/>
                            </w:rPr>
                            <w:t xml:space="preserve">第 </w:t>
                          </w:r>
                          <w:r>
                            <w:rPr>
                              <w:rFonts w:hint="eastAsia"/>
                            </w:rPr>
                            <w:fldChar w:fldCharType="begin"/>
                          </w:r>
                          <w:r>
                            <w:rPr>
                              <w:rFonts w:hint="eastAsia"/>
                            </w:rPr>
                            <w:instrText xml:space="preserve"> PAGE  \* MERGEFORMAT </w:instrText>
                          </w:r>
                          <w:r>
                            <w:rPr>
                              <w:rFonts w:hint="eastAsia"/>
                            </w:rPr>
                            <w:fldChar w:fldCharType="separate"/>
                          </w:r>
                          <w:r>
                            <w:t>148</w:t>
                          </w:r>
                          <w:r>
                            <w:rPr>
                              <w:rFonts w:hint="eastAsia"/>
                            </w:rPr>
                            <w:fldChar w:fldCharType="end"/>
                          </w:r>
                          <w:r>
                            <w:rPr>
                              <w:rFonts w:hint="eastAsia"/>
                            </w:rPr>
                            <w:t xml:space="preserve"> 页 共 </w:t>
                          </w:r>
                          <w:r>
                            <w:fldChar w:fldCharType="begin"/>
                          </w:r>
                          <w:r>
                            <w:instrText xml:space="preserve"> NUMPAGES  \* MERGEFORMAT </w:instrText>
                          </w:r>
                          <w:r>
                            <w:fldChar w:fldCharType="separate"/>
                          </w:r>
                          <w:r>
                            <w:t>148</w:t>
                          </w:r>
                          <w:r>
                            <w:fldChar w:fldCharType="end"/>
                          </w:r>
                          <w:r>
                            <w:rPr>
                              <w:rFonts w:hint="eastAsia"/>
                            </w:rPr>
                            <w:t xml:space="preserve"> 页</w:t>
                          </w:r>
                        </w:p>
                      </w:txbxContent>
                    </wps:txbx>
                    <wps:bodyPr lIns="0" tIns="0" rIns="0" bIns="0" upright="1">
                      <a:spAutoFit/>
                    </wps:bodyPr>
                  </wps:wsp>
                </a:graphicData>
              </a:graphic>
            </wp:anchor>
          </w:drawing>
        </mc:Choice>
        <mc:Fallback>
          <w:pict>
            <v:shape id="文本框 1025" o:spid="_x0000_s1026" o:spt="202" type="#_x0000_t202" style="position:absolute;left:0pt;margin-top:0pt;height:144pt;width:90.6pt;mso-position-horizontal:center;mso-position-horizontal-relative:margin;z-index:251660288;mso-width-relative:page;mso-height-relative:page;" filled="f" stroked="f" coordsize="21600,21600" o:gfxdata="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">
              <v:fill on="f" focussize="0,0"/>
              <v:stroke on="f"/>
              <v:imagedata o:title=""/>
              <o:lock v:ext="edit" aspectratio="f"/>
              <v:textbox inset="0mm,0mm,0mm,0mm" style="mso-fit-shape-to-text:t;">
                <w:txbxContent>
                  <w:p w14:paraId="7E63D998">
                    <w:pPr>
                      <w:pStyle w:val="9"/>
                      <w:jc w:val="center"/>
                    </w:pPr>
                    <w:r>
                      <w:rPr>
                        <w:rFonts w:hint="eastAsia"/>
                      </w:rPr>
                      <w:t xml:space="preserve">第 </w:t>
                    </w:r>
                    <w:r>
                      <w:rPr>
                        <w:rFonts w:hint="eastAsia"/>
                      </w:rPr>
                      <w:fldChar w:fldCharType="begin"/>
                    </w:r>
                    <w:r>
                      <w:rPr>
                        <w:rFonts w:hint="eastAsia"/>
                      </w:rPr>
                      <w:instrText xml:space="preserve"> PAGE  \* MERGEFORMAT </w:instrText>
                    </w:r>
                    <w:r>
                      <w:rPr>
                        <w:rFonts w:hint="eastAsia"/>
                      </w:rPr>
                      <w:fldChar w:fldCharType="separate"/>
                    </w:r>
                    <w:r>
                      <w:t>148</w:t>
                    </w:r>
                    <w:r>
                      <w:rPr>
                        <w:rFonts w:hint="eastAsia"/>
                      </w:rPr>
                      <w:fldChar w:fldCharType="end"/>
                    </w:r>
                    <w:r>
                      <w:rPr>
                        <w:rFonts w:hint="eastAsia"/>
                      </w:rPr>
                      <w:t xml:space="preserve"> 页 共 </w:t>
                    </w:r>
                    <w:r>
                      <w:fldChar w:fldCharType="begin"/>
                    </w:r>
                    <w:r>
                      <w:instrText xml:space="preserve"> NUMPAGES  \* MERGEFORMAT </w:instrText>
                    </w:r>
                    <w:r>
                      <w:fldChar w:fldCharType="separate"/>
                    </w:r>
                    <w:r>
                      <w:t>148</w:t>
                    </w:r>
                    <w:r>
                      <w:fldChar w:fldCharType="end"/>
                    </w:r>
                    <w:r>
                      <w:rPr>
                        <w:rFonts w:hint="eastAsia"/>
                      </w:rPr>
                      <w:t xml:space="preserve"> 页</w:t>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360" w:lineRule="auto"/>
      </w:pPr>
      <w:r>
        <w:separator/>
      </w:r>
    </w:p>
  </w:footnote>
  <w:footnote w:type="continuationSeparator" w:id="1">
    <w:p>
      <w:pPr>
        <w:spacing w:line="36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473406D">
    <w:pPr>
      <w:pStyle w:val="10"/>
      <w:jc w:val="left"/>
    </w:pPr>
    <w:r>
      <w:rPr>
        <w:sz w:val="18"/>
      </w:rPr>
      <w:pict>
        <v:shape id="_x0000_s2051" o:spid="_x0000_s2051" o:spt="136" type="#_x0000_t136" style="position:absolute;left:0pt;height:52.9pt;width:534.35pt;mso-position-horizontal:center;mso-position-horizontal-relative:margin;mso-position-vertical:center;mso-position-vertical-relative:margin;rotation:-2949120f;z-index:-251655168;mso-width-relative:page;mso-height-relative:page;" fillcolor="#808080" filled="t" stroked="f" coordsize="21600,21600" adj="10800">
          <v:path/>
          <v:fill on="t" opacity="32768f" focussize="0,0"/>
          <v:stroke on="f"/>
          <v:imagedata o:title=""/>
          <o:lock v:ext="edit" aspectratio="t"/>
          <v:textpath on="t" fitshape="t" fitpath="t" trim="t" xscale="f" string="广东东实环境 2025-09-30" style="font-family:宋体;font-size:36pt;v-same-letter-heights:f;v-text-align:center;"/>
        </v:shape>
      </w:pic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A7E352A">
    <w:pPr>
      <w:pStyle w:val="1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B8D8090">
    <w:pPr>
      <w:pStyle w:val="10"/>
    </w:pPr>
    <w:r>
      <w:rPr>
        <w:sz w:val="18"/>
      </w:rPr>
      <w:pict>
        <v:shape id="_x0000_s2052" o:spid="_x0000_s2052" o:spt="136" type="#_x0000_t136" style="position:absolute;left:0pt;height:52.9pt;width:534.35pt;mso-position-horizontal:center;mso-position-horizontal-relative:margin;mso-position-vertical:center;mso-position-vertical-relative:margin;rotation:-2949120f;z-index:-251654144;mso-width-relative:page;mso-height-relative:page;" fillcolor="#808080" filled="t" stroked="f" coordsize="21600,21600" adj="10800">
          <v:path/>
          <v:fill on="t" opacity="32768f" focussize="0,0"/>
          <v:stroke on="f"/>
          <v:imagedata o:title=""/>
          <o:lock v:ext="edit" aspectratio="t"/>
          <v:textpath on="t" fitshape="t" fitpath="t" trim="t" xscale="f" string="广东东实环境 2025-09-30" style="font-family:宋体;font-size:36pt;v-same-letter-heights:f;v-text-align:center;"/>
        </v:shape>
      </w:pic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2E84439"/>
    <w:multiLevelType w:val="singleLevel"/>
    <w:tmpl w:val="82E84439"/>
    <w:lvl w:ilvl="0" w:tentative="0">
      <w:start w:val="1"/>
      <w:numFmt w:val="decimal"/>
      <w:suff w:val="nothing"/>
      <w:lvlText w:val="%1、"/>
      <w:lvlJc w:val="left"/>
    </w:lvl>
  </w:abstractNum>
  <w:abstractNum w:abstractNumId="1">
    <w:nsid w:val="B3869D09"/>
    <w:multiLevelType w:val="singleLevel"/>
    <w:tmpl w:val="B3869D09"/>
    <w:lvl w:ilvl="0" w:tentative="0">
      <w:start w:val="1"/>
      <w:numFmt w:val="decimal"/>
      <w:suff w:val="nothing"/>
      <w:lvlText w:val="%1、"/>
      <w:lvlJc w:val="left"/>
    </w:lvl>
  </w:abstractNum>
  <w:abstractNum w:abstractNumId="2">
    <w:nsid w:val="BEB5130E"/>
    <w:multiLevelType w:val="singleLevel"/>
    <w:tmpl w:val="BEB5130E"/>
    <w:lvl w:ilvl="0" w:tentative="0">
      <w:start w:val="1"/>
      <w:numFmt w:val="decimal"/>
      <w:suff w:val="nothing"/>
      <w:lvlText w:val="（%1）"/>
      <w:lvlJc w:val="left"/>
    </w:lvl>
  </w:abstractNum>
  <w:abstractNum w:abstractNumId="3">
    <w:nsid w:val="C9555E15"/>
    <w:multiLevelType w:val="singleLevel"/>
    <w:tmpl w:val="C9555E15"/>
    <w:lvl w:ilvl="0" w:tentative="0">
      <w:start w:val="1"/>
      <w:numFmt w:val="decimal"/>
      <w:lvlText w:val="(%1)"/>
      <w:lvlJc w:val="left"/>
      <w:pPr>
        <w:ind w:left="425" w:hanging="425"/>
      </w:pPr>
      <w:rPr>
        <w:rFonts w:hint="default"/>
      </w:rPr>
    </w:lvl>
  </w:abstractNum>
  <w:abstractNum w:abstractNumId="4">
    <w:nsid w:val="CC23954B"/>
    <w:multiLevelType w:val="multilevel"/>
    <w:tmpl w:val="CC23954B"/>
    <w:lvl w:ilvl="0" w:tentative="0">
      <w:start w:val="1"/>
      <w:numFmt w:val="decimal"/>
      <w:lvlText w:val="%1."/>
      <w:lvlJc w:val="left"/>
      <w:pPr>
        <w:tabs>
          <w:tab w:val="left" w:pos="425"/>
        </w:tabs>
        <w:ind w:left="425" w:hanging="425"/>
      </w:pPr>
      <w:rPr>
        <w:rFonts w:hint="eastAsia" w:ascii="宋体" w:hAnsi="宋体" w:eastAsia="宋体"/>
      </w:rPr>
    </w:lvl>
    <w:lvl w:ilvl="1" w:tentative="0">
      <w:start w:val="1"/>
      <w:numFmt w:val="decimal"/>
      <w:lvlText w:val="%1.%2."/>
      <w:lvlJc w:val="left"/>
      <w:pPr>
        <w:tabs>
          <w:tab w:val="left" w:pos="567"/>
        </w:tabs>
        <w:ind w:left="567" w:hanging="567"/>
      </w:pPr>
      <w:rPr>
        <w:rFonts w:hint="eastAsia" w:ascii="宋体" w:hAnsi="宋体" w:eastAsia="宋体"/>
        <w:color w:val="auto"/>
      </w:rPr>
    </w:lvl>
    <w:lvl w:ilvl="2" w:tentative="0">
      <w:start w:val="1"/>
      <w:numFmt w:val="decimal"/>
      <w:lvlText w:val="%1.%2.%3."/>
      <w:lvlJc w:val="left"/>
      <w:pPr>
        <w:tabs>
          <w:tab w:val="left" w:pos="794"/>
        </w:tabs>
        <w:ind w:left="794" w:hanging="794"/>
      </w:pPr>
      <w:rPr>
        <w:rFonts w:hint="eastAsia" w:ascii="宋体" w:hAnsi="宋体" w:eastAsia="宋体"/>
      </w:rPr>
    </w:lvl>
    <w:lvl w:ilvl="3" w:tentative="0">
      <w:start w:val="1"/>
      <w:numFmt w:val="decimal"/>
      <w:lvlText w:val="%1.%2.%3.%4."/>
      <w:lvlJc w:val="left"/>
      <w:pPr>
        <w:tabs>
          <w:tab w:val="left" w:pos="454"/>
        </w:tabs>
        <w:ind w:left="1021" w:hanging="1021"/>
      </w:pPr>
      <w:rPr>
        <w:rFonts w:hint="eastAsia" w:ascii="宋体" w:hAnsi="宋体" w:eastAsia="宋体"/>
      </w:rPr>
    </w:lvl>
    <w:lvl w:ilvl="4" w:tentative="0">
      <w:start w:val="1"/>
      <w:numFmt w:val="decimal"/>
      <w:lvlText w:val="%1.%2.%3.%4.%5."/>
      <w:lvlJc w:val="left"/>
      <w:pPr>
        <w:tabs>
          <w:tab w:val="left" w:pos="992"/>
        </w:tabs>
        <w:ind w:left="992" w:hanging="992"/>
      </w:pPr>
      <w:rPr>
        <w:rFonts w:hint="eastAsia"/>
      </w:rPr>
    </w:lvl>
    <w:lvl w:ilvl="5" w:tentative="0">
      <w:start w:val="1"/>
      <w:numFmt w:val="decimal"/>
      <w:lvlText w:val="%1.%2.%3.%4.%5.%6."/>
      <w:lvlJc w:val="left"/>
      <w:pPr>
        <w:tabs>
          <w:tab w:val="left" w:pos="1134"/>
        </w:tabs>
        <w:ind w:left="1134" w:hanging="1134"/>
      </w:pPr>
      <w:rPr>
        <w:rFonts w:hint="eastAsia"/>
      </w:rPr>
    </w:lvl>
    <w:lvl w:ilvl="6" w:tentative="0">
      <w:start w:val="1"/>
      <w:numFmt w:val="decimal"/>
      <w:lvlText w:val="%1.%2.%3.%4.%5.%6.%7."/>
      <w:lvlJc w:val="left"/>
      <w:pPr>
        <w:tabs>
          <w:tab w:val="left" w:pos="1276"/>
        </w:tabs>
        <w:ind w:left="1276" w:hanging="1276"/>
      </w:pPr>
      <w:rPr>
        <w:rFonts w:hint="eastAsia"/>
      </w:rPr>
    </w:lvl>
    <w:lvl w:ilvl="7" w:tentative="0">
      <w:start w:val="1"/>
      <w:numFmt w:val="decimal"/>
      <w:lvlText w:val="%1.%2.%3.%4.%5.%6.%7.%8."/>
      <w:lvlJc w:val="left"/>
      <w:pPr>
        <w:tabs>
          <w:tab w:val="left" w:pos="1418"/>
        </w:tabs>
        <w:ind w:left="1418" w:hanging="1418"/>
      </w:pPr>
      <w:rPr>
        <w:rFonts w:hint="eastAsia"/>
      </w:rPr>
    </w:lvl>
    <w:lvl w:ilvl="8" w:tentative="0">
      <w:start w:val="1"/>
      <w:numFmt w:val="decimal"/>
      <w:lvlText w:val="%1.%2.%3.%4.%5.%6.%7.%8.%9."/>
      <w:lvlJc w:val="left"/>
      <w:pPr>
        <w:tabs>
          <w:tab w:val="left" w:pos="1559"/>
        </w:tabs>
        <w:ind w:left="1559" w:hanging="1559"/>
      </w:pPr>
      <w:rPr>
        <w:rFonts w:hint="eastAsia"/>
      </w:rPr>
    </w:lvl>
  </w:abstractNum>
  <w:abstractNum w:abstractNumId="5">
    <w:nsid w:val="D0047B7E"/>
    <w:multiLevelType w:val="singleLevel"/>
    <w:tmpl w:val="D0047B7E"/>
    <w:lvl w:ilvl="0" w:tentative="0">
      <w:start w:val="1"/>
      <w:numFmt w:val="decimal"/>
      <w:suff w:val="nothing"/>
      <w:lvlText w:val="%1、"/>
      <w:lvlJc w:val="left"/>
    </w:lvl>
  </w:abstractNum>
  <w:abstractNum w:abstractNumId="6">
    <w:nsid w:val="00000005"/>
    <w:multiLevelType w:val="multilevel"/>
    <w:tmpl w:val="00000005"/>
    <w:lvl w:ilvl="0" w:tentative="0">
      <w:start w:val="1"/>
      <w:numFmt w:val="decimal"/>
      <w:lvlText w:val="%1."/>
      <w:lvlJc w:val="left"/>
      <w:pPr>
        <w:tabs>
          <w:tab w:val="left" w:pos="0"/>
        </w:tabs>
        <w:ind w:left="0" w:firstLine="420"/>
      </w:pPr>
      <w:rPr>
        <w:rFonts w:hint="default"/>
        <w:color w:val="auto"/>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7">
    <w:nsid w:val="00000025"/>
    <w:multiLevelType w:val="multilevel"/>
    <w:tmpl w:val="00000025"/>
    <w:lvl w:ilvl="0" w:tentative="0">
      <w:start w:val="1"/>
      <w:numFmt w:val="decimal"/>
      <w:lvlText w:val="%1"/>
      <w:lvlJc w:val="left"/>
      <w:pPr>
        <w:tabs>
          <w:tab w:val="left" w:pos="420"/>
        </w:tabs>
        <w:ind w:left="420" w:hanging="420"/>
      </w:pPr>
      <w:rPr>
        <w:rFonts w:hint="default"/>
        <w:u w:val="none"/>
      </w:rPr>
    </w:lvl>
    <w:lvl w:ilvl="1" w:tentative="0">
      <w:start w:val="1"/>
      <w:numFmt w:val="lowerLetter"/>
      <w:lvlText w:val="%2)"/>
      <w:lvlJc w:val="left"/>
      <w:pPr>
        <w:tabs>
          <w:tab w:val="left" w:pos="840"/>
        </w:tabs>
        <w:ind w:left="840" w:hanging="420"/>
      </w:pPr>
      <w:rPr>
        <w:rFonts w:hint="default"/>
        <w:u w:val="none"/>
      </w:rPr>
    </w:lvl>
    <w:lvl w:ilvl="2" w:tentative="0">
      <w:start w:val="1"/>
      <w:numFmt w:val="lowerRoman"/>
      <w:lvlText w:val="%3."/>
      <w:lvlJc w:val="right"/>
      <w:pPr>
        <w:tabs>
          <w:tab w:val="left" w:pos="1260"/>
        </w:tabs>
        <w:ind w:left="1260" w:hanging="420"/>
      </w:pPr>
      <w:rPr>
        <w:rFonts w:hint="default"/>
        <w:u w:val="none"/>
      </w:rPr>
    </w:lvl>
    <w:lvl w:ilvl="3" w:tentative="0">
      <w:start w:val="1"/>
      <w:numFmt w:val="decimal"/>
      <w:lvlText w:val="%4."/>
      <w:lvlJc w:val="left"/>
      <w:pPr>
        <w:tabs>
          <w:tab w:val="left" w:pos="1680"/>
        </w:tabs>
        <w:ind w:left="1680" w:hanging="420"/>
      </w:pPr>
      <w:rPr>
        <w:rFonts w:hint="default"/>
        <w:u w:val="none"/>
      </w:rPr>
    </w:lvl>
    <w:lvl w:ilvl="4" w:tentative="0">
      <w:start w:val="1"/>
      <w:numFmt w:val="lowerLetter"/>
      <w:lvlText w:val="%5)"/>
      <w:lvlJc w:val="left"/>
      <w:pPr>
        <w:tabs>
          <w:tab w:val="left" w:pos="2100"/>
        </w:tabs>
        <w:ind w:left="2100" w:hanging="420"/>
      </w:pPr>
      <w:rPr>
        <w:rFonts w:hint="default"/>
        <w:u w:val="none"/>
      </w:rPr>
    </w:lvl>
    <w:lvl w:ilvl="5" w:tentative="0">
      <w:start w:val="1"/>
      <w:numFmt w:val="lowerRoman"/>
      <w:lvlText w:val="%6."/>
      <w:lvlJc w:val="right"/>
      <w:pPr>
        <w:tabs>
          <w:tab w:val="left" w:pos="2520"/>
        </w:tabs>
        <w:ind w:left="2520" w:hanging="420"/>
      </w:pPr>
      <w:rPr>
        <w:rFonts w:hint="default"/>
        <w:u w:val="none"/>
      </w:rPr>
    </w:lvl>
    <w:lvl w:ilvl="6" w:tentative="0">
      <w:start w:val="1"/>
      <w:numFmt w:val="decimal"/>
      <w:lvlText w:val="%7."/>
      <w:lvlJc w:val="left"/>
      <w:pPr>
        <w:tabs>
          <w:tab w:val="left" w:pos="2940"/>
        </w:tabs>
        <w:ind w:left="2940" w:hanging="420"/>
      </w:pPr>
      <w:rPr>
        <w:rFonts w:hint="default"/>
        <w:u w:val="none"/>
      </w:rPr>
    </w:lvl>
    <w:lvl w:ilvl="7" w:tentative="0">
      <w:start w:val="1"/>
      <w:numFmt w:val="lowerLetter"/>
      <w:lvlText w:val="%8)"/>
      <w:lvlJc w:val="left"/>
      <w:pPr>
        <w:tabs>
          <w:tab w:val="left" w:pos="3360"/>
        </w:tabs>
        <w:ind w:left="3360" w:hanging="420"/>
      </w:pPr>
      <w:rPr>
        <w:rFonts w:hint="default"/>
        <w:u w:val="none"/>
      </w:rPr>
    </w:lvl>
    <w:lvl w:ilvl="8" w:tentative="0">
      <w:start w:val="1"/>
      <w:numFmt w:val="lowerRoman"/>
      <w:lvlText w:val="%9."/>
      <w:lvlJc w:val="right"/>
      <w:pPr>
        <w:tabs>
          <w:tab w:val="left" w:pos="3780"/>
        </w:tabs>
        <w:ind w:left="3780" w:hanging="420"/>
      </w:pPr>
      <w:rPr>
        <w:rFonts w:hint="default"/>
        <w:u w:val="none"/>
      </w:rPr>
    </w:lvl>
  </w:abstractNum>
  <w:abstractNum w:abstractNumId="8">
    <w:nsid w:val="13387DFE"/>
    <w:multiLevelType w:val="multilevel"/>
    <w:tmpl w:val="13387DFE"/>
    <w:lvl w:ilvl="0" w:tentative="0">
      <w:start w:val="1"/>
      <w:numFmt w:val="decimal"/>
      <w:lvlText w:val="%1."/>
      <w:lvlJc w:val="left"/>
      <w:pPr>
        <w:tabs>
          <w:tab w:val="left" w:pos="425"/>
        </w:tabs>
        <w:ind w:left="425" w:hanging="425"/>
      </w:pPr>
      <w:rPr>
        <w:rFonts w:hint="eastAsia" w:ascii="宋体" w:hAnsi="宋体" w:eastAsia="宋体"/>
      </w:rPr>
    </w:lvl>
    <w:lvl w:ilvl="1" w:tentative="0">
      <w:start w:val="1"/>
      <w:numFmt w:val="decimal"/>
      <w:lvlText w:val="%1.%2."/>
      <w:lvlJc w:val="left"/>
      <w:pPr>
        <w:tabs>
          <w:tab w:val="left" w:pos="567"/>
        </w:tabs>
        <w:ind w:left="567" w:hanging="567"/>
      </w:pPr>
      <w:rPr>
        <w:rFonts w:hint="eastAsia" w:ascii="宋体" w:hAnsi="宋体" w:eastAsia="宋体"/>
        <w:color w:val="auto"/>
      </w:rPr>
    </w:lvl>
    <w:lvl w:ilvl="2" w:tentative="0">
      <w:start w:val="1"/>
      <w:numFmt w:val="decimal"/>
      <w:lvlText w:val="%1.%2.%3."/>
      <w:lvlJc w:val="left"/>
      <w:pPr>
        <w:tabs>
          <w:tab w:val="left" w:pos="794"/>
        </w:tabs>
        <w:ind w:left="794" w:hanging="794"/>
      </w:pPr>
      <w:rPr>
        <w:rFonts w:hint="eastAsia" w:ascii="宋体" w:hAnsi="宋体" w:eastAsia="宋体"/>
      </w:rPr>
    </w:lvl>
    <w:lvl w:ilvl="3" w:tentative="0">
      <w:start w:val="1"/>
      <w:numFmt w:val="decimal"/>
      <w:lvlText w:val="%1.%2.%3.%4."/>
      <w:lvlJc w:val="left"/>
      <w:pPr>
        <w:tabs>
          <w:tab w:val="left" w:pos="454"/>
        </w:tabs>
        <w:ind w:left="1021" w:hanging="1021"/>
      </w:pPr>
      <w:rPr>
        <w:rFonts w:hint="eastAsia" w:ascii="宋体" w:hAnsi="宋体" w:eastAsia="宋体"/>
      </w:rPr>
    </w:lvl>
    <w:lvl w:ilvl="4" w:tentative="0">
      <w:start w:val="1"/>
      <w:numFmt w:val="decimal"/>
      <w:lvlText w:val="%1.%2.%3.%4.%5."/>
      <w:lvlJc w:val="left"/>
      <w:pPr>
        <w:tabs>
          <w:tab w:val="left" w:pos="992"/>
        </w:tabs>
        <w:ind w:left="992" w:hanging="992"/>
      </w:pPr>
      <w:rPr>
        <w:rFonts w:hint="eastAsia"/>
      </w:rPr>
    </w:lvl>
    <w:lvl w:ilvl="5" w:tentative="0">
      <w:start w:val="1"/>
      <w:numFmt w:val="decimal"/>
      <w:lvlText w:val="%1.%2.%3.%4.%5.%6."/>
      <w:lvlJc w:val="left"/>
      <w:pPr>
        <w:tabs>
          <w:tab w:val="left" w:pos="1134"/>
        </w:tabs>
        <w:ind w:left="1134" w:hanging="1134"/>
      </w:pPr>
      <w:rPr>
        <w:rFonts w:hint="eastAsia"/>
      </w:rPr>
    </w:lvl>
    <w:lvl w:ilvl="6" w:tentative="0">
      <w:start w:val="1"/>
      <w:numFmt w:val="decimal"/>
      <w:lvlText w:val="%1.%2.%3.%4.%5.%6.%7."/>
      <w:lvlJc w:val="left"/>
      <w:pPr>
        <w:tabs>
          <w:tab w:val="left" w:pos="1276"/>
        </w:tabs>
        <w:ind w:left="1276" w:hanging="1276"/>
      </w:pPr>
      <w:rPr>
        <w:rFonts w:hint="eastAsia"/>
      </w:rPr>
    </w:lvl>
    <w:lvl w:ilvl="7" w:tentative="0">
      <w:start w:val="1"/>
      <w:numFmt w:val="decimal"/>
      <w:lvlText w:val="%1.%2.%3.%4.%5.%6.%7.%8."/>
      <w:lvlJc w:val="left"/>
      <w:pPr>
        <w:tabs>
          <w:tab w:val="left" w:pos="1418"/>
        </w:tabs>
        <w:ind w:left="1418" w:hanging="1418"/>
      </w:pPr>
      <w:rPr>
        <w:rFonts w:hint="eastAsia"/>
      </w:rPr>
    </w:lvl>
    <w:lvl w:ilvl="8" w:tentative="0">
      <w:start w:val="1"/>
      <w:numFmt w:val="decimal"/>
      <w:lvlText w:val="%1.%2.%3.%4.%5.%6.%7.%8.%9."/>
      <w:lvlJc w:val="left"/>
      <w:pPr>
        <w:tabs>
          <w:tab w:val="left" w:pos="1559"/>
        </w:tabs>
        <w:ind w:left="1559" w:hanging="1559"/>
      </w:pPr>
      <w:rPr>
        <w:rFonts w:hint="eastAsia"/>
      </w:rPr>
    </w:lvl>
  </w:abstractNum>
  <w:abstractNum w:abstractNumId="9">
    <w:nsid w:val="27F49B4B"/>
    <w:multiLevelType w:val="multilevel"/>
    <w:tmpl w:val="27F49B4B"/>
    <w:lvl w:ilvl="0" w:tentative="0">
      <w:start w:val="1"/>
      <w:numFmt w:val="decimal"/>
      <w:lvlText w:val="%1."/>
      <w:lvlJc w:val="left"/>
      <w:pPr>
        <w:ind w:left="425" w:hanging="425"/>
      </w:pPr>
      <w:rPr>
        <w:rFonts w:hint="default"/>
      </w:rPr>
    </w:lvl>
    <w:lvl w:ilvl="1" w:tentative="0">
      <w:start w:val="1"/>
      <w:numFmt w:val="decimal"/>
      <w:lvlText w:val="%1.%2."/>
      <w:lvlJc w:val="left"/>
      <w:pPr>
        <w:ind w:left="567" w:hanging="567"/>
      </w:pPr>
      <w:rPr>
        <w:rFonts w:hint="default"/>
      </w:rPr>
    </w:lvl>
    <w:lvl w:ilvl="2" w:tentative="0">
      <w:start w:val="1"/>
      <w:numFmt w:val="decimal"/>
      <w:lvlText w:val="%1.%2.%3."/>
      <w:lvlJc w:val="left"/>
      <w:pPr>
        <w:ind w:left="566" w:hanging="566"/>
      </w:pPr>
      <w:rPr>
        <w:rFonts w:hint="default"/>
      </w:rPr>
    </w:lvl>
    <w:lvl w:ilvl="3" w:tentative="0">
      <w:start w:val="1"/>
      <w:numFmt w:val="decimal"/>
      <w:lvlText w:val="%1.%2.%3.%4."/>
      <w:lvlJc w:val="left"/>
      <w:pPr>
        <w:ind w:left="850" w:hanging="850"/>
      </w:pPr>
      <w:rPr>
        <w:rFonts w:hint="default"/>
      </w:rPr>
    </w:lvl>
    <w:lvl w:ilvl="4" w:tentative="0">
      <w:start w:val="1"/>
      <w:numFmt w:val="decimal"/>
      <w:lvlText w:val="%1.%2.%3.%4.%5."/>
      <w:lvlJc w:val="left"/>
      <w:pPr>
        <w:ind w:left="991" w:hanging="991"/>
      </w:pPr>
      <w:rPr>
        <w:rFonts w:hint="default"/>
      </w:rPr>
    </w:lvl>
    <w:lvl w:ilvl="5" w:tentative="0">
      <w:start w:val="1"/>
      <w:numFmt w:val="decimal"/>
      <w:lvlText w:val="%1.%2.%3.%4.%5.%6."/>
      <w:lvlJc w:val="left"/>
      <w:pPr>
        <w:ind w:left="1134" w:hanging="1134"/>
      </w:pPr>
      <w:rPr>
        <w:rFonts w:hint="default"/>
      </w:rPr>
    </w:lvl>
    <w:lvl w:ilvl="6" w:tentative="0">
      <w:start w:val="1"/>
      <w:numFmt w:val="decimal"/>
      <w:lvlText w:val="%1.%2.%3.%4.%5.%6.%7."/>
      <w:lvlJc w:val="left"/>
      <w:pPr>
        <w:ind w:left="1275" w:hanging="1275"/>
      </w:pPr>
      <w:rPr>
        <w:rFonts w:hint="default"/>
      </w:rPr>
    </w:lvl>
    <w:lvl w:ilvl="7" w:tentative="0">
      <w:start w:val="1"/>
      <w:numFmt w:val="decimal"/>
      <w:lvlText w:val="%1.%2.%3.%4.%5.%6.%7.%8."/>
      <w:lvlJc w:val="left"/>
      <w:pPr>
        <w:ind w:left="1418" w:hanging="1418"/>
      </w:pPr>
      <w:rPr>
        <w:rFonts w:hint="default"/>
      </w:rPr>
    </w:lvl>
    <w:lvl w:ilvl="8" w:tentative="0">
      <w:start w:val="1"/>
      <w:numFmt w:val="decimal"/>
      <w:lvlText w:val="%1.%2.%3.%4.%5.%6.%7.%8.%9."/>
      <w:lvlJc w:val="left"/>
      <w:pPr>
        <w:ind w:left="1558" w:hanging="1558"/>
      </w:pPr>
      <w:rPr>
        <w:rFonts w:hint="default"/>
      </w:rPr>
    </w:lvl>
  </w:abstractNum>
  <w:abstractNum w:abstractNumId="10">
    <w:nsid w:val="2B264935"/>
    <w:multiLevelType w:val="singleLevel"/>
    <w:tmpl w:val="2B264935"/>
    <w:lvl w:ilvl="0" w:tentative="0">
      <w:start w:val="1"/>
      <w:numFmt w:val="chineseCounting"/>
      <w:suff w:val="nothing"/>
      <w:lvlText w:val="%1、"/>
      <w:lvlJc w:val="left"/>
      <w:rPr>
        <w:rFonts w:hint="eastAsia"/>
      </w:rPr>
    </w:lvl>
  </w:abstractNum>
  <w:abstractNum w:abstractNumId="11">
    <w:nsid w:val="3F88662E"/>
    <w:multiLevelType w:val="singleLevel"/>
    <w:tmpl w:val="3F88662E"/>
    <w:lvl w:ilvl="0" w:tentative="0">
      <w:start w:val="1"/>
      <w:numFmt w:val="decimal"/>
      <w:suff w:val="space"/>
      <w:lvlText w:val="%1)"/>
      <w:lvlJc w:val="left"/>
    </w:lvl>
  </w:abstractNum>
  <w:abstractNum w:abstractNumId="12">
    <w:nsid w:val="580745EB"/>
    <w:multiLevelType w:val="multilevel"/>
    <w:tmpl w:val="580745EB"/>
    <w:lvl w:ilvl="0" w:tentative="0">
      <w:start w:val="1"/>
      <w:numFmt w:val="japaneseCounting"/>
      <w:lvlText w:val="%1、"/>
      <w:lvlJc w:val="left"/>
      <w:pPr>
        <w:ind w:left="720" w:hanging="72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3">
    <w:nsid w:val="59C5D728"/>
    <w:multiLevelType w:val="singleLevel"/>
    <w:tmpl w:val="59C5D728"/>
    <w:lvl w:ilvl="0" w:tentative="0">
      <w:start w:val="1"/>
      <w:numFmt w:val="chineseCounting"/>
      <w:suff w:val="nothing"/>
      <w:lvlText w:val="%1、"/>
      <w:lvlJc w:val="left"/>
      <w:pPr>
        <w:ind w:left="0" w:firstLine="420"/>
      </w:pPr>
      <w:rPr>
        <w:rFonts w:hint="eastAsia"/>
      </w:rPr>
    </w:lvl>
  </w:abstractNum>
  <w:abstractNum w:abstractNumId="14">
    <w:nsid w:val="5D1539A1"/>
    <w:multiLevelType w:val="multilevel"/>
    <w:tmpl w:val="5D1539A1"/>
    <w:lvl w:ilvl="0" w:tentative="0">
      <w:start w:val="1"/>
      <w:numFmt w:val="decimal"/>
      <w:lvlText w:val="（%1）"/>
      <w:lvlJc w:val="left"/>
      <w:pPr>
        <w:ind w:left="1287" w:hanging="720"/>
      </w:pPr>
      <w:rPr>
        <w:rFonts w:hint="default"/>
      </w:rPr>
    </w:lvl>
    <w:lvl w:ilvl="1" w:tentative="0">
      <w:start w:val="1"/>
      <w:numFmt w:val="lowerLetter"/>
      <w:lvlText w:val="%2)"/>
      <w:lvlJc w:val="left"/>
      <w:pPr>
        <w:ind w:left="1407" w:hanging="420"/>
      </w:pPr>
    </w:lvl>
    <w:lvl w:ilvl="2" w:tentative="0">
      <w:start w:val="1"/>
      <w:numFmt w:val="lowerRoman"/>
      <w:lvlText w:val="%3."/>
      <w:lvlJc w:val="right"/>
      <w:pPr>
        <w:ind w:left="1827" w:hanging="420"/>
      </w:pPr>
    </w:lvl>
    <w:lvl w:ilvl="3" w:tentative="0">
      <w:start w:val="1"/>
      <w:numFmt w:val="decimal"/>
      <w:lvlText w:val="%4."/>
      <w:lvlJc w:val="left"/>
      <w:pPr>
        <w:ind w:left="2247" w:hanging="420"/>
      </w:pPr>
    </w:lvl>
    <w:lvl w:ilvl="4" w:tentative="0">
      <w:start w:val="1"/>
      <w:numFmt w:val="lowerLetter"/>
      <w:lvlText w:val="%5)"/>
      <w:lvlJc w:val="left"/>
      <w:pPr>
        <w:ind w:left="2667" w:hanging="420"/>
      </w:pPr>
    </w:lvl>
    <w:lvl w:ilvl="5" w:tentative="0">
      <w:start w:val="1"/>
      <w:numFmt w:val="lowerRoman"/>
      <w:lvlText w:val="%6."/>
      <w:lvlJc w:val="right"/>
      <w:pPr>
        <w:ind w:left="3087" w:hanging="420"/>
      </w:pPr>
    </w:lvl>
    <w:lvl w:ilvl="6" w:tentative="0">
      <w:start w:val="1"/>
      <w:numFmt w:val="decimal"/>
      <w:lvlText w:val="%7."/>
      <w:lvlJc w:val="left"/>
      <w:pPr>
        <w:ind w:left="3507" w:hanging="420"/>
      </w:pPr>
    </w:lvl>
    <w:lvl w:ilvl="7" w:tentative="0">
      <w:start w:val="1"/>
      <w:numFmt w:val="lowerLetter"/>
      <w:lvlText w:val="%8)"/>
      <w:lvlJc w:val="left"/>
      <w:pPr>
        <w:ind w:left="3927" w:hanging="420"/>
      </w:pPr>
    </w:lvl>
    <w:lvl w:ilvl="8" w:tentative="0">
      <w:start w:val="1"/>
      <w:numFmt w:val="lowerRoman"/>
      <w:lvlText w:val="%9."/>
      <w:lvlJc w:val="right"/>
      <w:pPr>
        <w:ind w:left="4347" w:hanging="420"/>
      </w:pPr>
    </w:lvl>
  </w:abstractNum>
  <w:abstractNum w:abstractNumId="15">
    <w:nsid w:val="6BC735A4"/>
    <w:multiLevelType w:val="singleLevel"/>
    <w:tmpl w:val="6BC735A4"/>
    <w:lvl w:ilvl="0" w:tentative="0">
      <w:start w:val="1"/>
      <w:numFmt w:val="decimal"/>
      <w:lvlText w:val="%1."/>
      <w:lvlJc w:val="left"/>
      <w:pPr>
        <w:tabs>
          <w:tab w:val="left" w:pos="312"/>
        </w:tabs>
      </w:pPr>
    </w:lvl>
  </w:abstractNum>
  <w:abstractNum w:abstractNumId="16">
    <w:nsid w:val="71FAD3BC"/>
    <w:multiLevelType w:val="singleLevel"/>
    <w:tmpl w:val="71FAD3BC"/>
    <w:lvl w:ilvl="0" w:tentative="0">
      <w:start w:val="5"/>
      <w:numFmt w:val="chineseCounting"/>
      <w:suff w:val="space"/>
      <w:lvlText w:val="第%1部分"/>
      <w:lvlJc w:val="left"/>
      <w:rPr>
        <w:rFonts w:hint="eastAsia"/>
      </w:rPr>
    </w:lvl>
  </w:abstractNum>
  <w:num w:numId="1">
    <w:abstractNumId w:val="0"/>
  </w:num>
  <w:num w:numId="2">
    <w:abstractNumId w:val="12"/>
  </w:num>
  <w:num w:numId="3">
    <w:abstractNumId w:val="9"/>
  </w:num>
  <w:num w:numId="4">
    <w:abstractNumId w:val="4"/>
  </w:num>
  <w:num w:numId="5">
    <w:abstractNumId w:val="14"/>
  </w:num>
  <w:num w:numId="6">
    <w:abstractNumId w:val="11"/>
  </w:num>
  <w:num w:numId="7">
    <w:abstractNumId w:val="7"/>
  </w:num>
  <w:num w:numId="8">
    <w:abstractNumId w:val="3"/>
  </w:num>
  <w:num w:numId="9">
    <w:abstractNumId w:val="8"/>
  </w:num>
  <w:num w:numId="10">
    <w:abstractNumId w:val="16"/>
  </w:num>
  <w:num w:numId="11">
    <w:abstractNumId w:val="15"/>
  </w:num>
  <w:num w:numId="12">
    <w:abstractNumId w:val="1"/>
  </w:num>
  <w:num w:numId="13">
    <w:abstractNumId w:val="6"/>
  </w:num>
  <w:num w:numId="14">
    <w:abstractNumId w:val="10"/>
  </w:num>
  <w:num w:numId="15">
    <w:abstractNumId w:val="2"/>
  </w:num>
  <w:num w:numId="16">
    <w:abstractNumId w:val="5"/>
  </w:num>
  <w:num w:numId="17">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2"/>
    </o:shapelayout>
  </w:hdrShapeDefaults>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ZiMTVjMGM5ZThmMjc5Mzc5YTA1ZWVjNjc3OWQxYTYifQ=="/>
  </w:docVars>
  <w:rsids>
    <w:rsidRoot w:val="602921CF"/>
    <w:rsid w:val="00627E6B"/>
    <w:rsid w:val="01B92108"/>
    <w:rsid w:val="027619AC"/>
    <w:rsid w:val="02C24BF1"/>
    <w:rsid w:val="065F20CA"/>
    <w:rsid w:val="06F20536"/>
    <w:rsid w:val="073A4293"/>
    <w:rsid w:val="0E990EFC"/>
    <w:rsid w:val="12E93ED1"/>
    <w:rsid w:val="12FC5845"/>
    <w:rsid w:val="13531FC1"/>
    <w:rsid w:val="138B06C9"/>
    <w:rsid w:val="16AD416B"/>
    <w:rsid w:val="180B1404"/>
    <w:rsid w:val="196A4743"/>
    <w:rsid w:val="1A056BBA"/>
    <w:rsid w:val="1C485D0F"/>
    <w:rsid w:val="1CCE7C60"/>
    <w:rsid w:val="23EB59F6"/>
    <w:rsid w:val="24E9380F"/>
    <w:rsid w:val="25F3318F"/>
    <w:rsid w:val="282F0318"/>
    <w:rsid w:val="28840378"/>
    <w:rsid w:val="2A5612C8"/>
    <w:rsid w:val="2A8F1762"/>
    <w:rsid w:val="2EC35DF5"/>
    <w:rsid w:val="2ED21B39"/>
    <w:rsid w:val="2F034443"/>
    <w:rsid w:val="31B14722"/>
    <w:rsid w:val="323977B4"/>
    <w:rsid w:val="32EC4A3F"/>
    <w:rsid w:val="338D20D9"/>
    <w:rsid w:val="344D364B"/>
    <w:rsid w:val="35B244CD"/>
    <w:rsid w:val="386B6319"/>
    <w:rsid w:val="3AEB7A38"/>
    <w:rsid w:val="3B447860"/>
    <w:rsid w:val="3DAC3EF8"/>
    <w:rsid w:val="40735DD5"/>
    <w:rsid w:val="422C0FC6"/>
    <w:rsid w:val="4BD1293F"/>
    <w:rsid w:val="4BEF33C5"/>
    <w:rsid w:val="4D364829"/>
    <w:rsid w:val="4DED20D8"/>
    <w:rsid w:val="51256043"/>
    <w:rsid w:val="51FD48CA"/>
    <w:rsid w:val="522923BC"/>
    <w:rsid w:val="53B953E8"/>
    <w:rsid w:val="556F508A"/>
    <w:rsid w:val="557A6DE3"/>
    <w:rsid w:val="5A654C66"/>
    <w:rsid w:val="5ABC682F"/>
    <w:rsid w:val="5B9B7014"/>
    <w:rsid w:val="5CC6692D"/>
    <w:rsid w:val="5DA84284"/>
    <w:rsid w:val="5E7778AA"/>
    <w:rsid w:val="602921CF"/>
    <w:rsid w:val="62CA6624"/>
    <w:rsid w:val="63A90506"/>
    <w:rsid w:val="6C013E5B"/>
    <w:rsid w:val="6CEB5022"/>
    <w:rsid w:val="6EB56801"/>
    <w:rsid w:val="6FB203BD"/>
    <w:rsid w:val="728E6093"/>
    <w:rsid w:val="74993FFC"/>
    <w:rsid w:val="7628175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9" w:semiHidden="0" w:name="heading 2"/>
    <w:lsdException w:qFormat="1" w:uiPriority="9" w:semiHidden="0" w:name="heading 3"/>
    <w:lsdException w:qFormat="1" w:uiPriority="9"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qFormat="1" w:uiPriority="39" w:semiHidden="0" w:name="toc 2"/>
    <w:lsdException w:qFormat="1" w:uiPriority="39" w:semiHidden="0" w:name="toc 3"/>
    <w:lsdException w:qFormat="1" w:uiPriority="39" w:semiHidden="0" w:name="toc 4"/>
    <w:lsdException w:unhideWhenUsed="0" w:uiPriority="0" w:semiHidden="0" w:name="toc 5"/>
    <w:lsdException w:qFormat="1" w:unhideWhenUsed="0" w:uiPriority="39"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iPriority="99" w:semiHidden="0" w:name="annotation text"/>
    <w:lsdException w:qFormat="1" w:uiPriority="99"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1"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5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adjustRightInd w:val="0"/>
      <w:snapToGrid w:val="0"/>
      <w:spacing w:line="360" w:lineRule="auto"/>
    </w:pPr>
    <w:rPr>
      <w:rFonts w:ascii="Tahoma" w:hAnsi="Tahoma" w:eastAsia="宋体" w:cstheme="minorBidi"/>
      <w:sz w:val="21"/>
      <w:szCs w:val="22"/>
      <w:lang w:val="en-US" w:eastAsia="zh-CN" w:bidi="ar-SA"/>
    </w:rPr>
  </w:style>
  <w:style w:type="paragraph" w:styleId="2">
    <w:name w:val="heading 2"/>
    <w:basedOn w:val="1"/>
    <w:next w:val="1"/>
    <w:unhideWhenUsed/>
    <w:qFormat/>
    <w:uiPriority w:val="9"/>
    <w:pPr>
      <w:keepNext/>
      <w:keepLines/>
      <w:spacing w:before="260" w:after="260" w:line="416" w:lineRule="auto"/>
      <w:outlineLvl w:val="1"/>
    </w:pPr>
    <w:rPr>
      <w:rFonts w:asciiTheme="majorHAnsi" w:hAnsiTheme="majorHAnsi" w:eastAsiaTheme="majorEastAsia" w:cstheme="majorBidi"/>
      <w:b/>
      <w:bCs/>
      <w:sz w:val="32"/>
      <w:szCs w:val="32"/>
    </w:rPr>
  </w:style>
  <w:style w:type="paragraph" w:styleId="3">
    <w:name w:val="heading 3"/>
    <w:basedOn w:val="1"/>
    <w:next w:val="1"/>
    <w:unhideWhenUsed/>
    <w:qFormat/>
    <w:uiPriority w:val="9"/>
    <w:pPr>
      <w:keepNext/>
      <w:keepLines/>
      <w:spacing w:before="260" w:after="260" w:line="416" w:lineRule="auto"/>
      <w:outlineLvl w:val="2"/>
    </w:pPr>
    <w:rPr>
      <w:b/>
      <w:bCs/>
      <w:sz w:val="32"/>
      <w:szCs w:val="32"/>
    </w:rPr>
  </w:style>
  <w:style w:type="paragraph" w:styleId="4">
    <w:name w:val="heading 4"/>
    <w:basedOn w:val="1"/>
    <w:next w:val="1"/>
    <w:unhideWhenUsed/>
    <w:qFormat/>
    <w:uiPriority w:val="9"/>
    <w:pPr>
      <w:keepNext/>
      <w:keepLines/>
      <w:outlineLvl w:val="3"/>
    </w:pPr>
    <w:rPr>
      <w:rFonts w:asciiTheme="majorHAnsi" w:hAnsiTheme="majorHAnsi" w:cstheme="majorBidi"/>
      <w:b/>
      <w:bCs/>
      <w:sz w:val="24"/>
      <w:szCs w:val="28"/>
    </w:rPr>
  </w:style>
  <w:style w:type="character" w:default="1" w:styleId="18">
    <w:name w:val="Default Paragraph Font"/>
    <w:semiHidden/>
    <w:qFormat/>
    <w:uiPriority w:val="0"/>
  </w:style>
  <w:style w:type="table" w:default="1" w:styleId="16">
    <w:name w:val="Normal Table"/>
    <w:semiHidden/>
    <w:qFormat/>
    <w:uiPriority w:val="0"/>
    <w:tblPr>
      <w:tblCellMar>
        <w:top w:w="0" w:type="dxa"/>
        <w:left w:w="108" w:type="dxa"/>
        <w:bottom w:w="0" w:type="dxa"/>
        <w:right w:w="108" w:type="dxa"/>
      </w:tblCellMar>
    </w:tblPr>
  </w:style>
  <w:style w:type="paragraph" w:styleId="5">
    <w:name w:val="annotation text"/>
    <w:basedOn w:val="1"/>
    <w:unhideWhenUsed/>
    <w:qFormat/>
    <w:uiPriority w:val="99"/>
  </w:style>
  <w:style w:type="paragraph" w:styleId="6">
    <w:name w:val="Body Text"/>
    <w:basedOn w:val="1"/>
    <w:next w:val="1"/>
    <w:qFormat/>
    <w:uiPriority w:val="1"/>
    <w:pPr>
      <w:spacing w:before="161"/>
      <w:ind w:left="120"/>
    </w:pPr>
    <w:rPr>
      <w:rFonts w:ascii="宋体" w:hAnsi="宋体" w:cs="宋体"/>
      <w:sz w:val="24"/>
      <w:lang w:val="zh-CN" w:bidi="zh-CN"/>
    </w:rPr>
  </w:style>
  <w:style w:type="paragraph" w:styleId="7">
    <w:name w:val="Body Text Indent"/>
    <w:basedOn w:val="1"/>
    <w:qFormat/>
    <w:uiPriority w:val="0"/>
    <w:pPr>
      <w:ind w:left="359" w:leftChars="171" w:firstLine="179" w:firstLineChars="85"/>
    </w:pPr>
    <w:rPr>
      <w:rFonts w:ascii="宋体" w:hAnsi="宋体"/>
      <w:b/>
      <w:bCs/>
      <w:szCs w:val="26"/>
    </w:rPr>
  </w:style>
  <w:style w:type="paragraph" w:styleId="8">
    <w:name w:val="toc 3"/>
    <w:basedOn w:val="1"/>
    <w:next w:val="1"/>
    <w:unhideWhenUsed/>
    <w:qFormat/>
    <w:uiPriority w:val="39"/>
    <w:pPr>
      <w:tabs>
        <w:tab w:val="right" w:leader="dot" w:pos="8296"/>
      </w:tabs>
      <w:ind w:left="838" w:leftChars="381"/>
    </w:pPr>
    <w:rPr>
      <w:szCs w:val="21"/>
    </w:rPr>
  </w:style>
  <w:style w:type="paragraph" w:styleId="9">
    <w:name w:val="footer"/>
    <w:basedOn w:val="1"/>
    <w:unhideWhenUsed/>
    <w:qFormat/>
    <w:uiPriority w:val="99"/>
    <w:pPr>
      <w:tabs>
        <w:tab w:val="center" w:pos="4153"/>
        <w:tab w:val="right" w:pos="8306"/>
      </w:tabs>
    </w:pPr>
    <w:rPr>
      <w:sz w:val="18"/>
      <w:szCs w:val="18"/>
    </w:rPr>
  </w:style>
  <w:style w:type="paragraph" w:styleId="10">
    <w:name w:val="header"/>
    <w:basedOn w:val="1"/>
    <w:unhideWhenUsed/>
    <w:qFormat/>
    <w:uiPriority w:val="99"/>
    <w:pPr>
      <w:pBdr>
        <w:bottom w:val="single" w:color="auto" w:sz="6" w:space="1"/>
      </w:pBdr>
      <w:tabs>
        <w:tab w:val="center" w:pos="4153"/>
        <w:tab w:val="right" w:pos="8306"/>
      </w:tabs>
      <w:jc w:val="center"/>
    </w:pPr>
    <w:rPr>
      <w:sz w:val="18"/>
      <w:szCs w:val="18"/>
    </w:rPr>
  </w:style>
  <w:style w:type="paragraph" w:styleId="11">
    <w:name w:val="toc 4"/>
    <w:basedOn w:val="1"/>
    <w:next w:val="1"/>
    <w:unhideWhenUsed/>
    <w:qFormat/>
    <w:uiPriority w:val="39"/>
    <w:pPr>
      <w:tabs>
        <w:tab w:val="right" w:leader="dot" w:pos="8296"/>
      </w:tabs>
      <w:spacing w:after="120"/>
      <w:ind w:left="1320" w:leftChars="600"/>
    </w:pPr>
  </w:style>
  <w:style w:type="paragraph" w:styleId="12">
    <w:name w:val="toc 6"/>
    <w:basedOn w:val="1"/>
    <w:next w:val="1"/>
    <w:qFormat/>
    <w:uiPriority w:val="39"/>
    <w:pPr>
      <w:ind w:left="1200"/>
    </w:pPr>
    <w:rPr>
      <w:rFonts w:ascii="Calibri" w:cs="Calibri"/>
      <w:sz w:val="18"/>
      <w:szCs w:val="18"/>
    </w:rPr>
  </w:style>
  <w:style w:type="paragraph" w:styleId="13">
    <w:name w:val="toc 2"/>
    <w:basedOn w:val="1"/>
    <w:next w:val="1"/>
    <w:unhideWhenUsed/>
    <w:qFormat/>
    <w:uiPriority w:val="39"/>
    <w:pPr>
      <w:tabs>
        <w:tab w:val="right" w:leader="dot" w:pos="8296"/>
      </w:tabs>
      <w:ind w:left="440" w:leftChars="200"/>
      <w:jc w:val="center"/>
    </w:pPr>
    <w:rPr>
      <w:rFonts w:ascii="宋体" w:hAnsi="宋体"/>
      <w:sz w:val="30"/>
      <w:szCs w:val="30"/>
    </w:rPr>
  </w:style>
  <w:style w:type="paragraph" w:styleId="14">
    <w:name w:val="Body Text First Indent"/>
    <w:basedOn w:val="6"/>
    <w:next w:val="15"/>
    <w:qFormat/>
    <w:uiPriority w:val="0"/>
    <w:pPr>
      <w:spacing w:after="120"/>
      <w:ind w:firstLine="420" w:firstLineChars="100"/>
    </w:pPr>
    <w:rPr>
      <w:bCs/>
      <w:szCs w:val="21"/>
    </w:rPr>
  </w:style>
  <w:style w:type="paragraph" w:customStyle="1" w:styleId="15">
    <w:name w:val="样式 正文首行缩进 + 首行缩进:  1 字符"/>
    <w:basedOn w:val="1"/>
    <w:next w:val="1"/>
    <w:qFormat/>
    <w:uiPriority w:val="0"/>
    <w:pPr>
      <w:ind w:firstLine="200" w:firstLineChars="200"/>
    </w:pPr>
    <w:rPr>
      <w:rFonts w:cs="宋体"/>
      <w:szCs w:val="20"/>
    </w:rPr>
  </w:style>
  <w:style w:type="table" w:styleId="17">
    <w:name w:val="Table Grid"/>
    <w:basedOn w:val="16"/>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19">
    <w:name w:val="首行缩进"/>
    <w:basedOn w:val="1"/>
    <w:qFormat/>
    <w:uiPriority w:val="0"/>
    <w:pPr>
      <w:adjustRightInd/>
      <w:spacing w:line="300" w:lineRule="auto"/>
      <w:ind w:firstLine="420" w:firstLineChars="200"/>
      <w:jc w:val="both"/>
    </w:pPr>
    <w:rPr>
      <w:rFonts w:ascii="Calibri" w:hAnsi="Calibri" w:eastAsia="方正书宋简体" w:cs="Times New Roman"/>
      <w:sz w:val="20"/>
    </w:rPr>
  </w:style>
  <w:style w:type="paragraph" w:styleId="20">
    <w:name w:val="List Paragraph"/>
    <w:basedOn w:val="1"/>
    <w:qFormat/>
    <w:uiPriority w:val="0"/>
    <w:pPr>
      <w:ind w:firstLine="420" w:firstLineChars="200"/>
    </w:pPr>
  </w:style>
  <w:style w:type="paragraph" w:customStyle="1" w:styleId="21">
    <w:name w:val="列出段落1"/>
    <w:basedOn w:val="1"/>
    <w:qFormat/>
    <w:uiPriority w:val="99"/>
    <w:pPr>
      <w:widowControl w:val="0"/>
      <w:adjustRightInd/>
      <w:snapToGrid/>
      <w:ind w:firstLine="420" w:firstLineChars="200"/>
      <w:jc w:val="both"/>
    </w:pPr>
    <w:rPr>
      <w:rFonts w:ascii="Times New Roman" w:hAnsi="Times New Roman" w:cs="Times New Roman"/>
      <w:kern w:val="2"/>
      <w:sz w:val="24"/>
      <w:szCs w:val="24"/>
    </w:rPr>
  </w:style>
  <w:style w:type="paragraph" w:customStyle="1" w:styleId="22">
    <w:name w:val="正文缩进2格"/>
    <w:basedOn w:val="1"/>
    <w:qFormat/>
    <w:uiPriority w:val="0"/>
    <w:pPr>
      <w:widowControl w:val="0"/>
      <w:adjustRightInd/>
      <w:snapToGrid/>
      <w:spacing w:line="600" w:lineRule="exact"/>
      <w:ind w:firstLine="639" w:firstLineChars="206"/>
      <w:jc w:val="both"/>
    </w:pPr>
    <w:rPr>
      <w:rFonts w:ascii="仿宋_GB2312" w:hAnsi="宋体" w:eastAsia="仿宋_GB2312"/>
      <w:kern w:val="2"/>
      <w:sz w:val="31"/>
    </w:rPr>
  </w:style>
</w:styles>
</file>

<file path=word/_rels/document.xml.rels><?xml version="1.0" encoding="UTF-8" standalone="yes"?>
<Relationships xmlns="http://schemas.openxmlformats.org/package/2006/relationships"><Relationship Id="rId9" Type="http://schemas.openxmlformats.org/officeDocument/2006/relationships/footer" Target="footer2.xml"/><Relationship Id="rId8" Type="http://schemas.openxmlformats.org/officeDocument/2006/relationships/footer" Target="footer1.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8" Type="http://schemas.openxmlformats.org/officeDocument/2006/relationships/fontTable" Target="fontTable.xml"/><Relationship Id="rId17" Type="http://schemas.openxmlformats.org/officeDocument/2006/relationships/numbering" Target="numbering.xml"/><Relationship Id="rId16" Type="http://schemas.openxmlformats.org/officeDocument/2006/relationships/customXml" Target="../customXml/item1.xml"/><Relationship Id="rId15" Type="http://schemas.openxmlformats.org/officeDocument/2006/relationships/image" Target="media/image4.png"/><Relationship Id="rId14" Type="http://schemas.openxmlformats.org/officeDocument/2006/relationships/image" Target="media/image3.png"/><Relationship Id="rId13" Type="http://schemas.openxmlformats.org/officeDocument/2006/relationships/image" Target="media/image2.emf"/><Relationship Id="rId12" Type="http://schemas.openxmlformats.org/officeDocument/2006/relationships/oleObject" Target="embeddings/oleObject1.bin"/><Relationship Id="rId11" Type="http://schemas.openxmlformats.org/officeDocument/2006/relationships/image" Target="media/image1.jpeg"/><Relationship Id="rId10" Type="http://schemas.openxmlformats.org/officeDocument/2006/relationships/theme" Target="theme/theme1.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2051"/>
    <customShpInfo spid="_x0000_s2052"/>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71</Pages>
  <Words>36710</Words>
  <Characters>38032</Characters>
  <Lines>0</Lines>
  <Paragraphs>0</Paragraphs>
  <TotalTime>58</TotalTime>
  <ScaleCrop>false</ScaleCrop>
  <LinksUpToDate>false</LinksUpToDate>
  <CharactersWithSpaces>39958</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2025-09-19T06:10:00Z</dcterms:created>
  <dc:creator>1</dc:creator>
  <cp:lastModifiedBy>1</cp:lastModifiedBy>
  <dcterms:modified xsi:type="dcterms:W3CDTF">2025-09-30T02:09:20Z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625B50BEEDA84E4F82C1361799148097_13</vt:lpwstr>
  </property>
  <property fmtid="{D5CDD505-2E9C-101B-9397-08002B2CF9AE}" pid="4" name="KSOTemplateDocerSaveRecord">
    <vt:lpwstr>eyJoZGlkIjoiOGU3ODRhYWJjY2I1ODQzYzk2ZjhmMjE3MDBmNzNkMzQiLCJ1c2VySWQiOiIyNTczMTExNzkifQ==</vt:lpwstr>
  </property>
</Properties>
</file>