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A87D5C">
      <w:pPr>
        <w:adjustRightInd w:val="0"/>
        <w:snapToGrid w:val="0"/>
        <w:spacing w:before="156" w:after="120" w:line="276" w:lineRule="auto"/>
        <w:jc w:val="center"/>
        <w:rPr>
          <w:rFonts w:eastAsia="华文中宋"/>
          <w:color w:val="000000"/>
          <w:sz w:val="44"/>
          <w:szCs w:val="44"/>
        </w:rPr>
      </w:pPr>
      <w:bookmarkStart w:id="0" w:name="_Toc228023130"/>
      <w:r>
        <w:rPr>
          <w:rFonts w:hint="eastAsia" w:eastAsia="华文中宋"/>
          <w:color w:val="000000"/>
          <w:sz w:val="44"/>
          <w:szCs w:val="44"/>
          <w:lang w:val="en-US" w:eastAsia="zh-CN"/>
        </w:rPr>
        <w:t>采购文件</w:t>
      </w:r>
    </w:p>
    <w:p w14:paraId="5E60888F">
      <w:pPr>
        <w:spacing w:before="156" w:line="600" w:lineRule="exact"/>
        <w:ind w:firstLine="640" w:firstLineChars="200"/>
        <w:rPr>
          <w:rFonts w:eastAsia="仿宋_GB2312"/>
          <w:color w:val="000000"/>
          <w:sz w:val="32"/>
          <w:szCs w:val="32"/>
        </w:rPr>
      </w:pPr>
      <w:r>
        <w:rPr>
          <w:rFonts w:hint="eastAsia" w:eastAsia="仿宋_GB2312"/>
          <w:color w:val="000000"/>
          <w:sz w:val="32"/>
          <w:szCs w:val="32"/>
          <w:u w:val="single"/>
        </w:rPr>
        <w:t>东莞市新东元环保投资有限公司</w:t>
      </w:r>
      <w:r>
        <w:rPr>
          <w:rFonts w:hint="eastAsia" w:eastAsia="仿宋_GB2312"/>
          <w:color w:val="000000"/>
          <w:sz w:val="32"/>
          <w:szCs w:val="32"/>
          <w:u w:val="single"/>
          <w:lang w:val="en-US" w:eastAsia="zh-CN"/>
        </w:rPr>
        <w:t>因运营生产需求</w:t>
      </w:r>
      <w:r>
        <w:rPr>
          <w:rFonts w:hint="eastAsia" w:eastAsia="仿宋_GB2312"/>
          <w:color w:val="000000"/>
          <w:sz w:val="32"/>
          <w:szCs w:val="32"/>
          <w:u w:val="single"/>
        </w:rPr>
        <w:t>，拟采购一家</w:t>
      </w:r>
      <w:r>
        <w:rPr>
          <w:rFonts w:hint="eastAsia" w:eastAsia="仿宋_GB2312"/>
          <w:color w:val="000000"/>
          <w:sz w:val="32"/>
          <w:szCs w:val="32"/>
          <w:u w:val="single"/>
          <w:lang w:val="en-US" w:eastAsia="zh-CN"/>
        </w:rPr>
        <w:t>专业单位承接电机设备维修工作</w:t>
      </w:r>
      <w:r>
        <w:rPr>
          <w:rFonts w:hint="eastAsia" w:eastAsia="仿宋_GB2312"/>
          <w:color w:val="000000"/>
          <w:sz w:val="32"/>
          <w:szCs w:val="32"/>
        </w:rPr>
        <w:t>，现将相关情况介绍如下：</w:t>
      </w:r>
    </w:p>
    <w:p w14:paraId="184BA9DA">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14:paraId="7F17BFCB">
      <w:pPr>
        <w:adjustRightInd w:val="0"/>
        <w:snapToGrid w:val="0"/>
        <w:spacing w:before="156"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w:t>
      </w:r>
      <w:r>
        <w:rPr>
          <w:rFonts w:hint="eastAsia" w:eastAsia="仿宋_GB2312"/>
          <w:color w:val="000000"/>
          <w:sz w:val="32"/>
          <w:szCs w:val="32"/>
          <w:u w:val="single"/>
          <w:lang w:eastAsia="zh-CN"/>
        </w:rPr>
        <w:t>东莞市海心沙资源综合利用中心环保热电厂2025年度电机设备维修采购项目</w:t>
      </w:r>
      <w:r>
        <w:rPr>
          <w:rFonts w:hint="eastAsia" w:eastAsia="仿宋_GB2312"/>
          <w:color w:val="000000"/>
          <w:sz w:val="32"/>
          <w:szCs w:val="32"/>
          <w:u w:val="single"/>
        </w:rPr>
        <w:t>。</w:t>
      </w:r>
    </w:p>
    <w:p w14:paraId="7DD1639B">
      <w:pPr>
        <w:adjustRightInd w:val="0"/>
        <w:snapToGrid w:val="0"/>
        <w:spacing w:before="156"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、采购范围：</w:t>
      </w:r>
      <w:r>
        <w:rPr>
          <w:rFonts w:hint="eastAsia" w:eastAsia="仿宋_GB2312"/>
          <w:color w:val="000000"/>
          <w:sz w:val="32"/>
          <w:szCs w:val="32"/>
          <w:lang w:val="en-US" w:eastAsia="zh-CN"/>
        </w:rPr>
        <w:t>详见附件《</w:t>
      </w:r>
      <w:r>
        <w:rPr>
          <w:rFonts w:hint="eastAsia" w:eastAsia="仿宋_GB2312"/>
          <w:color w:val="000000"/>
          <w:sz w:val="32"/>
          <w:szCs w:val="32"/>
          <w:u w:val="single"/>
          <w:lang w:eastAsia="zh-CN"/>
        </w:rPr>
        <w:t>东莞市海心沙资源综合利用中心环保热电厂2025年度电机设备维修采购项目</w:t>
      </w:r>
      <w:r>
        <w:rPr>
          <w:rFonts w:hint="eastAsia" w:eastAsia="仿宋_GB2312"/>
          <w:color w:val="000000"/>
          <w:sz w:val="32"/>
          <w:szCs w:val="32"/>
          <w:u w:val="single"/>
          <w:lang w:val="en-US" w:eastAsia="zh-CN"/>
        </w:rPr>
        <w:t>技术需求书</w:t>
      </w:r>
      <w:r>
        <w:rPr>
          <w:rFonts w:hint="eastAsia" w:eastAsia="仿宋_GB2312"/>
          <w:color w:val="000000"/>
          <w:sz w:val="32"/>
          <w:szCs w:val="32"/>
          <w:lang w:val="en-US" w:eastAsia="zh-CN"/>
        </w:rPr>
        <w:t>》</w:t>
      </w:r>
      <w:r>
        <w:rPr>
          <w:rFonts w:hint="eastAsia"/>
          <w:b w:val="0"/>
          <w:bCs w:val="0"/>
          <w:sz w:val="30"/>
          <w:szCs w:val="30"/>
          <w:lang w:val="en-US" w:eastAsia="zh-CN"/>
        </w:rPr>
        <w:t>。</w:t>
      </w:r>
    </w:p>
    <w:p w14:paraId="3BC0A3C4">
      <w:pPr>
        <w:adjustRightInd w:val="0"/>
        <w:snapToGrid w:val="0"/>
        <w:spacing w:before="156"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r>
        <w:rPr>
          <w:rFonts w:hint="eastAsia" w:eastAsia="仿宋_GB2312"/>
          <w:color w:val="000000"/>
          <w:sz w:val="32"/>
          <w:szCs w:val="32"/>
          <w:u w:val="single"/>
        </w:rPr>
        <w:t>东莞市麻涌镇大步村海心沙岛</w:t>
      </w:r>
      <w:r>
        <w:rPr>
          <w:rFonts w:eastAsia="仿宋_GB2312"/>
          <w:color w:val="000000"/>
          <w:sz w:val="32"/>
          <w:szCs w:val="32"/>
          <w:u w:val="single"/>
        </w:rPr>
        <w:t xml:space="preserve"> </w:t>
      </w:r>
      <w:r>
        <w:rPr>
          <w:rFonts w:hint="eastAsia" w:eastAsia="仿宋_GB2312"/>
          <w:color w:val="000000"/>
          <w:sz w:val="32"/>
          <w:szCs w:val="32"/>
          <w:u w:val="single"/>
        </w:rPr>
        <w:t>；</w:t>
      </w:r>
    </w:p>
    <w:p w14:paraId="36AB1577">
      <w:pPr>
        <w:adjustRightInd w:val="0"/>
        <w:snapToGrid w:val="0"/>
        <w:spacing w:before="156" w:line="600" w:lineRule="exact"/>
        <w:ind w:firstLine="640" w:firstLineChars="200"/>
        <w:outlineLvl w:val="9"/>
        <w:rPr>
          <w:rFonts w:eastAsia="黑体"/>
          <w:color w:val="000000"/>
          <w:sz w:val="32"/>
          <w:szCs w:val="32"/>
        </w:rPr>
      </w:pPr>
      <w:r>
        <w:rPr>
          <w:rFonts w:hint="eastAsia" w:eastAsia="黑体"/>
          <w:color w:val="000000"/>
          <w:sz w:val="32"/>
          <w:szCs w:val="32"/>
        </w:rPr>
        <w:t>二、项目发布</w:t>
      </w:r>
    </w:p>
    <w:p w14:paraId="1D2C0A55">
      <w:pPr>
        <w:adjustRightInd w:val="0"/>
        <w:snapToGrid w:val="0"/>
        <w:spacing w:before="156" w:line="600" w:lineRule="exact"/>
        <w:ind w:firstLine="640" w:firstLineChars="200"/>
        <w:rPr>
          <w:rFonts w:eastAsia="仿宋_GB2312"/>
          <w:color w:val="000000"/>
          <w:sz w:val="32"/>
          <w:szCs w:val="32"/>
        </w:rPr>
      </w:pPr>
      <w:r>
        <w:rPr>
          <w:rFonts w:hint="eastAsia" w:eastAsia="仿宋_GB2312"/>
          <w:color w:val="000000"/>
          <w:sz w:val="32"/>
          <w:szCs w:val="32"/>
        </w:rPr>
        <w:t>本项目采购信息在东莞实业投资控股集团有限公司网站（http://www.dgsy.com.cn/）及</w:t>
      </w:r>
      <w:r>
        <w:rPr>
          <w:rFonts w:hint="eastAsia" w:eastAsia="仿宋_GB2312"/>
          <w:color w:val="000000"/>
          <w:sz w:val="32"/>
          <w:szCs w:val="32"/>
          <w:lang w:val="en-US" w:eastAsia="zh-CN"/>
        </w:rPr>
        <w:t>广东东实环境股份有</w:t>
      </w:r>
      <w:r>
        <w:rPr>
          <w:rFonts w:hint="eastAsia" w:eastAsia="仿宋_GB2312"/>
          <w:color w:val="000000"/>
          <w:sz w:val="32"/>
          <w:szCs w:val="32"/>
        </w:rPr>
        <w:t>限公司网站（http://www.dshuanbao.com.cn/）发布。</w:t>
      </w:r>
    </w:p>
    <w:p w14:paraId="5AAEAEF0">
      <w:pPr>
        <w:adjustRightInd w:val="0"/>
        <w:snapToGrid w:val="0"/>
        <w:spacing w:before="156"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w:t>
      </w:r>
      <w:r>
        <w:rPr>
          <w:rFonts w:hint="eastAsia" w:eastAsia="黑体"/>
          <w:color w:val="000000"/>
          <w:sz w:val="32"/>
          <w:szCs w:val="32"/>
          <w:lang w:eastAsia="zh-CN"/>
        </w:rPr>
        <w:t>响应人</w:t>
      </w:r>
      <w:r>
        <w:rPr>
          <w:rFonts w:hint="eastAsia" w:eastAsia="黑体"/>
          <w:color w:val="000000"/>
          <w:sz w:val="32"/>
          <w:szCs w:val="32"/>
        </w:rPr>
        <w:t>资格要求</w:t>
      </w:r>
    </w:p>
    <w:p w14:paraId="304F5A28">
      <w:pPr>
        <w:spacing w:before="156"/>
        <w:ind w:firstLine="627" w:firstLineChars="196"/>
        <w:rPr>
          <w:rFonts w:hint="eastAsia" w:ascii="仿宋" w:hAnsi="仿宋" w:eastAsia="仿宋"/>
          <w:sz w:val="32"/>
          <w:szCs w:val="32"/>
        </w:rPr>
      </w:pPr>
      <w:r>
        <w:rPr>
          <w:rFonts w:hint="eastAsia" w:ascii="仿宋" w:hAnsi="仿宋" w:eastAsia="仿宋"/>
          <w:sz w:val="32"/>
          <w:szCs w:val="32"/>
        </w:rPr>
        <w:t>1、响应人须为在中华人民共和国境内登记注册的具有独立承担民事责任能力的法人或其他组织。</w:t>
      </w:r>
      <w:r>
        <w:rPr>
          <w:rFonts w:hint="eastAsia" w:ascii="仿宋" w:hAnsi="仿宋" w:eastAsia="仿宋"/>
          <w:sz w:val="32"/>
          <w:szCs w:val="32"/>
          <w:lang w:eastAsia="zh-CN"/>
        </w:rPr>
        <w:t>【</w:t>
      </w:r>
      <w:r>
        <w:rPr>
          <w:rFonts w:hint="eastAsia" w:ascii="仿宋" w:hAnsi="仿宋" w:eastAsia="仿宋"/>
          <w:sz w:val="32"/>
          <w:szCs w:val="32"/>
        </w:rPr>
        <w:t>提供《营业执照》复印件（加盖公章）或《事业单位法人证书》复印件（加盖公章）或其他主体证书复印件（加盖公章）</w:t>
      </w:r>
      <w:r>
        <w:rPr>
          <w:rFonts w:hint="eastAsia" w:ascii="仿宋" w:hAnsi="仿宋" w:eastAsia="仿宋"/>
          <w:sz w:val="32"/>
          <w:szCs w:val="32"/>
          <w:lang w:eastAsia="zh-CN"/>
        </w:rPr>
        <w:t>】</w:t>
      </w:r>
      <w:r>
        <w:rPr>
          <w:rFonts w:hint="eastAsia" w:ascii="仿宋" w:hAnsi="仿宋" w:eastAsia="仿宋"/>
          <w:sz w:val="32"/>
          <w:szCs w:val="32"/>
        </w:rPr>
        <w:t>；</w:t>
      </w:r>
    </w:p>
    <w:p w14:paraId="040F7830">
      <w:pPr>
        <w:spacing w:before="156"/>
        <w:ind w:firstLine="627" w:firstLineChars="196"/>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2、未被列入东实环境及下属企业相关领域黑名单；</w:t>
      </w:r>
    </w:p>
    <w:p w14:paraId="6D8E82B8">
      <w:pPr>
        <w:spacing w:before="156"/>
        <w:ind w:firstLine="627" w:firstLineChars="196"/>
        <w:rPr>
          <w:rFonts w:hint="eastAsia" w:ascii="仿宋" w:hAnsi="仿宋" w:eastAsia="仿宋"/>
          <w:sz w:val="32"/>
          <w:szCs w:val="32"/>
        </w:rPr>
      </w:pPr>
      <w:r>
        <w:rPr>
          <w:rFonts w:hint="eastAsia" w:ascii="仿宋" w:hAnsi="仿宋" w:eastAsia="仿宋" w:cs="仿宋"/>
          <w:sz w:val="32"/>
          <w:szCs w:val="32"/>
          <w:lang w:val="en-US" w:eastAsia="zh-CN"/>
        </w:rPr>
        <w:t>3、</w:t>
      </w:r>
      <w:r>
        <w:rPr>
          <w:rFonts w:hint="eastAsia" w:ascii="仿宋" w:hAnsi="仿宋" w:eastAsia="仿宋"/>
          <w:sz w:val="32"/>
          <w:szCs w:val="32"/>
        </w:rPr>
        <w:t>业绩要求：</w:t>
      </w:r>
      <w:r>
        <w:rPr>
          <w:rFonts w:hint="eastAsia" w:ascii="仿宋" w:hAnsi="仿宋" w:eastAsia="仿宋"/>
          <w:sz w:val="32"/>
          <w:szCs w:val="32"/>
          <w:lang w:eastAsia="zh-CN"/>
        </w:rPr>
        <w:t>响应人</w:t>
      </w:r>
      <w:r>
        <w:rPr>
          <w:rFonts w:hint="eastAsia" w:ascii="仿宋" w:hAnsi="仿宋" w:eastAsia="仿宋"/>
          <w:sz w:val="32"/>
          <w:szCs w:val="32"/>
        </w:rPr>
        <w:t>具备类似项目经验，要求</w:t>
      </w:r>
      <w:r>
        <w:rPr>
          <w:rFonts w:hint="eastAsia" w:ascii="仿宋" w:hAnsi="仿宋" w:eastAsia="仿宋"/>
          <w:sz w:val="32"/>
          <w:szCs w:val="32"/>
          <w:u w:val="single"/>
        </w:rPr>
        <w:t>20</w:t>
      </w:r>
      <w:r>
        <w:rPr>
          <w:rFonts w:hint="eastAsia" w:ascii="仿宋" w:hAnsi="仿宋" w:eastAsia="仿宋"/>
          <w:sz w:val="32"/>
          <w:szCs w:val="32"/>
          <w:u w:val="single"/>
          <w:lang w:val="en-US" w:eastAsia="zh-CN"/>
        </w:rPr>
        <w:t>22</w:t>
      </w:r>
      <w:r>
        <w:rPr>
          <w:rFonts w:hint="eastAsia" w:ascii="仿宋" w:hAnsi="仿宋" w:eastAsia="仿宋"/>
          <w:sz w:val="32"/>
          <w:szCs w:val="32"/>
        </w:rPr>
        <w:t>年</w:t>
      </w:r>
      <w:r>
        <w:rPr>
          <w:rFonts w:ascii="仿宋" w:hAnsi="仿宋" w:eastAsia="仿宋"/>
          <w:sz w:val="32"/>
          <w:szCs w:val="32"/>
          <w:u w:val="single"/>
        </w:rPr>
        <w:t xml:space="preserve"> </w:t>
      </w:r>
      <w:r>
        <w:rPr>
          <w:rFonts w:hint="eastAsia" w:ascii="仿宋" w:hAnsi="仿宋" w:eastAsia="仿宋"/>
          <w:sz w:val="32"/>
          <w:szCs w:val="32"/>
          <w:u w:val="single"/>
          <w:lang w:val="en-US" w:eastAsia="zh-CN"/>
        </w:rPr>
        <w:t>1</w:t>
      </w:r>
      <w:r>
        <w:rPr>
          <w:rFonts w:hint="eastAsia" w:ascii="仿宋" w:hAnsi="仿宋" w:eastAsia="仿宋"/>
          <w:sz w:val="32"/>
          <w:szCs w:val="32"/>
        </w:rPr>
        <w:t>月</w:t>
      </w:r>
      <w:r>
        <w:rPr>
          <w:rFonts w:hint="eastAsia" w:ascii="仿宋" w:hAnsi="仿宋" w:eastAsia="仿宋"/>
          <w:sz w:val="32"/>
          <w:szCs w:val="32"/>
          <w:u w:val="single"/>
        </w:rPr>
        <w:t>1</w:t>
      </w:r>
      <w:r>
        <w:rPr>
          <w:rFonts w:hint="eastAsia" w:ascii="仿宋" w:hAnsi="仿宋" w:eastAsia="仿宋"/>
          <w:sz w:val="32"/>
          <w:szCs w:val="32"/>
        </w:rPr>
        <w:t>日起至今，完成不少于</w:t>
      </w:r>
      <w:r>
        <w:rPr>
          <w:rFonts w:hint="eastAsia" w:ascii="仿宋" w:hAnsi="仿宋" w:eastAsia="仿宋"/>
          <w:sz w:val="32"/>
          <w:szCs w:val="32"/>
          <w:lang w:val="en-US" w:eastAsia="zh-CN"/>
        </w:rPr>
        <w:t>2份高压电机维修</w:t>
      </w:r>
      <w:r>
        <w:rPr>
          <w:rFonts w:hint="eastAsia" w:ascii="仿宋" w:hAnsi="仿宋" w:eastAsia="仿宋"/>
          <w:sz w:val="32"/>
          <w:szCs w:val="32"/>
        </w:rPr>
        <w:t>的业绩【按合同签订时间为准，须提供合同关键页复印件（包含但不限于合同首页、合同金额页、合同签字页等</w:t>
      </w:r>
      <w:r>
        <w:rPr>
          <w:rFonts w:hint="eastAsia" w:ascii="仿宋" w:hAnsi="仿宋" w:eastAsia="仿宋"/>
          <w:sz w:val="32"/>
          <w:szCs w:val="32"/>
          <w:lang w:eastAsia="zh-CN"/>
        </w:rPr>
        <w:t>，</w:t>
      </w:r>
      <w:r>
        <w:rPr>
          <w:rFonts w:hint="eastAsia" w:ascii="仿宋" w:hAnsi="仿宋" w:eastAsia="仿宋"/>
          <w:sz w:val="32"/>
          <w:szCs w:val="32"/>
          <w:lang w:val="en-US" w:eastAsia="zh-CN"/>
        </w:rPr>
        <w:t>必须含体现本项业绩要求的相关信息</w:t>
      </w:r>
      <w:r>
        <w:rPr>
          <w:rFonts w:hint="eastAsia" w:ascii="仿宋" w:hAnsi="仿宋" w:eastAsia="仿宋"/>
          <w:sz w:val="32"/>
          <w:szCs w:val="32"/>
        </w:rPr>
        <w:t>）、</w:t>
      </w:r>
      <w:bookmarkStart w:id="1" w:name="_Hlk90414374"/>
      <w:r>
        <w:rPr>
          <w:rFonts w:hint="eastAsia" w:ascii="仿宋" w:hAnsi="仿宋" w:eastAsia="仿宋"/>
          <w:sz w:val="32"/>
          <w:szCs w:val="32"/>
        </w:rPr>
        <w:t>对应业绩项目合同期内任意一期已开具的发票复印件加盖公章</w:t>
      </w:r>
      <w:bookmarkEnd w:id="1"/>
      <w:r>
        <w:rPr>
          <w:rFonts w:hint="eastAsia" w:ascii="仿宋" w:hAnsi="仿宋" w:eastAsia="仿宋"/>
          <w:sz w:val="32"/>
          <w:szCs w:val="32"/>
        </w:rPr>
        <w:t>】。</w:t>
      </w:r>
    </w:p>
    <w:p w14:paraId="5815CC68">
      <w:pPr>
        <w:pStyle w:val="20"/>
        <w:keepNext w:val="0"/>
        <w:keepLines w:val="0"/>
        <w:pageBreakBefore w:val="0"/>
        <w:widowControl w:val="0"/>
        <w:kinsoku/>
        <w:wordWrap/>
        <w:overflowPunct/>
        <w:topLinePunct w:val="0"/>
        <w:autoSpaceDE/>
        <w:autoSpaceDN/>
        <w:bidi w:val="0"/>
        <w:adjustRightInd/>
        <w:snapToGrid w:val="0"/>
        <w:spacing w:line="360" w:lineRule="auto"/>
        <w:ind w:firstLine="640" w:firstLineChars="200"/>
        <w:jc w:val="left"/>
        <w:textAlignment w:val="auto"/>
        <w:rPr>
          <w:rFonts w:hint="eastAsia" w:ascii="仿宋" w:hAnsi="仿宋" w:eastAsia="仿宋" w:cs="Times New Roman"/>
          <w:kern w:val="2"/>
          <w:sz w:val="32"/>
          <w:szCs w:val="32"/>
          <w:lang w:val="en-US" w:eastAsia="zh-CN" w:bidi="ar-SA"/>
        </w:rPr>
      </w:pPr>
      <w:r>
        <w:rPr>
          <w:rFonts w:hint="eastAsia" w:ascii="仿宋" w:hAnsi="仿宋" w:eastAsia="仿宋" w:cs="仿宋"/>
          <w:sz w:val="32"/>
          <w:szCs w:val="32"/>
          <w:lang w:val="en-US" w:eastAsia="zh-CN"/>
        </w:rPr>
        <w:t>4、</w:t>
      </w:r>
      <w:r>
        <w:rPr>
          <w:rFonts w:hint="eastAsia" w:ascii="仿宋" w:hAnsi="仿宋" w:eastAsia="仿宋" w:cs="Times New Roman"/>
          <w:kern w:val="2"/>
          <w:sz w:val="32"/>
          <w:szCs w:val="32"/>
          <w:lang w:val="en-US" w:eastAsia="zh-CN" w:bidi="ar-SA"/>
        </w:rPr>
        <w:t>响应人须提供报价截止日前6个月内任意1个月依法缴纳税收及无欠税的证明材料。如依法免税的，须提供相</w:t>
      </w:r>
    </w:p>
    <w:p w14:paraId="0A251C10">
      <w:pPr>
        <w:pStyle w:val="20"/>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仿宋" w:hAnsi="仿宋" w:eastAsia="仿宋"/>
          <w:sz w:val="32"/>
          <w:szCs w:val="32"/>
        </w:rPr>
      </w:pPr>
      <w:r>
        <w:rPr>
          <w:rFonts w:hint="eastAsia" w:ascii="仿宋" w:hAnsi="仿宋" w:eastAsia="仿宋" w:cs="Times New Roman"/>
          <w:kern w:val="2"/>
          <w:sz w:val="32"/>
          <w:szCs w:val="32"/>
          <w:lang w:val="en-US" w:eastAsia="zh-CN" w:bidi="ar-SA"/>
        </w:rPr>
        <w:t>应证明材料【证明材料须加盖公章】</w:t>
      </w:r>
      <w:r>
        <w:rPr>
          <w:rFonts w:hint="eastAsia" w:ascii="仿宋" w:hAnsi="仿宋" w:eastAsia="仿宋"/>
          <w:sz w:val="32"/>
          <w:szCs w:val="32"/>
        </w:rPr>
        <w:t>。</w:t>
      </w:r>
    </w:p>
    <w:p w14:paraId="3C217988">
      <w:pPr>
        <w:pStyle w:val="2"/>
      </w:pPr>
    </w:p>
    <w:p w14:paraId="3FA78EC1">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四、采购内容及要求</w:t>
      </w:r>
    </w:p>
    <w:p w14:paraId="3DFAAEF3">
      <w:pPr>
        <w:spacing w:before="156" w:line="600" w:lineRule="exact"/>
        <w:ind w:firstLine="640" w:firstLineChars="200"/>
        <w:rPr>
          <w:rFonts w:eastAsia="仿宋_GB2312"/>
          <w:color w:val="000000"/>
          <w:sz w:val="32"/>
          <w:szCs w:val="32"/>
        </w:rPr>
      </w:pPr>
      <w:r>
        <w:rPr>
          <w:rFonts w:hint="eastAsia" w:eastAsia="仿宋_GB2312"/>
          <w:color w:val="000000"/>
          <w:sz w:val="32"/>
          <w:szCs w:val="32"/>
        </w:rPr>
        <w:t>1、</w:t>
      </w:r>
      <w:r>
        <w:rPr>
          <w:rFonts w:hint="eastAsia" w:eastAsia="仿宋_GB2312"/>
          <w:color w:val="000000"/>
          <w:sz w:val="32"/>
          <w:szCs w:val="32"/>
          <w:lang w:val="en-US" w:eastAsia="zh-CN"/>
        </w:rPr>
        <w:t>详见附件《</w:t>
      </w:r>
      <w:r>
        <w:rPr>
          <w:rFonts w:hint="eastAsia" w:eastAsia="仿宋_GB2312"/>
          <w:color w:val="000000"/>
          <w:sz w:val="32"/>
          <w:szCs w:val="32"/>
          <w:u w:val="single"/>
          <w:lang w:eastAsia="zh-CN"/>
        </w:rPr>
        <w:t>东莞市海心沙资源综合利用中心环保热电厂2025年度电机设备维修采购项目</w:t>
      </w:r>
      <w:r>
        <w:rPr>
          <w:rFonts w:hint="eastAsia" w:eastAsia="仿宋_GB2312"/>
          <w:color w:val="000000"/>
          <w:sz w:val="32"/>
          <w:szCs w:val="32"/>
          <w:u w:val="single"/>
          <w:lang w:val="en-US" w:eastAsia="zh-CN"/>
        </w:rPr>
        <w:t>技术需求书</w:t>
      </w:r>
      <w:r>
        <w:rPr>
          <w:rFonts w:hint="eastAsia" w:eastAsia="仿宋_GB2312"/>
          <w:color w:val="000000"/>
          <w:sz w:val="32"/>
          <w:szCs w:val="32"/>
          <w:lang w:val="en-US" w:eastAsia="zh-CN"/>
        </w:rPr>
        <w:t>》</w:t>
      </w:r>
      <w:r>
        <w:rPr>
          <w:rFonts w:hint="eastAsia" w:eastAsia="仿宋_GB2312"/>
          <w:color w:val="000000"/>
          <w:sz w:val="32"/>
          <w:szCs w:val="32"/>
        </w:rPr>
        <w:t>。</w:t>
      </w:r>
    </w:p>
    <w:p w14:paraId="3A8C23E8">
      <w:pPr>
        <w:numPr>
          <w:ilvl w:val="-1"/>
          <w:numId w:val="0"/>
        </w:numPr>
        <w:spacing w:before="156" w:line="600" w:lineRule="exact"/>
        <w:ind w:firstLine="643" w:firstLineChars="200"/>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2、</w:t>
      </w:r>
      <w:r>
        <w:rPr>
          <w:rFonts w:hint="eastAsia" w:ascii="仿宋" w:hAnsi="仿宋" w:eastAsia="仿宋" w:cs="仿宋"/>
          <w:b/>
          <w:bCs/>
          <w:color w:val="000000" w:themeColor="text1"/>
          <w:sz w:val="32"/>
          <w:szCs w:val="32"/>
          <w14:textFill>
            <w14:solidFill>
              <w14:schemeClr w14:val="tx1"/>
            </w14:solidFill>
          </w14:textFill>
        </w:rPr>
        <w:t>成交人须为投入本项目的所有人员购买保额不低于1</w:t>
      </w:r>
      <w:r>
        <w:rPr>
          <w:rFonts w:hint="eastAsia" w:ascii="仿宋" w:hAnsi="仿宋" w:eastAsia="仿宋" w:cs="仿宋"/>
          <w:b/>
          <w:bCs/>
          <w:color w:val="000000" w:themeColor="text1"/>
          <w:sz w:val="32"/>
          <w:szCs w:val="32"/>
          <w:lang w:val="en-US" w:eastAsia="zh-CN"/>
          <w14:textFill>
            <w14:solidFill>
              <w14:schemeClr w14:val="tx1"/>
            </w14:solidFill>
          </w14:textFill>
        </w:rPr>
        <w:t>2</w:t>
      </w:r>
      <w:r>
        <w:rPr>
          <w:rFonts w:hint="eastAsia" w:ascii="仿宋" w:hAnsi="仿宋" w:eastAsia="仿宋" w:cs="仿宋"/>
          <w:b/>
          <w:bCs/>
          <w:color w:val="000000" w:themeColor="text1"/>
          <w:sz w:val="32"/>
          <w:szCs w:val="32"/>
          <w14:textFill>
            <w14:solidFill>
              <w14:schemeClr w14:val="tx1"/>
            </w14:solidFill>
          </w14:textFill>
        </w:rPr>
        <w:t>0万元的人身意外险。</w:t>
      </w:r>
      <w:r>
        <w:rPr>
          <w:rFonts w:hint="eastAsia" w:ascii="仿宋" w:hAnsi="仿宋" w:eastAsia="仿宋" w:cs="仿宋"/>
          <w:b/>
          <w:bCs/>
          <w:color w:val="000000" w:themeColor="text1"/>
          <w:sz w:val="32"/>
          <w:szCs w:val="32"/>
          <w:lang w:val="en-US" w:eastAsia="zh-CN"/>
          <w14:textFill>
            <w14:solidFill>
              <w14:schemeClr w14:val="tx1"/>
            </w14:solidFill>
          </w14:textFill>
        </w:rPr>
        <w:t>维修过程须完全服从采购人的安全管理要求，根据采购人实际需求安排人员持证上岗。</w:t>
      </w:r>
    </w:p>
    <w:p w14:paraId="3423DDED">
      <w:pPr>
        <w:spacing w:before="156" w:line="600" w:lineRule="exact"/>
        <w:ind w:firstLine="643" w:firstLineChars="200"/>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3、质保期：单项电机质保期自维修完成并经采购人验收合格之日起为期12个月。</w:t>
      </w:r>
    </w:p>
    <w:p w14:paraId="2683A72D">
      <w:pPr>
        <w:spacing w:before="156" w:line="600" w:lineRule="exact"/>
        <w:ind w:firstLine="643" w:firstLineChars="200"/>
        <w:rPr>
          <w:rFonts w:hint="default"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4、对项目内容如有疑问，可咨询项目负责人刘工 18669856689。</w:t>
      </w:r>
    </w:p>
    <w:p w14:paraId="560486CE">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五、</w:t>
      </w:r>
      <w:r>
        <w:rPr>
          <w:rFonts w:hint="eastAsia" w:eastAsia="黑体"/>
          <w:color w:val="000000"/>
          <w:sz w:val="32"/>
          <w:szCs w:val="32"/>
          <w:lang w:val="en-US" w:eastAsia="zh-CN"/>
        </w:rPr>
        <w:t>服务</w:t>
      </w:r>
      <w:r>
        <w:rPr>
          <w:rFonts w:hint="eastAsia" w:eastAsia="黑体"/>
          <w:color w:val="000000"/>
          <w:sz w:val="32"/>
          <w:szCs w:val="32"/>
        </w:rPr>
        <w:t>时间</w:t>
      </w:r>
    </w:p>
    <w:p w14:paraId="52A56025">
      <w:pPr>
        <w:spacing w:before="156" w:line="600" w:lineRule="exact"/>
        <w:ind w:firstLine="640" w:firstLineChars="200"/>
        <w:rPr>
          <w:rFonts w:hint="eastAsia" w:eastAsia="仿宋_GB2312"/>
          <w:color w:val="000000"/>
          <w:sz w:val="32"/>
          <w:szCs w:val="32"/>
          <w:lang w:eastAsia="zh-CN"/>
        </w:rPr>
      </w:pPr>
      <w:r>
        <w:rPr>
          <w:rFonts w:hint="eastAsia" w:eastAsia="仿宋_GB2312"/>
          <w:color w:val="000000"/>
          <w:sz w:val="32"/>
          <w:szCs w:val="32"/>
          <w:lang w:eastAsia="zh-CN"/>
        </w:rPr>
        <w:t>合同期：自合同签订之日起为期一年。成交人自收到采购人单项维修通知之日起</w:t>
      </w:r>
      <w:r>
        <w:rPr>
          <w:rFonts w:hint="eastAsia" w:eastAsia="仿宋_GB2312"/>
          <w:color w:val="000000"/>
          <w:sz w:val="32"/>
          <w:szCs w:val="32"/>
          <w:lang w:val="en-US" w:eastAsia="zh-CN"/>
        </w:rPr>
        <w:t>5-7</w:t>
      </w:r>
      <w:r>
        <w:rPr>
          <w:rFonts w:hint="eastAsia" w:eastAsia="仿宋_GB2312"/>
          <w:color w:val="000000"/>
          <w:sz w:val="32"/>
          <w:szCs w:val="32"/>
          <w:lang w:eastAsia="zh-CN"/>
        </w:rPr>
        <w:t>个日历天内完成单次电机维修工作并经甲方验收合格（</w:t>
      </w:r>
      <w:r>
        <w:rPr>
          <w:rFonts w:hint="eastAsia" w:eastAsia="仿宋_GB2312"/>
          <w:color w:val="000000"/>
          <w:sz w:val="32"/>
          <w:szCs w:val="32"/>
          <w:lang w:val="en-US" w:eastAsia="zh-CN"/>
        </w:rPr>
        <w:t>以采购人实际通知工期为准）</w:t>
      </w:r>
      <w:r>
        <w:rPr>
          <w:rFonts w:hint="eastAsia" w:eastAsia="仿宋_GB2312"/>
          <w:color w:val="000000"/>
          <w:sz w:val="32"/>
          <w:szCs w:val="32"/>
          <w:lang w:eastAsia="zh-CN"/>
        </w:rPr>
        <w:t>。</w:t>
      </w:r>
    </w:p>
    <w:p w14:paraId="76CDCA79">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六、报价保证金</w:t>
      </w:r>
    </w:p>
    <w:p w14:paraId="191074C4">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rPr>
        <w:t>1、开标结束后，成交人需缴纳人民币</w:t>
      </w:r>
      <w:r>
        <w:rPr>
          <w:rFonts w:hint="eastAsia" w:eastAsia="仿宋_GB2312"/>
          <w:color w:val="000000"/>
          <w:sz w:val="32"/>
          <w:szCs w:val="32"/>
          <w:lang w:val="en-US" w:eastAsia="zh-CN"/>
        </w:rPr>
        <w:t>10,000</w:t>
      </w:r>
      <w:r>
        <w:rPr>
          <w:rFonts w:hint="eastAsia" w:eastAsia="仿宋_GB2312"/>
          <w:color w:val="000000"/>
          <w:sz w:val="32"/>
          <w:szCs w:val="32"/>
        </w:rPr>
        <w:t>.</w:t>
      </w:r>
      <w:r>
        <w:rPr>
          <w:rFonts w:hint="eastAsia" w:eastAsia="仿宋_GB2312"/>
          <w:color w:val="000000"/>
          <w:sz w:val="32"/>
          <w:szCs w:val="32"/>
          <w:lang w:val="en-US" w:eastAsia="zh-CN"/>
        </w:rPr>
        <w:t>00</w:t>
      </w:r>
      <w:r>
        <w:rPr>
          <w:rFonts w:hint="eastAsia" w:eastAsia="仿宋_GB2312"/>
          <w:color w:val="000000"/>
          <w:sz w:val="32"/>
          <w:szCs w:val="32"/>
        </w:rPr>
        <w:t>元作为报价保证金到采购人银行账户，报价保证金不退还，在双方签订合同后转为履约保证金，作为采购人垫付成交人服务过程中产生的应由成交人支付的费用或违约罚款的来源。</w:t>
      </w:r>
    </w:p>
    <w:p w14:paraId="03097E53">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rPr>
        <w:t>2、报价保证金收款账户信息：</w:t>
      </w:r>
    </w:p>
    <w:p w14:paraId="664CEFDE">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账户</w:t>
      </w:r>
      <w:r>
        <w:rPr>
          <w:rFonts w:hint="eastAsia" w:eastAsia="仿宋_GB2312"/>
          <w:color w:val="000000"/>
          <w:sz w:val="32"/>
          <w:szCs w:val="32"/>
        </w:rPr>
        <w:t>名称：东莞市新东元环保投资有限公司</w:t>
      </w:r>
    </w:p>
    <w:p w14:paraId="37447F74">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rPr>
        <w:t xml:space="preserve">开户银行：中国银行股份有限公司东莞分行 </w:t>
      </w:r>
    </w:p>
    <w:p w14:paraId="0FDA03C8">
      <w:pPr>
        <w:spacing w:before="156" w:line="600" w:lineRule="exact"/>
        <w:ind w:firstLine="640" w:firstLineChars="200"/>
        <w:rPr>
          <w:rFonts w:eastAsia="仿宋_GB2312"/>
          <w:color w:val="000000"/>
          <w:sz w:val="32"/>
          <w:szCs w:val="32"/>
        </w:rPr>
      </w:pPr>
      <w:r>
        <w:rPr>
          <w:rFonts w:hint="eastAsia" w:eastAsia="仿宋_GB2312"/>
          <w:color w:val="000000"/>
          <w:sz w:val="32"/>
          <w:szCs w:val="32"/>
        </w:rPr>
        <w:t>银行</w:t>
      </w:r>
      <w:r>
        <w:rPr>
          <w:rFonts w:hint="eastAsia" w:eastAsia="仿宋_GB2312"/>
          <w:color w:val="000000"/>
          <w:sz w:val="32"/>
          <w:szCs w:val="32"/>
          <w:lang w:val="en-US" w:eastAsia="zh-CN"/>
        </w:rPr>
        <w:t>账号</w:t>
      </w:r>
      <w:r>
        <w:rPr>
          <w:rFonts w:hint="eastAsia" w:eastAsia="仿宋_GB2312"/>
          <w:color w:val="000000"/>
          <w:sz w:val="32"/>
          <w:szCs w:val="32"/>
        </w:rPr>
        <w:t>：669170104633</w:t>
      </w:r>
    </w:p>
    <w:p w14:paraId="3EDA4EC4">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七、支付方式</w:t>
      </w:r>
    </w:p>
    <w:p w14:paraId="14E40A63">
      <w:pPr>
        <w:spacing w:before="156" w:line="600" w:lineRule="exact"/>
        <w:ind w:firstLine="640" w:firstLineChars="200"/>
        <w:rPr>
          <w:rFonts w:hint="eastAsia" w:eastAsia="仿宋_GB2312"/>
          <w:color w:val="000000"/>
          <w:sz w:val="32"/>
          <w:szCs w:val="32"/>
        </w:rPr>
      </w:pPr>
      <w:bookmarkStart w:id="2" w:name="_Hlk90414088"/>
      <w:r>
        <w:rPr>
          <w:rFonts w:hint="eastAsia" w:eastAsia="仿宋_GB2312"/>
          <w:color w:val="000000"/>
          <w:sz w:val="32"/>
          <w:szCs w:val="32"/>
        </w:rPr>
        <w:t>1、</w:t>
      </w:r>
      <w:r>
        <w:rPr>
          <w:rFonts w:hint="eastAsia" w:eastAsia="仿宋_GB2312"/>
          <w:color w:val="000000"/>
          <w:sz w:val="32"/>
          <w:szCs w:val="32"/>
          <w:lang w:val="en-US" w:eastAsia="zh-CN"/>
        </w:rPr>
        <w:t>合同签订后</w:t>
      </w:r>
      <w:r>
        <w:rPr>
          <w:rFonts w:hint="eastAsia" w:eastAsia="仿宋_GB2312"/>
          <w:color w:val="000000"/>
          <w:sz w:val="32"/>
          <w:szCs w:val="32"/>
        </w:rPr>
        <w:t>，</w:t>
      </w:r>
      <w:r>
        <w:rPr>
          <w:rFonts w:hint="eastAsia" w:eastAsia="仿宋_GB2312"/>
          <w:color w:val="000000"/>
          <w:sz w:val="32"/>
          <w:szCs w:val="32"/>
          <w:lang w:val="en-US" w:eastAsia="zh-CN"/>
        </w:rPr>
        <w:t>成交人完成单次电机维修工作并经采购人验收合格后，成交人按合同价款提交该次电机维修金额100%的增值税专用发票及请款资料，采购人在收到上述有效资料之日起20个工作日内支付该次电机维修费用的97%</w:t>
      </w:r>
      <w:r>
        <w:rPr>
          <w:rFonts w:hint="eastAsia" w:eastAsia="仿宋_GB2312"/>
          <w:color w:val="000000"/>
          <w:sz w:val="32"/>
          <w:szCs w:val="32"/>
        </w:rPr>
        <w:t>；</w:t>
      </w:r>
    </w:p>
    <w:p w14:paraId="2603F81B">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2、剩余结算金额的3%为质保金，在本项目最后一批次电机维修质保期满、成交人完成全部质保服务且成交人办理完项目结算后，成交人提交请款资料，采购人在收到上述有效资料之日起20个工作日内完成向成交人支付至该项目结算金额的100%</w:t>
      </w:r>
      <w:r>
        <w:rPr>
          <w:rFonts w:hint="eastAsia" w:eastAsia="仿宋_GB2312"/>
          <w:color w:val="000000"/>
          <w:sz w:val="32"/>
          <w:szCs w:val="32"/>
        </w:rPr>
        <w:t>。</w:t>
      </w:r>
    </w:p>
    <w:p w14:paraId="58F6E3C9">
      <w:pPr>
        <w:spacing w:before="156" w:line="600" w:lineRule="exact"/>
        <w:ind w:firstLine="640" w:firstLineChars="200"/>
        <w:rPr>
          <w:rFonts w:eastAsia="仿宋"/>
          <w:sz w:val="32"/>
          <w:szCs w:val="32"/>
        </w:rPr>
      </w:pPr>
      <w:r>
        <w:rPr>
          <w:rFonts w:hint="eastAsia" w:eastAsia="仿宋_GB2312"/>
          <w:color w:val="000000"/>
          <w:sz w:val="32"/>
          <w:szCs w:val="32"/>
        </w:rPr>
        <w:t>成交人缴存的履约保证金作为采购人垫付成交人</w:t>
      </w:r>
      <w:r>
        <w:rPr>
          <w:rFonts w:hint="eastAsia" w:eastAsia="仿宋_GB2312"/>
          <w:color w:val="000000"/>
          <w:sz w:val="32"/>
          <w:szCs w:val="32"/>
          <w:lang w:val="en-US" w:eastAsia="zh-CN"/>
        </w:rPr>
        <w:t>在</w:t>
      </w:r>
      <w:r>
        <w:rPr>
          <w:rFonts w:hint="eastAsia" w:eastAsia="仿宋_GB2312"/>
          <w:color w:val="000000"/>
          <w:sz w:val="32"/>
          <w:szCs w:val="32"/>
        </w:rPr>
        <w:t>服务过程中产生应由成交人支付的费用或违约罚款的来源。履约保证金返还申请时间为项目</w:t>
      </w:r>
      <w:r>
        <w:rPr>
          <w:rFonts w:hint="eastAsia" w:eastAsia="仿宋_GB2312"/>
          <w:color w:val="000000"/>
          <w:sz w:val="32"/>
          <w:szCs w:val="32"/>
          <w:lang w:val="en-US" w:eastAsia="zh-CN"/>
        </w:rPr>
        <w:t>合同期满且成交人完成全部电机维修工作并经采购人</w:t>
      </w:r>
      <w:r>
        <w:rPr>
          <w:rFonts w:hint="eastAsia" w:eastAsia="仿宋_GB2312"/>
          <w:color w:val="000000"/>
          <w:sz w:val="32"/>
          <w:szCs w:val="32"/>
        </w:rPr>
        <w:t>验收合格之日后，成交人没有任何违约的情况下由成交人提交退款申请，收到成交人申请后30个日历日内，采购人一次性无息退回</w:t>
      </w:r>
      <w:r>
        <w:rPr>
          <w:rFonts w:hint="eastAsia" w:eastAsia="仿宋"/>
          <w:sz w:val="32"/>
          <w:szCs w:val="32"/>
        </w:rPr>
        <w:t>。</w:t>
      </w:r>
      <w:bookmarkEnd w:id="2"/>
    </w:p>
    <w:p w14:paraId="533343F4">
      <w:pPr>
        <w:spacing w:before="156" w:line="600" w:lineRule="exact"/>
        <w:ind w:firstLine="640" w:firstLineChars="200"/>
        <w:rPr>
          <w:rFonts w:eastAsia="黑体"/>
          <w:color w:val="000000"/>
          <w:sz w:val="32"/>
          <w:szCs w:val="32"/>
        </w:rPr>
      </w:pPr>
      <w:r>
        <w:rPr>
          <w:rFonts w:hint="eastAsia" w:eastAsia="黑体"/>
          <w:color w:val="000000"/>
          <w:sz w:val="32"/>
          <w:szCs w:val="32"/>
        </w:rPr>
        <w:t>七、报价</w:t>
      </w:r>
    </w:p>
    <w:p w14:paraId="47E293CC">
      <w:pPr>
        <w:spacing w:before="156" w:line="600" w:lineRule="exact"/>
        <w:ind w:firstLine="640" w:firstLineChars="200"/>
        <w:rPr>
          <w:rFonts w:hint="default" w:eastAsia="仿宋_GB2312"/>
          <w:color w:val="000000"/>
          <w:sz w:val="32"/>
          <w:szCs w:val="32"/>
          <w:lang w:val="en-US" w:eastAsia="zh-CN"/>
        </w:rPr>
      </w:pPr>
      <w:r>
        <w:rPr>
          <w:rFonts w:hint="eastAsia" w:eastAsia="仿宋_GB2312"/>
          <w:color w:val="000000"/>
          <w:sz w:val="32"/>
          <w:szCs w:val="32"/>
        </w:rPr>
        <w:t>采购限价</w:t>
      </w:r>
      <w:r>
        <w:rPr>
          <w:rFonts w:hint="eastAsia" w:eastAsia="仿宋_GB2312"/>
          <w:color w:val="000000"/>
          <w:sz w:val="32"/>
          <w:szCs w:val="32"/>
          <w:lang w:eastAsia="zh-CN"/>
        </w:rPr>
        <w:t>（</w:t>
      </w:r>
      <w:r>
        <w:rPr>
          <w:rFonts w:hint="eastAsia" w:eastAsia="仿宋_GB2312"/>
          <w:color w:val="000000"/>
          <w:sz w:val="32"/>
          <w:szCs w:val="32"/>
          <w:lang w:val="en-US" w:eastAsia="zh-CN"/>
        </w:rPr>
        <w:t>含税）</w:t>
      </w:r>
      <w:r>
        <w:rPr>
          <w:rFonts w:hint="eastAsia" w:eastAsia="仿宋_GB2312"/>
          <w:color w:val="000000"/>
          <w:sz w:val="32"/>
          <w:szCs w:val="32"/>
        </w:rPr>
        <w:t>：暂定总价￥150,000.00元</w:t>
      </w:r>
      <w:r>
        <w:rPr>
          <w:rFonts w:hint="eastAsia" w:eastAsia="仿宋_GB2312"/>
          <w:color w:val="000000"/>
          <w:sz w:val="32"/>
          <w:szCs w:val="32"/>
          <w:lang w:eastAsia="zh-CN"/>
        </w:rPr>
        <w:t>，</w:t>
      </w:r>
      <w:r>
        <w:rPr>
          <w:rFonts w:hint="eastAsia" w:eastAsia="仿宋_GB2312"/>
          <w:color w:val="000000"/>
          <w:sz w:val="32"/>
          <w:szCs w:val="32"/>
          <w:lang w:val="en-US" w:eastAsia="zh-CN"/>
        </w:rPr>
        <w:t>本项目采用单价限价，按实结算，详见附件《清单单价限价》。</w:t>
      </w:r>
    </w:p>
    <w:p w14:paraId="47C4EA99">
      <w:pPr>
        <w:spacing w:before="156" w:line="600" w:lineRule="exact"/>
        <w:ind w:firstLine="640" w:firstLineChars="200"/>
        <w:rPr>
          <w:rFonts w:eastAsia="仿宋_GB2312"/>
          <w:color w:val="000000"/>
          <w:sz w:val="32"/>
          <w:szCs w:val="32"/>
        </w:rPr>
      </w:pPr>
      <w:r>
        <w:rPr>
          <w:rFonts w:hint="eastAsia" w:eastAsia="仿宋_GB2312"/>
          <w:color w:val="000000"/>
          <w:sz w:val="32"/>
          <w:szCs w:val="32"/>
        </w:rPr>
        <w:t>本项目发包方式为：固定</w:t>
      </w:r>
      <w:r>
        <w:rPr>
          <w:rFonts w:hint="eastAsia" w:eastAsia="仿宋_GB2312"/>
          <w:color w:val="000000"/>
          <w:sz w:val="32"/>
          <w:szCs w:val="32"/>
          <w:lang w:val="en-US" w:eastAsia="zh-CN"/>
        </w:rPr>
        <w:t>单价包干</w:t>
      </w:r>
      <w:r>
        <w:rPr>
          <w:rFonts w:hint="eastAsia" w:eastAsia="仿宋_GB2312"/>
          <w:color w:val="000000"/>
          <w:sz w:val="32"/>
          <w:szCs w:val="32"/>
        </w:rPr>
        <w:t>，</w:t>
      </w:r>
      <w:r>
        <w:rPr>
          <w:rFonts w:hint="eastAsia" w:eastAsia="仿宋_GB2312"/>
          <w:color w:val="000000"/>
          <w:sz w:val="32"/>
          <w:szCs w:val="32"/>
          <w:lang w:val="en-US" w:eastAsia="zh-CN"/>
        </w:rPr>
        <w:t>本项目采用单价限价的形式，报价人以下浮率的形式进行报价，最终成交单价按成交人所报下浮率进行统一下浮（即清单每项单价均按成交下浮率下浮，不得对部分单项调整下浮率），单项清单成交价=清单限价×（100%-成交下浮率）。固定单价</w:t>
      </w:r>
      <w:r>
        <w:rPr>
          <w:rFonts w:hint="eastAsia" w:eastAsia="仿宋_GB2312"/>
          <w:color w:val="000000"/>
          <w:sz w:val="32"/>
          <w:szCs w:val="32"/>
        </w:rPr>
        <w:t>包括但不限于：完成本项目的税费、施工费、人工费、材料费、辅材费、机械费、运输费、措施费、保险费、预算包干费、服务费等在项目过程中可能产生的一切费用。</w:t>
      </w:r>
      <w:r>
        <w:rPr>
          <w:rFonts w:hint="eastAsia" w:eastAsia="仿宋_GB2312"/>
          <w:color w:val="000000"/>
          <w:sz w:val="32"/>
          <w:szCs w:val="32"/>
          <w:lang w:eastAsia="zh-CN"/>
        </w:rPr>
        <w:t>响应人</w:t>
      </w:r>
      <w:r>
        <w:rPr>
          <w:rFonts w:hint="eastAsia" w:eastAsia="仿宋_GB2312"/>
          <w:color w:val="000000"/>
          <w:sz w:val="32"/>
          <w:szCs w:val="32"/>
        </w:rPr>
        <w:t>已充分考虑了本项目实际施工内容及要求描述工作量可能与最终实际工作量存在差距的风险。</w:t>
      </w:r>
    </w:p>
    <w:p w14:paraId="39DA4087">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八、定标</w:t>
      </w:r>
    </w:p>
    <w:p w14:paraId="707135C8">
      <w:pPr>
        <w:spacing w:before="156" w:line="600" w:lineRule="exact"/>
        <w:ind w:firstLine="640" w:firstLineChars="200"/>
        <w:rPr>
          <w:rFonts w:eastAsia="仿宋_GB2312"/>
          <w:color w:val="000000"/>
          <w:sz w:val="32"/>
          <w:szCs w:val="32"/>
        </w:rPr>
      </w:pPr>
      <w:r>
        <w:rPr>
          <w:rFonts w:hint="eastAsia" w:eastAsia="仿宋_GB2312"/>
          <w:color w:val="000000"/>
          <w:sz w:val="32"/>
          <w:szCs w:val="32"/>
        </w:rPr>
        <w:t>本次项目采用询价方式进行采购，询价小组对各供应商响应文件进行审核，并根据质量和服务均能满足采购文件实质性响应要求且</w:t>
      </w:r>
      <w:bookmarkStart w:id="3" w:name="_Hlk90414243"/>
      <w:r>
        <w:rPr>
          <w:rFonts w:hint="eastAsia" w:eastAsia="仿宋_GB2312"/>
          <w:color w:val="000000"/>
          <w:sz w:val="32"/>
          <w:szCs w:val="32"/>
        </w:rPr>
        <w:t>含税</w:t>
      </w:r>
      <w:bookmarkEnd w:id="3"/>
      <w:r>
        <w:rPr>
          <w:rFonts w:hint="eastAsia" w:eastAsia="仿宋_GB2312"/>
          <w:color w:val="000000"/>
          <w:sz w:val="32"/>
          <w:szCs w:val="32"/>
        </w:rPr>
        <w:t>报价最低的原则，推荐成交候选供应商。如最低报价相同，则给与最低报价相同的</w:t>
      </w:r>
      <w:r>
        <w:rPr>
          <w:rFonts w:hint="eastAsia" w:eastAsia="仿宋_GB2312"/>
          <w:color w:val="000000"/>
          <w:sz w:val="32"/>
          <w:szCs w:val="32"/>
          <w:lang w:val="en-US" w:eastAsia="zh-CN"/>
        </w:rPr>
        <w:t>响应</w:t>
      </w:r>
      <w:r>
        <w:rPr>
          <w:rFonts w:hint="eastAsia" w:eastAsia="仿宋_GB2312"/>
          <w:color w:val="000000"/>
          <w:sz w:val="32"/>
          <w:szCs w:val="32"/>
        </w:rPr>
        <w:t>人二次报价的机会；如二次报价还相同，则采用现场随机抽签方式确定。</w:t>
      </w:r>
    </w:p>
    <w:p w14:paraId="2CAE8452">
      <w:pPr>
        <w:spacing w:before="156" w:line="600" w:lineRule="exact"/>
        <w:ind w:firstLine="640" w:firstLineChars="200"/>
        <w:rPr>
          <w:rFonts w:eastAsia="仿宋_GB2312"/>
          <w:color w:val="000000"/>
          <w:sz w:val="32"/>
          <w:szCs w:val="32"/>
        </w:rPr>
      </w:pPr>
      <w:r>
        <w:rPr>
          <w:rFonts w:hint="eastAsia" w:eastAsia="仿宋_GB2312"/>
          <w:color w:val="000000"/>
          <w:sz w:val="32"/>
          <w:szCs w:val="32"/>
        </w:rPr>
        <w:t>询价结束后，采购工作小组将相关询价情况按程序审批并确定成交人。</w:t>
      </w:r>
    </w:p>
    <w:p w14:paraId="532E0286">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14:paraId="55FEBF42">
      <w:pPr>
        <w:spacing w:before="156" w:line="600" w:lineRule="exact"/>
        <w:ind w:firstLine="640" w:firstLineChars="200"/>
        <w:rPr>
          <w:rFonts w:eastAsia="仿宋_GB2312"/>
          <w:color w:val="000000"/>
          <w:sz w:val="32"/>
          <w:szCs w:val="32"/>
        </w:rPr>
      </w:pPr>
      <w:r>
        <w:rPr>
          <w:rFonts w:hint="eastAsia" w:eastAsia="仿宋_GB2312"/>
          <w:color w:val="000000"/>
          <w:sz w:val="32"/>
          <w:szCs w:val="32"/>
        </w:rPr>
        <w:t>合同签订的依据为</w:t>
      </w:r>
      <w:r>
        <w:rPr>
          <w:rFonts w:hint="eastAsia" w:eastAsia="仿宋_GB2312"/>
          <w:color w:val="000000"/>
          <w:sz w:val="32"/>
          <w:szCs w:val="32"/>
          <w:lang w:val="en-US" w:eastAsia="zh-CN"/>
        </w:rPr>
        <w:t>采购文件</w:t>
      </w:r>
      <w:r>
        <w:rPr>
          <w:rFonts w:hint="eastAsia" w:eastAsia="仿宋_GB2312"/>
          <w:color w:val="000000"/>
          <w:sz w:val="32"/>
          <w:szCs w:val="32"/>
        </w:rPr>
        <w:t>、响应文件及补充说明等。确定成交单位后，成交单位在10天内与采购人签订合同。</w:t>
      </w:r>
    </w:p>
    <w:p w14:paraId="094CF232">
      <w:pPr>
        <w:spacing w:before="156" w:line="600" w:lineRule="exact"/>
        <w:ind w:firstLine="640" w:firstLineChars="200"/>
        <w:rPr>
          <w:rFonts w:eastAsia="仿宋_GB2312"/>
          <w:color w:val="000000"/>
          <w:sz w:val="32"/>
          <w:szCs w:val="32"/>
        </w:rPr>
      </w:pPr>
      <w:r>
        <w:rPr>
          <w:rFonts w:hint="eastAsia" w:eastAsia="仿宋_GB2312"/>
          <w:color w:val="000000"/>
          <w:sz w:val="32"/>
          <w:szCs w:val="32"/>
          <w:lang w:eastAsia="zh-CN"/>
        </w:rPr>
        <w:t>响应人</w:t>
      </w:r>
      <w:r>
        <w:rPr>
          <w:rFonts w:hint="eastAsia" w:eastAsia="仿宋_GB2312"/>
          <w:color w:val="000000"/>
          <w:sz w:val="32"/>
          <w:szCs w:val="32"/>
        </w:rPr>
        <w:t>收款前需向采购人提供请款材料和开具合法有效等额的增值税专用发票，否则采购人有权拒绝付款。</w:t>
      </w:r>
    </w:p>
    <w:p w14:paraId="05E51E9C">
      <w:pPr>
        <w:adjustRightInd w:val="0"/>
        <w:snapToGrid w:val="0"/>
        <w:spacing w:before="156"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w:t>
      </w:r>
      <w:bookmarkStart w:id="4" w:name="_Hlk90414255"/>
      <w:r>
        <w:rPr>
          <w:rFonts w:hint="eastAsia" w:eastAsia="黑体"/>
          <w:color w:val="000000"/>
          <w:sz w:val="32"/>
          <w:szCs w:val="32"/>
        </w:rPr>
        <w:t>如未按本项要求提供资料</w:t>
      </w:r>
      <w:bookmarkEnd w:id="4"/>
      <w:r>
        <w:rPr>
          <w:rFonts w:hint="eastAsia" w:eastAsia="黑体"/>
          <w:color w:val="000000"/>
          <w:sz w:val="32"/>
          <w:szCs w:val="32"/>
        </w:rPr>
        <w:t>，则作无效报价处理）</w:t>
      </w:r>
    </w:p>
    <w:p w14:paraId="28C90F0E">
      <w:pPr>
        <w:spacing w:before="156" w:line="600" w:lineRule="exact"/>
        <w:ind w:firstLine="640" w:firstLineChars="200"/>
        <w:rPr>
          <w:rFonts w:eastAsia="仿宋_GB2312"/>
          <w:color w:val="000000"/>
          <w:sz w:val="32"/>
          <w:szCs w:val="32"/>
        </w:rPr>
      </w:pPr>
      <w:r>
        <w:rPr>
          <w:rFonts w:hint="eastAsia" w:eastAsia="仿宋_GB2312"/>
          <w:color w:val="000000"/>
          <w:sz w:val="32"/>
          <w:szCs w:val="32"/>
        </w:rPr>
        <w:t>1、报价函（模板，详见附件）（加盖公章）；</w:t>
      </w:r>
    </w:p>
    <w:p w14:paraId="142D6BAB">
      <w:pPr>
        <w:spacing w:before="156" w:line="600" w:lineRule="exact"/>
        <w:ind w:firstLine="640" w:firstLineChars="200"/>
        <w:rPr>
          <w:rFonts w:eastAsia="仿宋_GB2312"/>
          <w:color w:val="000000"/>
          <w:sz w:val="32"/>
          <w:szCs w:val="32"/>
        </w:rPr>
      </w:pPr>
      <w:r>
        <w:rPr>
          <w:rFonts w:hint="eastAsia" w:eastAsia="仿宋_GB2312"/>
          <w:color w:val="000000"/>
          <w:sz w:val="32"/>
          <w:szCs w:val="32"/>
        </w:rPr>
        <w:t>2、法人证明（模板，详见附件）以及法人身份证复印件（加盖公章）；</w:t>
      </w:r>
    </w:p>
    <w:p w14:paraId="6FCBAF90">
      <w:pPr>
        <w:spacing w:before="156" w:line="600" w:lineRule="exact"/>
        <w:ind w:firstLine="640" w:firstLineChars="200"/>
        <w:rPr>
          <w:rFonts w:eastAsia="仿宋_GB2312"/>
          <w:color w:val="000000"/>
          <w:sz w:val="32"/>
          <w:szCs w:val="32"/>
        </w:rPr>
      </w:pPr>
      <w:r>
        <w:rPr>
          <w:rFonts w:hint="eastAsia" w:eastAsia="仿宋_GB2312"/>
          <w:color w:val="000000"/>
          <w:sz w:val="32"/>
          <w:szCs w:val="32"/>
        </w:rPr>
        <w:t>3、法人授权书（模板，详见附件）及被委托人身份证复印件</w:t>
      </w:r>
      <w:bookmarkStart w:id="5" w:name="_Hlk90414265"/>
      <w:r>
        <w:rPr>
          <w:rFonts w:hint="eastAsia" w:eastAsia="仿宋_GB2312"/>
          <w:color w:val="000000"/>
          <w:sz w:val="32"/>
          <w:szCs w:val="32"/>
        </w:rPr>
        <w:t>（法人本人参加报价不需提供）</w:t>
      </w:r>
      <w:bookmarkEnd w:id="5"/>
      <w:r>
        <w:rPr>
          <w:rFonts w:hint="eastAsia" w:eastAsia="仿宋_GB2312"/>
          <w:color w:val="000000"/>
          <w:sz w:val="32"/>
          <w:szCs w:val="32"/>
        </w:rPr>
        <w:t>（加盖公章）；</w:t>
      </w:r>
    </w:p>
    <w:p w14:paraId="3F3E41A6">
      <w:pPr>
        <w:spacing w:before="156" w:line="600" w:lineRule="exact"/>
        <w:ind w:firstLine="640" w:firstLineChars="200"/>
        <w:rPr>
          <w:rFonts w:eastAsia="仿宋_GB2312"/>
          <w:color w:val="000000"/>
          <w:sz w:val="32"/>
          <w:szCs w:val="32"/>
        </w:rPr>
      </w:pPr>
      <w:r>
        <w:rPr>
          <w:rFonts w:hint="eastAsia" w:eastAsia="仿宋_GB2312"/>
          <w:color w:val="000000"/>
          <w:sz w:val="32"/>
          <w:szCs w:val="32"/>
        </w:rPr>
        <w:t>4、</w:t>
      </w:r>
      <w:r>
        <w:rPr>
          <w:rFonts w:hint="eastAsia" w:eastAsia="仿宋_GB2312"/>
          <w:color w:val="000000"/>
          <w:sz w:val="32"/>
          <w:szCs w:val="32"/>
          <w:lang w:eastAsia="zh-CN"/>
        </w:rPr>
        <w:t>响应人</w:t>
      </w:r>
      <w:r>
        <w:rPr>
          <w:rFonts w:hint="eastAsia" w:eastAsia="仿宋_GB2312"/>
          <w:color w:val="000000"/>
          <w:sz w:val="32"/>
          <w:szCs w:val="32"/>
        </w:rPr>
        <w:t>营业执照复印件（加盖公章）；</w:t>
      </w:r>
    </w:p>
    <w:p w14:paraId="00B9BC6A">
      <w:pPr>
        <w:spacing w:before="156" w:line="600" w:lineRule="exact"/>
        <w:ind w:firstLine="640" w:firstLineChars="200"/>
        <w:rPr>
          <w:rFonts w:hint="eastAsia" w:eastAsia="仿宋_GB2312"/>
          <w:color w:val="000000"/>
          <w:sz w:val="32"/>
          <w:szCs w:val="32"/>
        </w:rPr>
      </w:pPr>
      <w:r>
        <w:rPr>
          <w:rFonts w:hint="eastAsia" w:eastAsia="仿宋_GB2312"/>
          <w:color w:val="000000"/>
          <w:sz w:val="32"/>
          <w:szCs w:val="32"/>
          <w:lang w:val="en-US" w:eastAsia="zh-CN"/>
        </w:rPr>
        <w:t>5、</w:t>
      </w:r>
      <w:r>
        <w:rPr>
          <w:rFonts w:hint="eastAsia" w:eastAsia="仿宋_GB2312"/>
          <w:color w:val="000000"/>
          <w:sz w:val="32"/>
          <w:szCs w:val="32"/>
          <w:lang w:eastAsia="zh-CN"/>
        </w:rPr>
        <w:t>响应人</w:t>
      </w:r>
      <w:r>
        <w:rPr>
          <w:rFonts w:hint="eastAsia" w:eastAsia="仿宋_GB2312"/>
          <w:color w:val="000000"/>
          <w:sz w:val="32"/>
          <w:szCs w:val="32"/>
        </w:rPr>
        <w:t>20</w:t>
      </w:r>
      <w:r>
        <w:rPr>
          <w:rFonts w:hint="eastAsia" w:eastAsia="仿宋_GB2312"/>
          <w:color w:val="000000"/>
          <w:sz w:val="32"/>
          <w:szCs w:val="32"/>
          <w:lang w:val="en-US" w:eastAsia="zh-CN"/>
        </w:rPr>
        <w:t>22</w:t>
      </w:r>
      <w:r>
        <w:rPr>
          <w:rFonts w:hint="eastAsia" w:eastAsia="仿宋_GB2312"/>
          <w:color w:val="000000"/>
          <w:sz w:val="32"/>
          <w:szCs w:val="32"/>
        </w:rPr>
        <w:t>年</w:t>
      </w:r>
      <w:r>
        <w:rPr>
          <w:rFonts w:hint="eastAsia" w:eastAsia="仿宋_GB2312"/>
          <w:color w:val="000000"/>
          <w:sz w:val="32"/>
          <w:szCs w:val="32"/>
          <w:lang w:val="en-US" w:eastAsia="zh-CN"/>
        </w:rPr>
        <w:t>1</w:t>
      </w:r>
      <w:r>
        <w:rPr>
          <w:rFonts w:hint="eastAsia" w:eastAsia="仿宋_GB2312"/>
          <w:color w:val="000000"/>
          <w:sz w:val="32"/>
          <w:szCs w:val="32"/>
        </w:rPr>
        <w:t>月1日起至今</w:t>
      </w:r>
      <w:r>
        <w:rPr>
          <w:rFonts w:hint="eastAsia" w:eastAsia="仿宋_GB2312"/>
          <w:color w:val="000000"/>
          <w:sz w:val="32"/>
          <w:szCs w:val="32"/>
          <w:lang w:val="en-US" w:eastAsia="zh-CN"/>
        </w:rPr>
        <w:t>高压</w:t>
      </w:r>
      <w:r>
        <w:rPr>
          <w:rFonts w:hint="eastAsia" w:eastAsia="仿宋_GB2312"/>
          <w:color w:val="000000"/>
          <w:sz w:val="32"/>
          <w:szCs w:val="32"/>
        </w:rPr>
        <w:t>电机维修项目业绩合同及</w:t>
      </w:r>
      <w:r>
        <w:rPr>
          <w:rFonts w:hint="eastAsia" w:eastAsia="仿宋_GB2312"/>
          <w:color w:val="000000"/>
          <w:sz w:val="32"/>
          <w:szCs w:val="32"/>
          <w:lang w:val="en-US" w:eastAsia="zh-CN"/>
        </w:rPr>
        <w:t>对应合同的</w:t>
      </w:r>
      <w:r>
        <w:rPr>
          <w:rFonts w:hint="eastAsia" w:eastAsia="仿宋_GB2312"/>
          <w:color w:val="000000"/>
          <w:sz w:val="32"/>
          <w:szCs w:val="32"/>
        </w:rPr>
        <w:t>发票复印件（按本项目</w:t>
      </w:r>
      <w:r>
        <w:rPr>
          <w:rFonts w:hint="eastAsia" w:eastAsia="仿宋_GB2312"/>
          <w:color w:val="000000"/>
          <w:sz w:val="32"/>
          <w:szCs w:val="32"/>
          <w:lang w:eastAsia="zh-CN"/>
        </w:rPr>
        <w:t>响应人</w:t>
      </w:r>
      <w:r>
        <w:rPr>
          <w:rFonts w:hint="eastAsia" w:eastAsia="仿宋_GB2312"/>
          <w:color w:val="000000"/>
          <w:sz w:val="32"/>
          <w:szCs w:val="32"/>
        </w:rPr>
        <w:t>资格要求提供资料，不少于两份，加盖公章）；</w:t>
      </w:r>
    </w:p>
    <w:p w14:paraId="5254F5AF">
      <w:pPr>
        <w:pStyle w:val="50"/>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600" w:lineRule="exact"/>
        <w:ind w:firstLine="640" w:firstLineChars="200"/>
        <w:jc w:val="left"/>
        <w:textAlignment w:val="auto"/>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6</w:t>
      </w:r>
      <w:r>
        <w:rPr>
          <w:rFonts w:hint="eastAsia" w:ascii="Times New Roman" w:hAnsi="Times New Roman" w:eastAsia="仿宋_GB2312" w:cs="Times New Roman"/>
          <w:color w:val="000000"/>
          <w:kern w:val="2"/>
          <w:sz w:val="32"/>
          <w:szCs w:val="32"/>
          <w:lang w:val="en-US" w:eastAsia="zh-CN" w:bidi="ar-SA"/>
        </w:rPr>
        <w:t>、响应人报价截止日前6个月内任意1个月依法缴纳税收的证明材料（如依法免税的，须提供相应证明材料。证明材料须加盖公章）；</w:t>
      </w:r>
    </w:p>
    <w:p w14:paraId="31ED0D6D">
      <w:pPr>
        <w:pStyle w:val="50"/>
        <w:keepNext w:val="0"/>
        <w:keepLines w:val="0"/>
        <w:pageBreakBefore w:val="0"/>
        <w:widowControl w:val="0"/>
        <w:numPr>
          <w:ilvl w:val="0"/>
          <w:numId w:val="0"/>
        </w:numPr>
        <w:kinsoku/>
        <w:wordWrap/>
        <w:overflowPunct/>
        <w:topLinePunct w:val="0"/>
        <w:autoSpaceDE/>
        <w:autoSpaceDN/>
        <w:bidi w:val="0"/>
        <w:adjustRightInd/>
        <w:spacing w:before="157" w:beforeLines="50" w:line="600" w:lineRule="exact"/>
        <w:ind w:firstLine="640" w:firstLineChars="200"/>
        <w:textAlignment w:val="auto"/>
        <w:rPr>
          <w:rFonts w:hint="eastAsia"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7</w:t>
      </w:r>
      <w:r>
        <w:rPr>
          <w:rFonts w:hint="eastAsia" w:ascii="Times New Roman" w:hAnsi="Times New Roman" w:eastAsia="仿宋_GB2312" w:cs="Times New Roman"/>
          <w:color w:val="000000"/>
          <w:kern w:val="2"/>
          <w:sz w:val="32"/>
          <w:szCs w:val="32"/>
          <w:lang w:val="en-US" w:eastAsia="zh-CN" w:bidi="ar-SA"/>
        </w:rPr>
        <w:t>、响应人无欠税证明材料（在全国统一规范电子税务局平台开具，证明材料须加盖公章）；</w:t>
      </w:r>
    </w:p>
    <w:p w14:paraId="3B435230">
      <w:pPr>
        <w:spacing w:before="156" w:line="600" w:lineRule="exact"/>
        <w:ind w:firstLine="640" w:firstLineChars="200"/>
        <w:rPr>
          <w:rFonts w:hint="eastAsia" w:eastAsia="仿宋_GB2312"/>
          <w:color w:val="000000"/>
          <w:sz w:val="32"/>
          <w:szCs w:val="32"/>
          <w:lang w:eastAsia="zh-CN"/>
        </w:rPr>
      </w:pPr>
      <w:bookmarkStart w:id="6" w:name="_Hlk90414430"/>
      <w:r>
        <w:rPr>
          <w:rFonts w:hint="eastAsia" w:eastAsia="仿宋_GB2312"/>
          <w:color w:val="000000"/>
          <w:sz w:val="32"/>
          <w:szCs w:val="32"/>
          <w:lang w:val="en-US" w:eastAsia="zh-CN"/>
        </w:rPr>
        <w:t>8</w:t>
      </w:r>
      <w:r>
        <w:rPr>
          <w:rFonts w:hint="eastAsia" w:eastAsia="仿宋_GB2312"/>
          <w:color w:val="000000"/>
          <w:sz w:val="32"/>
          <w:szCs w:val="32"/>
        </w:rPr>
        <w:t>、</w:t>
      </w:r>
      <w:bookmarkEnd w:id="6"/>
      <w:r>
        <w:rPr>
          <w:rFonts w:hint="eastAsia" w:eastAsia="仿宋_GB2312"/>
          <w:color w:val="000000"/>
          <w:sz w:val="32"/>
          <w:szCs w:val="32"/>
        </w:rPr>
        <w:t>响应承诺函（模板，详见附件，加盖公章）</w:t>
      </w:r>
      <w:r>
        <w:rPr>
          <w:rFonts w:hint="eastAsia" w:eastAsia="仿宋_GB2312"/>
          <w:color w:val="000000"/>
          <w:sz w:val="32"/>
          <w:szCs w:val="32"/>
          <w:lang w:eastAsia="zh-CN"/>
        </w:rPr>
        <w:t>；</w:t>
      </w:r>
    </w:p>
    <w:p w14:paraId="17B73D32">
      <w:pPr>
        <w:spacing w:before="156"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9、</w:t>
      </w:r>
      <w:r>
        <w:rPr>
          <w:rFonts w:hint="eastAsia" w:eastAsia="仿宋_GB2312"/>
          <w:color w:val="000000"/>
          <w:sz w:val="32"/>
          <w:szCs w:val="32"/>
        </w:rPr>
        <w:t>本项目</w:t>
      </w:r>
      <w:r>
        <w:rPr>
          <w:rFonts w:hint="eastAsia" w:eastAsia="仿宋_GB2312"/>
          <w:color w:val="000000"/>
          <w:sz w:val="32"/>
          <w:szCs w:val="32"/>
          <w:lang w:val="en-US" w:eastAsia="zh-CN"/>
        </w:rPr>
        <w:t>采购</w:t>
      </w:r>
      <w:r>
        <w:rPr>
          <w:rFonts w:hint="eastAsia" w:eastAsia="仿宋_GB2312"/>
          <w:color w:val="000000"/>
          <w:sz w:val="32"/>
          <w:szCs w:val="32"/>
        </w:rPr>
        <w:t>文件要求的其他资料（如有）。</w:t>
      </w:r>
    </w:p>
    <w:p w14:paraId="3177BCD4">
      <w:pPr>
        <w:adjustRightInd w:val="0"/>
        <w:snapToGrid w:val="0"/>
        <w:spacing w:before="156" w:line="600" w:lineRule="exact"/>
        <w:ind w:firstLine="640" w:firstLineChars="200"/>
        <w:outlineLvl w:val="1"/>
        <w:rPr>
          <w:rFonts w:eastAsia="黑体"/>
          <w:b/>
          <w:bCs/>
          <w:color w:val="000000"/>
          <w:sz w:val="32"/>
          <w:szCs w:val="32"/>
        </w:rPr>
      </w:pPr>
      <w:bookmarkStart w:id="7" w:name="_Hlk90416918"/>
      <w:r>
        <w:rPr>
          <w:rFonts w:eastAsia="黑体"/>
          <w:color w:val="000000"/>
          <w:sz w:val="32"/>
          <w:szCs w:val="32"/>
        </w:rPr>
        <w:sym w:font="Wingdings" w:char="F0AB"/>
      </w:r>
      <w:r>
        <w:rPr>
          <w:rFonts w:hint="eastAsia" w:eastAsia="黑体"/>
          <w:b/>
          <w:bCs/>
          <w:color w:val="000000"/>
          <w:sz w:val="32"/>
          <w:szCs w:val="32"/>
        </w:rPr>
        <w:t>十一、响应文件份数</w:t>
      </w:r>
      <w:bookmarkStart w:id="8" w:name="_Hlk90414502"/>
      <w:r>
        <w:rPr>
          <w:rFonts w:hint="eastAsia" w:eastAsia="黑体"/>
          <w:b/>
          <w:bCs/>
          <w:color w:val="000000"/>
          <w:sz w:val="32"/>
          <w:szCs w:val="32"/>
        </w:rPr>
        <w:t>及要求</w:t>
      </w:r>
      <w:bookmarkEnd w:id="7"/>
      <w:bookmarkEnd w:id="8"/>
    </w:p>
    <w:p w14:paraId="337A0207">
      <w:pPr>
        <w:spacing w:before="156" w:line="600" w:lineRule="exact"/>
        <w:ind w:firstLine="640" w:firstLineChars="200"/>
        <w:rPr>
          <w:rFonts w:eastAsia="仿宋_GB2312"/>
          <w:color w:val="000000"/>
          <w:sz w:val="32"/>
          <w:szCs w:val="32"/>
        </w:rPr>
      </w:pPr>
      <w:bookmarkStart w:id="9" w:name="_Hlk90414511"/>
      <w:r>
        <w:rPr>
          <w:rFonts w:hint="eastAsia" w:eastAsia="仿宋_GB2312"/>
          <w:color w:val="000000"/>
          <w:sz w:val="32"/>
          <w:szCs w:val="32"/>
        </w:rPr>
        <w:t>1、正本一份、副本一份。</w:t>
      </w:r>
    </w:p>
    <w:p w14:paraId="4CE05B9A">
      <w:pPr>
        <w:spacing w:before="156" w:line="600" w:lineRule="exact"/>
        <w:ind w:firstLine="640" w:firstLineChars="200"/>
        <w:rPr>
          <w:rFonts w:eastAsia="仿宋_GB2312"/>
          <w:color w:val="000000"/>
          <w:sz w:val="32"/>
          <w:szCs w:val="32"/>
        </w:rPr>
      </w:pPr>
      <w:r>
        <w:rPr>
          <w:rFonts w:hint="eastAsia" w:eastAsia="仿宋_GB2312"/>
          <w:color w:val="000000"/>
          <w:sz w:val="32"/>
          <w:szCs w:val="32"/>
        </w:rPr>
        <w:t>2、</w:t>
      </w:r>
      <w:r>
        <w:rPr>
          <w:rFonts w:hint="eastAsia" w:eastAsia="仿宋_GB2312"/>
          <w:color w:val="000000"/>
          <w:sz w:val="32"/>
          <w:szCs w:val="32"/>
          <w:lang w:eastAsia="zh-CN"/>
        </w:rPr>
        <w:t>响应人</w:t>
      </w:r>
      <w:r>
        <w:rPr>
          <w:rFonts w:hint="eastAsia" w:eastAsia="仿宋_GB2312"/>
          <w:color w:val="000000"/>
          <w:sz w:val="32"/>
          <w:szCs w:val="32"/>
        </w:rPr>
        <w:t>须严格按照采购人提供的表单格式及要求报价，响应文件必须装订或胶装成册，正本必须每页加盖公章，副本可使用正本复印件并于封面及骑缝处加盖公章。</w:t>
      </w:r>
    </w:p>
    <w:p w14:paraId="4AE6B961">
      <w:pPr>
        <w:spacing w:before="156" w:line="600" w:lineRule="exact"/>
        <w:ind w:firstLine="640" w:firstLineChars="200"/>
        <w:rPr>
          <w:rFonts w:eastAsia="仿宋_GB2312"/>
          <w:color w:val="000000"/>
          <w:sz w:val="32"/>
          <w:szCs w:val="32"/>
        </w:rPr>
      </w:pPr>
      <w:r>
        <w:rPr>
          <w:rFonts w:hint="eastAsia" w:eastAsia="仿宋_GB2312"/>
          <w:color w:val="000000"/>
          <w:sz w:val="32"/>
          <w:szCs w:val="32"/>
        </w:rPr>
        <w:t>3、响应文件必须密封完好，装有响应文件的文件袋须贴有密封条，于骑缝处加盖企业公章。不得以快递文件袋作为密封。</w:t>
      </w:r>
    </w:p>
    <w:p w14:paraId="6EF8497D">
      <w:pPr>
        <w:spacing w:before="156" w:line="600" w:lineRule="exact"/>
        <w:ind w:firstLine="640" w:firstLineChars="200"/>
        <w:rPr>
          <w:rFonts w:eastAsia="仿宋_GB2312"/>
          <w:color w:val="000000"/>
          <w:sz w:val="32"/>
          <w:szCs w:val="32"/>
        </w:rPr>
      </w:pPr>
      <w:r>
        <w:rPr>
          <w:rFonts w:hint="eastAsia" w:eastAsia="仿宋_GB2312"/>
          <w:color w:val="000000"/>
          <w:sz w:val="32"/>
          <w:szCs w:val="32"/>
        </w:rPr>
        <w:t>4、</w:t>
      </w:r>
      <w:r>
        <w:rPr>
          <w:rFonts w:hint="eastAsia" w:eastAsia="仿宋_GB2312"/>
          <w:color w:val="000000"/>
          <w:sz w:val="32"/>
          <w:szCs w:val="32"/>
          <w:lang w:eastAsia="zh-CN"/>
        </w:rPr>
        <w:t>响应人</w:t>
      </w:r>
      <w:r>
        <w:rPr>
          <w:rFonts w:hint="eastAsia" w:eastAsia="仿宋_GB2312"/>
          <w:color w:val="000000"/>
          <w:sz w:val="32"/>
          <w:szCs w:val="32"/>
        </w:rPr>
        <w:t>所递交的响应文件必须为盖章原件，公章、私章或签字不得为彩色/黑白的打印件/复印件。</w:t>
      </w:r>
    </w:p>
    <w:p w14:paraId="01FD6C76">
      <w:pPr>
        <w:spacing w:before="156" w:line="600" w:lineRule="exact"/>
        <w:ind w:firstLine="640" w:firstLineChars="200"/>
        <w:rPr>
          <w:rFonts w:eastAsia="仿宋_GB2312"/>
          <w:color w:val="000000"/>
          <w:sz w:val="32"/>
          <w:szCs w:val="32"/>
        </w:rPr>
      </w:pPr>
      <w:r>
        <w:rPr>
          <w:rFonts w:hint="eastAsia" w:eastAsia="仿宋_GB2312"/>
          <w:color w:val="000000"/>
          <w:sz w:val="32"/>
          <w:szCs w:val="32"/>
        </w:rPr>
        <w:t>5、</w:t>
      </w:r>
      <w:r>
        <w:rPr>
          <w:rFonts w:hint="eastAsia" w:eastAsia="仿宋_GB2312"/>
          <w:color w:val="000000"/>
          <w:sz w:val="32"/>
          <w:szCs w:val="32"/>
          <w:lang w:eastAsia="zh-CN"/>
        </w:rPr>
        <w:t>响应人</w:t>
      </w:r>
      <w:r>
        <w:rPr>
          <w:rFonts w:hint="eastAsia" w:eastAsia="仿宋_GB2312"/>
          <w:color w:val="000000"/>
          <w:sz w:val="32"/>
          <w:szCs w:val="32"/>
        </w:rPr>
        <w:t>需将本项目密封文件袋封面（附件一）粘贴于响应文件密封袋上。</w:t>
      </w:r>
    </w:p>
    <w:p w14:paraId="795E7C1F">
      <w:pPr>
        <w:spacing w:before="156" w:line="600" w:lineRule="exact"/>
        <w:ind w:firstLine="640" w:firstLineChars="200"/>
        <w:rPr>
          <w:rFonts w:eastAsia="仿宋_GB2312"/>
          <w:color w:val="000000"/>
          <w:sz w:val="32"/>
          <w:szCs w:val="32"/>
        </w:rPr>
      </w:pPr>
      <w:r>
        <w:rPr>
          <w:rFonts w:hint="eastAsia" w:eastAsia="仿宋_GB2312"/>
          <w:color w:val="000000"/>
          <w:sz w:val="32"/>
          <w:szCs w:val="32"/>
        </w:rPr>
        <w:t>6、不符合本项要求的响应文件为无效报价。</w:t>
      </w:r>
      <w:bookmarkEnd w:id="9"/>
    </w:p>
    <w:p w14:paraId="7DF4FB13">
      <w:pPr>
        <w:adjustRightInd w:val="0"/>
        <w:snapToGrid w:val="0"/>
        <w:spacing w:before="156" w:line="600" w:lineRule="exact"/>
        <w:ind w:firstLine="640" w:firstLineChars="200"/>
        <w:outlineLvl w:val="1"/>
        <w:rPr>
          <w:rFonts w:eastAsia="黑体"/>
          <w:color w:val="000000"/>
          <w:sz w:val="32"/>
          <w:szCs w:val="32"/>
        </w:rPr>
      </w:pPr>
      <w:r>
        <w:rPr>
          <w:rFonts w:hint="eastAsia" w:eastAsia="黑体"/>
          <w:color w:val="000000"/>
          <w:sz w:val="32"/>
          <w:szCs w:val="32"/>
        </w:rPr>
        <w:t>十二、开标时间及地址</w:t>
      </w:r>
    </w:p>
    <w:p w14:paraId="5FCD510D">
      <w:pPr>
        <w:spacing w:before="156" w:line="600" w:lineRule="exact"/>
        <w:ind w:firstLine="643" w:firstLineChars="200"/>
        <w:rPr>
          <w:rFonts w:eastAsia="仿宋_GB2312"/>
          <w:b/>
          <w:color w:val="000000"/>
          <w:sz w:val="32"/>
          <w:szCs w:val="32"/>
        </w:rPr>
      </w:pPr>
      <w:bookmarkStart w:id="10" w:name="_Hlk90417299"/>
      <w:r>
        <w:rPr>
          <w:rFonts w:hint="eastAsia" w:eastAsia="仿宋_GB2312"/>
          <w:b/>
          <w:color w:val="000000"/>
          <w:sz w:val="32"/>
          <w:szCs w:val="32"/>
        </w:rPr>
        <w:t>开标时间：</w:t>
      </w:r>
      <w:r>
        <w:rPr>
          <w:rFonts w:eastAsia="仿宋_GB2312"/>
          <w:b/>
          <w:color w:val="000000"/>
          <w:sz w:val="32"/>
          <w:szCs w:val="32"/>
          <w:u w:val="single"/>
        </w:rPr>
        <w:t>20</w:t>
      </w:r>
      <w:r>
        <w:rPr>
          <w:rFonts w:hint="eastAsia" w:eastAsia="仿宋_GB2312"/>
          <w:b/>
          <w:color w:val="000000"/>
          <w:sz w:val="32"/>
          <w:szCs w:val="32"/>
          <w:u w:val="single"/>
        </w:rPr>
        <w:t>2</w:t>
      </w:r>
      <w:r>
        <w:rPr>
          <w:rFonts w:hint="eastAsia" w:eastAsia="仿宋_GB2312"/>
          <w:b/>
          <w:color w:val="000000"/>
          <w:sz w:val="32"/>
          <w:szCs w:val="32"/>
          <w:u w:val="single"/>
          <w:lang w:val="en-US" w:eastAsia="zh-CN"/>
        </w:rPr>
        <w:t>5</w:t>
      </w:r>
      <w:r>
        <w:rPr>
          <w:rFonts w:hint="eastAsia" w:eastAsia="仿宋_GB2312"/>
          <w:b/>
          <w:color w:val="000000"/>
          <w:sz w:val="32"/>
          <w:szCs w:val="32"/>
        </w:rPr>
        <w:t>年</w:t>
      </w:r>
      <w:r>
        <w:rPr>
          <w:rFonts w:hint="eastAsia" w:eastAsia="仿宋_GB2312"/>
          <w:b/>
          <w:color w:val="000000"/>
          <w:sz w:val="32"/>
          <w:szCs w:val="32"/>
          <w:u w:val="single"/>
          <w:lang w:val="en-US" w:eastAsia="zh-CN"/>
        </w:rPr>
        <w:t xml:space="preserve"> 6 </w:t>
      </w:r>
      <w:r>
        <w:rPr>
          <w:rFonts w:hint="eastAsia" w:eastAsia="仿宋_GB2312"/>
          <w:b/>
          <w:color w:val="000000"/>
          <w:sz w:val="32"/>
          <w:szCs w:val="32"/>
        </w:rPr>
        <w:t>月</w:t>
      </w:r>
      <w:r>
        <w:rPr>
          <w:rFonts w:hint="eastAsia" w:eastAsia="仿宋_GB2312"/>
          <w:b/>
          <w:color w:val="000000"/>
          <w:sz w:val="32"/>
          <w:szCs w:val="32"/>
          <w:u w:val="single"/>
          <w:lang w:val="en-US" w:eastAsia="zh-CN"/>
        </w:rPr>
        <w:t xml:space="preserve"> 4 </w:t>
      </w:r>
      <w:r>
        <w:rPr>
          <w:rFonts w:hint="eastAsia" w:eastAsia="仿宋_GB2312"/>
          <w:b/>
          <w:color w:val="000000"/>
          <w:sz w:val="32"/>
          <w:szCs w:val="32"/>
        </w:rPr>
        <w:t>日（</w:t>
      </w:r>
      <w:r>
        <w:rPr>
          <w:rFonts w:hint="eastAsia" w:eastAsia="仿宋_GB2312"/>
          <w:b/>
          <w:color w:val="000000"/>
          <w:sz w:val="32"/>
          <w:szCs w:val="32"/>
          <w:u w:val="single"/>
        </w:rPr>
        <w:t>星期</w:t>
      </w:r>
      <w:r>
        <w:rPr>
          <w:rFonts w:hint="eastAsia" w:eastAsia="仿宋_GB2312"/>
          <w:b/>
          <w:color w:val="000000"/>
          <w:sz w:val="32"/>
          <w:szCs w:val="32"/>
          <w:u w:val="single"/>
          <w:lang w:val="en-US" w:eastAsia="zh-CN"/>
        </w:rPr>
        <w:t>三）</w:t>
      </w:r>
      <w:r>
        <w:rPr>
          <w:rFonts w:hint="eastAsia" w:eastAsia="仿宋_GB2312"/>
          <w:b/>
          <w:color w:val="000000"/>
          <w:sz w:val="32"/>
          <w:szCs w:val="32"/>
          <w:lang w:val="en-US" w:eastAsia="zh-CN"/>
        </w:rPr>
        <w:t>上</w:t>
      </w:r>
      <w:r>
        <w:rPr>
          <w:rFonts w:hint="eastAsia" w:eastAsia="仿宋_GB2312"/>
          <w:b/>
          <w:color w:val="000000"/>
          <w:sz w:val="32"/>
          <w:szCs w:val="32"/>
        </w:rPr>
        <w:t>午</w:t>
      </w:r>
      <w:r>
        <w:rPr>
          <w:rFonts w:hint="eastAsia" w:eastAsia="仿宋_GB2312"/>
          <w:b/>
          <w:color w:val="000000"/>
          <w:sz w:val="32"/>
          <w:szCs w:val="32"/>
          <w:lang w:val="en-US" w:eastAsia="zh-CN"/>
        </w:rPr>
        <w:t xml:space="preserve"> 10 ：00</w:t>
      </w:r>
      <w:r>
        <w:rPr>
          <w:rFonts w:hint="eastAsia" w:eastAsia="仿宋_GB2312"/>
          <w:b/>
          <w:color w:val="000000"/>
          <w:sz w:val="32"/>
          <w:szCs w:val="32"/>
        </w:rPr>
        <w:t>。</w:t>
      </w:r>
    </w:p>
    <w:bookmarkEnd w:id="10"/>
    <w:p w14:paraId="79515B5A">
      <w:pPr>
        <w:spacing w:before="156" w:line="600" w:lineRule="exact"/>
        <w:ind w:firstLine="640" w:firstLineChars="200"/>
        <w:outlineLvl w:val="9"/>
        <w:rPr>
          <w:rFonts w:hint="eastAsia" w:eastAsia="仿宋_GB2312"/>
          <w:color w:val="000000"/>
          <w:sz w:val="32"/>
          <w:szCs w:val="32"/>
        </w:rPr>
      </w:pPr>
      <w:r>
        <w:rPr>
          <w:rFonts w:hint="eastAsia" w:eastAsia="仿宋_GB2312"/>
          <w:color w:val="000000"/>
          <w:sz w:val="32"/>
          <w:szCs w:val="32"/>
        </w:rPr>
        <w:t>本项目</w:t>
      </w:r>
      <w:r>
        <w:rPr>
          <w:rFonts w:hint="eastAsia" w:eastAsia="仿宋_GB2312"/>
          <w:color w:val="000000"/>
          <w:sz w:val="32"/>
          <w:szCs w:val="32"/>
          <w:lang w:eastAsia="zh-CN"/>
        </w:rPr>
        <w:t>响应人</w:t>
      </w:r>
      <w:r>
        <w:rPr>
          <w:rFonts w:hint="eastAsia" w:eastAsia="仿宋_GB2312"/>
          <w:color w:val="000000"/>
          <w:sz w:val="32"/>
          <w:szCs w:val="32"/>
        </w:rPr>
        <w:t>可选择现场递交报价文件或邮寄报价文件，其中：</w:t>
      </w:r>
    </w:p>
    <w:p w14:paraId="64D409EC">
      <w:pPr>
        <w:spacing w:before="156" w:line="600" w:lineRule="exact"/>
        <w:ind w:firstLine="640" w:firstLineChars="200"/>
        <w:outlineLvl w:val="9"/>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1）</w:t>
      </w:r>
      <w:r>
        <w:rPr>
          <w:rFonts w:hint="eastAsia" w:ascii="Times New Roman" w:hAnsi="Times New Roman" w:eastAsia="仿宋_GB2312"/>
          <w:color w:val="000000"/>
          <w:sz w:val="32"/>
          <w:szCs w:val="32"/>
        </w:rPr>
        <w:t>现场递交报价文件</w:t>
      </w:r>
      <w:r>
        <w:rPr>
          <w:rFonts w:hint="eastAsia" w:ascii="Times New Roman" w:hAnsi="Times New Roman" w:eastAsia="仿宋_GB2312"/>
          <w:color w:val="000000"/>
          <w:sz w:val="32"/>
          <w:szCs w:val="32"/>
          <w:lang w:eastAsia="zh-CN"/>
        </w:rPr>
        <w:t>：</w:t>
      </w:r>
      <w:r>
        <w:rPr>
          <w:rFonts w:hint="eastAsia" w:eastAsia="仿宋_GB2312"/>
          <w:color w:val="000000"/>
          <w:sz w:val="32"/>
          <w:szCs w:val="32"/>
          <w:lang w:eastAsia="zh-CN"/>
        </w:rPr>
        <w:t>响应人</w:t>
      </w:r>
      <w:r>
        <w:rPr>
          <w:rFonts w:hint="eastAsia" w:ascii="Times New Roman" w:hAnsi="Times New Roman" w:eastAsia="仿宋_GB2312"/>
          <w:color w:val="000000"/>
          <w:sz w:val="32"/>
          <w:szCs w:val="32"/>
        </w:rPr>
        <w:t>须委派法定代表人或授权委托人</w:t>
      </w:r>
      <w:r>
        <w:rPr>
          <w:rFonts w:hint="eastAsia" w:ascii="Times New Roman" w:hAnsi="Times New Roman" w:eastAsia="仿宋_GB2312"/>
          <w:color w:val="000000"/>
          <w:sz w:val="32"/>
          <w:szCs w:val="32"/>
          <w:lang w:val="en-US" w:eastAsia="zh-CN"/>
        </w:rPr>
        <w:t>按时</w:t>
      </w:r>
      <w:r>
        <w:rPr>
          <w:rFonts w:hint="eastAsia" w:ascii="Times New Roman" w:hAnsi="Times New Roman" w:eastAsia="仿宋_GB2312"/>
          <w:color w:val="000000"/>
          <w:sz w:val="32"/>
          <w:szCs w:val="32"/>
        </w:rPr>
        <w:t>到开标地址提交报价文件并参加开标会议</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开标时间后</w:t>
      </w:r>
      <w:r>
        <w:rPr>
          <w:rFonts w:hint="eastAsia" w:ascii="Times New Roman" w:hAnsi="Times New Roman" w:eastAsia="仿宋_GB2312"/>
          <w:color w:val="000000"/>
          <w:sz w:val="32"/>
          <w:szCs w:val="32"/>
          <w:lang w:val="en-US" w:eastAsia="zh-CN"/>
        </w:rPr>
        <w:t>到达</w:t>
      </w:r>
      <w:r>
        <w:rPr>
          <w:rFonts w:hint="eastAsia" w:ascii="Times New Roman" w:hAnsi="Times New Roman" w:eastAsia="仿宋_GB2312"/>
          <w:color w:val="000000"/>
          <w:sz w:val="32"/>
          <w:szCs w:val="32"/>
        </w:rPr>
        <w:t>的</w:t>
      </w:r>
      <w:r>
        <w:rPr>
          <w:rFonts w:hint="eastAsia" w:ascii="Times New Roman" w:hAnsi="Times New Roman" w:eastAsia="仿宋_GB2312"/>
          <w:color w:val="000000"/>
          <w:sz w:val="32"/>
          <w:szCs w:val="32"/>
          <w:lang w:val="en-US" w:eastAsia="zh-CN"/>
        </w:rPr>
        <w:t>拒收报价文件</w:t>
      </w:r>
      <w:r>
        <w:rPr>
          <w:rFonts w:hint="eastAsia" w:ascii="Times New Roman" w:hAnsi="Times New Roman" w:eastAsia="仿宋_GB2312"/>
          <w:color w:val="000000"/>
          <w:sz w:val="32"/>
          <w:szCs w:val="32"/>
        </w:rPr>
        <w:t>。</w:t>
      </w:r>
    </w:p>
    <w:p w14:paraId="0115EABD">
      <w:pPr>
        <w:spacing w:before="156" w:line="600" w:lineRule="exact"/>
        <w:ind w:firstLine="640" w:firstLineChars="200"/>
        <w:outlineLvl w:val="9"/>
        <w:rPr>
          <w:rFonts w:hint="eastAsia" w:ascii="Times New Roman" w:hAnsi="Times New Roman" w:eastAsia="仿宋_GB2312"/>
          <w:color w:val="000000"/>
          <w:sz w:val="32"/>
          <w:szCs w:val="32"/>
          <w:lang w:val="en-US" w:eastAsia="zh-CN"/>
        </w:rPr>
      </w:pPr>
      <w:r>
        <w:rPr>
          <w:rFonts w:hint="eastAsia" w:eastAsia="仿宋_GB2312"/>
          <w:color w:val="000000"/>
          <w:sz w:val="32"/>
          <w:szCs w:val="32"/>
          <w:lang w:eastAsia="zh-CN"/>
        </w:rPr>
        <w:t>响应人</w:t>
      </w:r>
      <w:r>
        <w:rPr>
          <w:rFonts w:hint="eastAsia" w:ascii="Times New Roman" w:hAnsi="Times New Roman" w:eastAsia="仿宋_GB2312"/>
          <w:color w:val="000000"/>
          <w:sz w:val="32"/>
          <w:szCs w:val="32"/>
        </w:rPr>
        <w:t>提交报价文件地址：东莞市麻涌镇大步村海心沙岛</w:t>
      </w:r>
      <w:r>
        <w:rPr>
          <w:rFonts w:hint="eastAsia" w:ascii="Times New Roman" w:hAnsi="Times New Roman" w:eastAsia="仿宋_GB2312"/>
          <w:color w:val="000000"/>
          <w:sz w:val="32"/>
          <w:szCs w:val="32"/>
          <w:lang w:val="en-US" w:eastAsia="zh-CN"/>
        </w:rPr>
        <w:t>东莞市新东元环保投资有限公司二楼</w:t>
      </w:r>
      <w:r>
        <w:rPr>
          <w:rFonts w:hint="eastAsia" w:ascii="Times New Roman" w:hAnsi="Times New Roman" w:eastAsia="仿宋_GB2312"/>
          <w:color w:val="000000"/>
          <w:sz w:val="32"/>
          <w:szCs w:val="32"/>
        </w:rPr>
        <w:t>会议室（</w:t>
      </w:r>
      <w:r>
        <w:rPr>
          <w:rFonts w:hint="eastAsia" w:ascii="Times New Roman" w:hAnsi="Times New Roman" w:eastAsia="仿宋_GB2312"/>
          <w:color w:val="000000"/>
          <w:sz w:val="32"/>
          <w:szCs w:val="32"/>
          <w:lang w:val="en-US" w:eastAsia="zh-CN"/>
        </w:rPr>
        <w:t>路线指导图如下</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逾期无效。</w:t>
      </w:r>
    </w:p>
    <w:p w14:paraId="2E9F583F">
      <w:pPr>
        <w:pStyle w:val="20"/>
        <w:rPr>
          <w:rFonts w:hint="eastAsia" w:eastAsia="宋体"/>
          <w:lang w:eastAsia="zh-CN"/>
        </w:rPr>
      </w:pPr>
      <w:r>
        <w:rPr>
          <w:rFonts w:hint="eastAsia" w:eastAsia="宋体"/>
          <w:lang w:eastAsia="zh-CN"/>
        </w:rPr>
        <w:drawing>
          <wp:inline distT="0" distB="0" distL="114300" distR="114300">
            <wp:extent cx="5261610" cy="3798570"/>
            <wp:effectExtent l="0" t="0" r="8890" b="11430"/>
            <wp:docPr id="13" name="图片 13" descr="d51ca4f950ea6da1bee83e43c380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51ca4f950ea6da1bee83e43c380412"/>
                    <pic:cNvPicPr>
                      <a:picLocks noChangeAspect="1"/>
                    </pic:cNvPicPr>
                  </pic:nvPicPr>
                  <pic:blipFill>
                    <a:blip r:embed="rId19"/>
                    <a:stretch>
                      <a:fillRect/>
                    </a:stretch>
                  </pic:blipFill>
                  <pic:spPr>
                    <a:xfrm>
                      <a:off x="0" y="0"/>
                      <a:ext cx="5261610" cy="3798570"/>
                    </a:xfrm>
                    <a:prstGeom prst="rect">
                      <a:avLst/>
                    </a:prstGeom>
                  </pic:spPr>
                </pic:pic>
              </a:graphicData>
            </a:graphic>
          </wp:inline>
        </w:drawing>
      </w:r>
    </w:p>
    <w:p w14:paraId="23FAFDDC">
      <w:pPr>
        <w:spacing w:before="156" w:line="600" w:lineRule="exact"/>
        <w:ind w:firstLine="640" w:firstLineChars="200"/>
        <w:outlineLvl w:val="9"/>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2）邮寄</w:t>
      </w:r>
      <w:r>
        <w:rPr>
          <w:rFonts w:hint="eastAsia" w:ascii="Times New Roman" w:hAnsi="Times New Roman" w:eastAsia="仿宋_GB2312"/>
          <w:color w:val="000000"/>
          <w:sz w:val="32"/>
          <w:szCs w:val="32"/>
        </w:rPr>
        <w:t>递交报价文件</w:t>
      </w:r>
      <w:r>
        <w:rPr>
          <w:rFonts w:hint="eastAsia" w:ascii="Times New Roman" w:hAnsi="Times New Roman" w:eastAsia="仿宋_GB2312"/>
          <w:color w:val="000000"/>
          <w:sz w:val="32"/>
          <w:szCs w:val="32"/>
          <w:lang w:eastAsia="zh-CN"/>
        </w:rPr>
        <w:t>：</w:t>
      </w:r>
      <w:r>
        <w:rPr>
          <w:rFonts w:hint="eastAsia" w:eastAsia="仿宋_GB2312"/>
          <w:color w:val="000000"/>
          <w:sz w:val="32"/>
          <w:szCs w:val="32"/>
          <w:lang w:eastAsia="zh-CN"/>
        </w:rPr>
        <w:t>响应人</w:t>
      </w:r>
      <w:r>
        <w:rPr>
          <w:rFonts w:hint="eastAsia" w:ascii="Times New Roman" w:hAnsi="Times New Roman" w:eastAsia="仿宋_GB2312"/>
          <w:color w:val="000000"/>
          <w:sz w:val="32"/>
          <w:szCs w:val="32"/>
        </w:rPr>
        <w:t>必须确保响应文件密封完好，在开标截止时间前一日送达采购人处，须使用顺丰速运提前寄送（运费自理，采购人拒收到付件），因邮寄造成响应文件破损无效或文件丢失的责任由</w:t>
      </w:r>
      <w:r>
        <w:rPr>
          <w:rFonts w:hint="eastAsia" w:eastAsia="仿宋_GB2312"/>
          <w:color w:val="000000"/>
          <w:sz w:val="32"/>
          <w:szCs w:val="32"/>
          <w:lang w:eastAsia="zh-CN"/>
        </w:rPr>
        <w:t>响应人</w:t>
      </w:r>
      <w:r>
        <w:rPr>
          <w:rFonts w:hint="eastAsia" w:ascii="Times New Roman" w:hAnsi="Times New Roman" w:eastAsia="仿宋_GB2312"/>
          <w:color w:val="000000"/>
          <w:sz w:val="32"/>
          <w:szCs w:val="32"/>
        </w:rPr>
        <w:t>自负，因快递派件人员无工作证等原因（如顺丰即日达）造成快递派件问题的责任由</w:t>
      </w:r>
      <w:r>
        <w:rPr>
          <w:rFonts w:hint="eastAsia" w:eastAsia="仿宋_GB2312"/>
          <w:color w:val="000000"/>
          <w:sz w:val="32"/>
          <w:szCs w:val="32"/>
          <w:lang w:eastAsia="zh-CN"/>
        </w:rPr>
        <w:t>响应人</w:t>
      </w:r>
      <w:r>
        <w:rPr>
          <w:rFonts w:hint="eastAsia" w:ascii="Times New Roman" w:hAnsi="Times New Roman" w:eastAsia="仿宋_GB2312"/>
          <w:color w:val="000000"/>
          <w:sz w:val="32"/>
          <w:szCs w:val="32"/>
        </w:rPr>
        <w:t>自负，开标时间后送达的响应文件无效。</w:t>
      </w:r>
    </w:p>
    <w:p w14:paraId="4479E82F">
      <w:pPr>
        <w:spacing w:before="156" w:line="600" w:lineRule="exact"/>
        <w:ind w:firstLine="643" w:firstLineChars="200"/>
        <w:rPr>
          <w:rFonts w:hint="eastAsia" w:eastAsia="仿宋_GB2312"/>
          <w:color w:val="000000"/>
          <w:sz w:val="32"/>
          <w:szCs w:val="32"/>
        </w:rPr>
      </w:pPr>
      <w:r>
        <w:rPr>
          <w:rFonts w:hint="eastAsia" w:eastAsia="仿宋_GB2312"/>
          <w:b/>
          <w:bCs/>
          <w:color w:val="000000"/>
          <w:sz w:val="32"/>
          <w:szCs w:val="32"/>
          <w:highlight w:val="none"/>
          <w:lang w:val="en-US" w:eastAsia="zh-CN"/>
        </w:rPr>
        <w:t>响应人通过邮寄方式递交响应文件不到现场参加开标的，视为对开标结果无异议。</w:t>
      </w:r>
    </w:p>
    <w:p w14:paraId="295584CE">
      <w:pPr>
        <w:spacing w:before="156" w:line="600" w:lineRule="exact"/>
        <w:ind w:firstLine="640" w:firstLineChars="200"/>
        <w:rPr>
          <w:rFonts w:eastAsia="仿宋_GB2312"/>
          <w:color w:val="000000"/>
          <w:sz w:val="32"/>
          <w:szCs w:val="32"/>
        </w:rPr>
      </w:pPr>
      <w:r>
        <w:rPr>
          <w:rFonts w:hint="eastAsia" w:eastAsia="仿宋_GB2312"/>
          <w:color w:val="000000"/>
          <w:sz w:val="32"/>
          <w:szCs w:val="32"/>
        </w:rPr>
        <w:t>收件地址：东莞市麻涌镇大步村海心沙岛东莞市新东元环保投资有限公司二楼</w:t>
      </w:r>
    </w:p>
    <w:p w14:paraId="32F0CB3A">
      <w:pPr>
        <w:spacing w:before="156" w:line="600" w:lineRule="exact"/>
        <w:ind w:firstLine="640" w:firstLineChars="200"/>
        <w:rPr>
          <w:rFonts w:eastAsia="仿宋_GB2312"/>
          <w:color w:val="000000"/>
          <w:sz w:val="32"/>
          <w:szCs w:val="32"/>
        </w:rPr>
      </w:pPr>
      <w:r>
        <w:rPr>
          <w:rFonts w:hint="eastAsia" w:eastAsia="仿宋_GB2312"/>
          <w:color w:val="000000"/>
          <w:sz w:val="32"/>
          <w:szCs w:val="32"/>
        </w:rPr>
        <w:t>联系人：徐小姐</w:t>
      </w:r>
    </w:p>
    <w:p w14:paraId="32F0F5BA">
      <w:pPr>
        <w:spacing w:before="156" w:line="600" w:lineRule="exact"/>
        <w:ind w:firstLine="640" w:firstLineChars="200"/>
        <w:rPr>
          <w:rFonts w:eastAsia="仿宋_GB2312"/>
          <w:color w:val="000000"/>
          <w:sz w:val="32"/>
          <w:szCs w:val="32"/>
        </w:rPr>
      </w:pPr>
      <w:r>
        <w:rPr>
          <w:rFonts w:hint="eastAsia" w:eastAsia="仿宋_GB2312"/>
          <w:color w:val="000000"/>
          <w:sz w:val="32"/>
          <w:szCs w:val="32"/>
        </w:rPr>
        <w:t>联系电话：0769-81219261-6010</w:t>
      </w:r>
    </w:p>
    <w:p w14:paraId="259246A4">
      <w:pPr>
        <w:spacing w:before="156"/>
        <w:rPr>
          <w:rFonts w:eastAsia="黑体"/>
          <w:color w:val="000000"/>
          <w:sz w:val="32"/>
          <w:szCs w:val="32"/>
        </w:rPr>
      </w:pPr>
      <w:r>
        <w:rPr>
          <w:rFonts w:hint="eastAsia" w:eastAsia="黑体"/>
          <w:color w:val="000000"/>
          <w:sz w:val="32"/>
          <w:szCs w:val="32"/>
        </w:rPr>
        <w:t>十三、注意事项</w:t>
      </w:r>
    </w:p>
    <w:p w14:paraId="384F7818">
      <w:pPr>
        <w:spacing w:before="156" w:line="600" w:lineRule="exact"/>
        <w:ind w:firstLine="640" w:firstLineChars="200"/>
        <w:rPr>
          <w:rFonts w:eastAsia="仿宋_GB2312"/>
          <w:color w:val="000000"/>
          <w:sz w:val="32"/>
          <w:szCs w:val="32"/>
        </w:rPr>
      </w:pPr>
      <w:bookmarkStart w:id="11" w:name="_Hlk517879660"/>
      <w:r>
        <w:rPr>
          <w:rFonts w:hint="eastAsia" w:eastAsia="仿宋_GB2312"/>
          <w:color w:val="000000"/>
          <w:sz w:val="32"/>
          <w:szCs w:val="32"/>
        </w:rPr>
        <w:t>1、若</w:t>
      </w:r>
      <w:r>
        <w:rPr>
          <w:rFonts w:hint="eastAsia" w:eastAsia="仿宋_GB2312"/>
          <w:color w:val="000000"/>
          <w:sz w:val="32"/>
          <w:szCs w:val="32"/>
          <w:lang w:eastAsia="zh-CN"/>
        </w:rPr>
        <w:t>响应人</w:t>
      </w:r>
      <w:r>
        <w:rPr>
          <w:rFonts w:hint="eastAsia" w:eastAsia="仿宋_GB2312"/>
          <w:color w:val="000000"/>
          <w:sz w:val="32"/>
          <w:szCs w:val="32"/>
        </w:rPr>
        <w:t>未按规定时间递交响应文件，视为放弃报价资格。</w:t>
      </w:r>
    </w:p>
    <w:bookmarkEnd w:id="11"/>
    <w:p w14:paraId="2B20D7B0">
      <w:pPr>
        <w:spacing w:before="156" w:line="600" w:lineRule="exact"/>
        <w:ind w:firstLine="640" w:firstLineChars="200"/>
        <w:rPr>
          <w:rFonts w:eastAsia="仿宋_GB2312"/>
          <w:color w:val="000000"/>
          <w:sz w:val="32"/>
          <w:szCs w:val="32"/>
        </w:rPr>
      </w:pPr>
      <w:r>
        <w:rPr>
          <w:rFonts w:hint="eastAsia" w:eastAsia="仿宋_GB2312"/>
          <w:color w:val="000000"/>
          <w:sz w:val="32"/>
          <w:szCs w:val="32"/>
        </w:rPr>
        <w:t>2、</w:t>
      </w:r>
      <w:r>
        <w:rPr>
          <w:rFonts w:hint="eastAsia" w:eastAsia="仿宋_GB2312"/>
          <w:color w:val="000000"/>
          <w:sz w:val="32"/>
          <w:szCs w:val="32"/>
          <w:lang w:eastAsia="zh-CN"/>
        </w:rPr>
        <w:t>响应人</w:t>
      </w:r>
      <w:r>
        <w:rPr>
          <w:rFonts w:hint="eastAsia" w:eastAsia="仿宋_GB2312"/>
          <w:color w:val="000000"/>
          <w:sz w:val="32"/>
          <w:szCs w:val="32"/>
        </w:rPr>
        <w:t>如未按要求交纳报价保证金，则视为放弃报价资格。</w:t>
      </w:r>
    </w:p>
    <w:p w14:paraId="421782CC">
      <w:pPr>
        <w:spacing w:before="156" w:line="600" w:lineRule="exact"/>
        <w:ind w:firstLine="640" w:firstLineChars="200"/>
        <w:rPr>
          <w:rFonts w:eastAsia="仿宋_GB2312"/>
          <w:color w:val="000000"/>
          <w:sz w:val="32"/>
          <w:szCs w:val="32"/>
        </w:rPr>
      </w:pPr>
      <w:r>
        <w:rPr>
          <w:rFonts w:hint="eastAsia" w:eastAsia="仿宋_GB2312"/>
          <w:color w:val="000000"/>
          <w:sz w:val="32"/>
          <w:szCs w:val="32"/>
        </w:rPr>
        <w:t>3、采购人向</w:t>
      </w:r>
      <w:r>
        <w:rPr>
          <w:rFonts w:hint="eastAsia" w:eastAsia="仿宋_GB2312"/>
          <w:color w:val="000000"/>
          <w:sz w:val="32"/>
          <w:szCs w:val="32"/>
          <w:lang w:eastAsia="zh-CN"/>
        </w:rPr>
        <w:t>响应人</w:t>
      </w:r>
      <w:r>
        <w:rPr>
          <w:rFonts w:hint="eastAsia" w:eastAsia="仿宋_GB2312"/>
          <w:color w:val="000000"/>
          <w:sz w:val="32"/>
          <w:szCs w:val="32"/>
        </w:rPr>
        <w:t>提供的有关资料和数据，是采购人现有的能使</w:t>
      </w:r>
      <w:r>
        <w:rPr>
          <w:rFonts w:hint="eastAsia" w:eastAsia="仿宋_GB2312"/>
          <w:color w:val="000000"/>
          <w:sz w:val="32"/>
          <w:szCs w:val="32"/>
          <w:lang w:eastAsia="zh-CN"/>
        </w:rPr>
        <w:t>响应人</w:t>
      </w:r>
      <w:r>
        <w:rPr>
          <w:rFonts w:hint="eastAsia" w:eastAsia="仿宋_GB2312"/>
          <w:color w:val="000000"/>
          <w:sz w:val="32"/>
          <w:szCs w:val="32"/>
        </w:rPr>
        <w:t>利用的资料，采购人对</w:t>
      </w:r>
      <w:r>
        <w:rPr>
          <w:rFonts w:hint="eastAsia" w:eastAsia="仿宋_GB2312"/>
          <w:color w:val="000000"/>
          <w:sz w:val="32"/>
          <w:szCs w:val="32"/>
          <w:lang w:eastAsia="zh-CN"/>
        </w:rPr>
        <w:t>响应人</w:t>
      </w:r>
      <w:r>
        <w:rPr>
          <w:rFonts w:hint="eastAsia" w:eastAsia="仿宋_GB2312"/>
          <w:color w:val="000000"/>
          <w:sz w:val="32"/>
          <w:szCs w:val="32"/>
        </w:rPr>
        <w:t>由此而做出的推论、理解和结论概不负责。</w:t>
      </w:r>
    </w:p>
    <w:p w14:paraId="7FACDC35">
      <w:pPr>
        <w:spacing w:before="156" w:line="600" w:lineRule="exact"/>
        <w:ind w:firstLine="640" w:firstLineChars="200"/>
        <w:rPr>
          <w:rFonts w:eastAsia="仿宋_GB2312"/>
          <w:color w:val="000000"/>
          <w:sz w:val="32"/>
          <w:szCs w:val="32"/>
        </w:rPr>
      </w:pPr>
      <w:r>
        <w:rPr>
          <w:rFonts w:hint="eastAsia" w:eastAsia="仿宋_GB2312"/>
          <w:color w:val="000000"/>
          <w:sz w:val="32"/>
          <w:szCs w:val="32"/>
        </w:rPr>
        <w:t>4、本项目执行过程中将遵循国家、省、市有关法律、法规、标准、技术规范和规范性文件的最新规定。</w:t>
      </w:r>
    </w:p>
    <w:p w14:paraId="1D6D2B7F">
      <w:pPr>
        <w:spacing w:before="156" w:line="600" w:lineRule="exact"/>
        <w:ind w:firstLine="640" w:firstLineChars="200"/>
        <w:rPr>
          <w:rFonts w:eastAsia="仿宋_GB2312"/>
          <w:color w:val="000000"/>
          <w:sz w:val="32"/>
          <w:szCs w:val="32"/>
        </w:rPr>
      </w:pPr>
      <w:r>
        <w:rPr>
          <w:rFonts w:hint="eastAsia" w:eastAsia="仿宋_GB2312"/>
          <w:color w:val="000000"/>
          <w:sz w:val="32"/>
          <w:szCs w:val="32"/>
        </w:rPr>
        <w:t>5、本项目仅可提交一个报价方案，提交两个或以上报价方案的</w:t>
      </w:r>
      <w:r>
        <w:rPr>
          <w:rFonts w:hint="eastAsia" w:eastAsia="仿宋_GB2312"/>
          <w:color w:val="000000"/>
          <w:sz w:val="32"/>
          <w:szCs w:val="32"/>
          <w:lang w:eastAsia="zh-CN"/>
        </w:rPr>
        <w:t>响应人</w:t>
      </w:r>
      <w:r>
        <w:rPr>
          <w:rFonts w:hint="eastAsia" w:eastAsia="仿宋_GB2312"/>
          <w:color w:val="000000"/>
          <w:sz w:val="32"/>
          <w:szCs w:val="32"/>
        </w:rPr>
        <w:t>视为无效报价。</w:t>
      </w:r>
    </w:p>
    <w:p w14:paraId="4A4F0447">
      <w:pPr>
        <w:spacing w:before="156" w:line="600" w:lineRule="exact"/>
        <w:ind w:firstLine="640" w:firstLineChars="200"/>
        <w:rPr>
          <w:rFonts w:eastAsia="仿宋_GB2312"/>
          <w:color w:val="000000"/>
          <w:sz w:val="32"/>
          <w:szCs w:val="32"/>
        </w:rPr>
      </w:pPr>
      <w:r>
        <w:rPr>
          <w:rFonts w:hint="eastAsia" w:eastAsia="仿宋_GB2312"/>
          <w:color w:val="000000"/>
          <w:sz w:val="32"/>
          <w:szCs w:val="32"/>
        </w:rPr>
        <w:t>6、本项目不接受</w:t>
      </w:r>
      <w:r>
        <w:rPr>
          <w:rFonts w:hint="eastAsia" w:eastAsia="仿宋_GB2312"/>
          <w:color w:val="000000"/>
          <w:sz w:val="32"/>
          <w:szCs w:val="32"/>
          <w:lang w:eastAsia="zh-CN"/>
        </w:rPr>
        <w:t>响应人</w:t>
      </w:r>
      <w:r>
        <w:rPr>
          <w:rFonts w:hint="eastAsia" w:eastAsia="仿宋_GB2312"/>
          <w:color w:val="000000"/>
          <w:sz w:val="32"/>
          <w:szCs w:val="32"/>
        </w:rPr>
        <w:t>其他附加条件。</w:t>
      </w:r>
    </w:p>
    <w:p w14:paraId="3B05425E">
      <w:pPr>
        <w:spacing w:before="156" w:line="600" w:lineRule="exact"/>
        <w:ind w:firstLine="640" w:firstLineChars="200"/>
        <w:rPr>
          <w:rFonts w:eastAsia="仿宋_GB2312"/>
          <w:color w:val="000000"/>
          <w:sz w:val="32"/>
          <w:szCs w:val="32"/>
        </w:rPr>
      </w:pPr>
      <w:r>
        <w:rPr>
          <w:rFonts w:hint="eastAsia" w:eastAsia="仿宋_GB2312"/>
          <w:color w:val="000000"/>
          <w:sz w:val="32"/>
          <w:szCs w:val="32"/>
        </w:rPr>
        <w:t>7、有下列情形之一的，报价保证金将被没收，</w:t>
      </w:r>
      <w:r>
        <w:rPr>
          <w:rFonts w:hint="eastAsia" w:eastAsia="仿宋_GB2312"/>
          <w:color w:val="000000"/>
          <w:sz w:val="32"/>
          <w:szCs w:val="32"/>
          <w:lang w:eastAsia="zh-CN"/>
        </w:rPr>
        <w:t>响应人</w:t>
      </w:r>
      <w:r>
        <w:rPr>
          <w:rFonts w:hint="eastAsia" w:eastAsia="仿宋_GB2312"/>
          <w:color w:val="000000"/>
          <w:sz w:val="32"/>
          <w:szCs w:val="32"/>
        </w:rPr>
        <w:t>纳入采购人供应商黑名单：</w:t>
      </w:r>
    </w:p>
    <w:p w14:paraId="2E15DEFB">
      <w:pPr>
        <w:spacing w:before="156" w:line="600" w:lineRule="exact"/>
        <w:ind w:firstLine="640" w:firstLineChars="200"/>
        <w:rPr>
          <w:rFonts w:eastAsia="仿宋_GB2312"/>
          <w:color w:val="000000"/>
          <w:sz w:val="32"/>
          <w:szCs w:val="32"/>
        </w:rPr>
      </w:pPr>
      <w:r>
        <w:rPr>
          <w:rFonts w:hint="eastAsia" w:eastAsia="仿宋_GB2312"/>
          <w:color w:val="000000"/>
          <w:sz w:val="32"/>
          <w:szCs w:val="32"/>
        </w:rPr>
        <w:t>1）中标后无正当理由放弃中标或不与采购人签订合同，又或者签订合同后不交定金（履约保证金）的。</w:t>
      </w:r>
    </w:p>
    <w:p w14:paraId="09487C15">
      <w:pPr>
        <w:spacing w:before="156" w:line="600" w:lineRule="exact"/>
        <w:ind w:firstLine="640" w:firstLineChars="200"/>
        <w:rPr>
          <w:rFonts w:eastAsia="仿宋_GB2312"/>
          <w:color w:val="000000"/>
          <w:sz w:val="32"/>
          <w:szCs w:val="32"/>
        </w:rPr>
      </w:pPr>
      <w:r>
        <w:rPr>
          <w:rFonts w:hint="eastAsia" w:eastAsia="仿宋_GB2312"/>
          <w:color w:val="000000"/>
          <w:sz w:val="32"/>
          <w:szCs w:val="32"/>
        </w:rPr>
        <w:t>2）成交人将本项目转让给他人，或者在响应文件中未说明，且未经采购人同意，将中标项目分包给他人，采购人可没收其报价保证金。</w:t>
      </w:r>
    </w:p>
    <w:p w14:paraId="5D259F5C">
      <w:pPr>
        <w:spacing w:before="156" w:line="600" w:lineRule="exact"/>
        <w:ind w:firstLine="640" w:firstLineChars="200"/>
        <w:rPr>
          <w:rFonts w:eastAsia="仿宋_GB2312"/>
          <w:color w:val="000000"/>
          <w:sz w:val="32"/>
          <w:szCs w:val="32"/>
        </w:rPr>
      </w:pPr>
      <w:r>
        <w:rPr>
          <w:rFonts w:hint="eastAsia" w:eastAsia="仿宋_GB2312"/>
          <w:color w:val="000000"/>
          <w:sz w:val="32"/>
          <w:szCs w:val="32"/>
        </w:rPr>
        <w:t>3）</w:t>
      </w:r>
      <w:r>
        <w:rPr>
          <w:rFonts w:hint="eastAsia" w:eastAsia="仿宋_GB2312"/>
          <w:color w:val="000000"/>
          <w:sz w:val="32"/>
          <w:szCs w:val="32"/>
          <w:lang w:eastAsia="zh-CN"/>
        </w:rPr>
        <w:t>响应人</w:t>
      </w:r>
      <w:r>
        <w:rPr>
          <w:rFonts w:hint="eastAsia" w:eastAsia="仿宋_GB2312"/>
          <w:color w:val="000000"/>
          <w:sz w:val="32"/>
          <w:szCs w:val="32"/>
        </w:rPr>
        <w:t>提供虚假响应文件或虚假补充文件。</w:t>
      </w:r>
    </w:p>
    <w:p w14:paraId="056577F5">
      <w:pPr>
        <w:spacing w:before="156" w:line="600" w:lineRule="exact"/>
        <w:ind w:firstLine="640" w:firstLineChars="200"/>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）成交人在签订合同后，未按合同约定缴纳履约保证金。</w:t>
      </w:r>
    </w:p>
    <w:p w14:paraId="545DCC9A">
      <w:pPr>
        <w:spacing w:before="156" w:line="600" w:lineRule="exact"/>
        <w:ind w:firstLine="640" w:firstLineChars="200"/>
        <w:rPr>
          <w:rFonts w:eastAsia="仿宋_GB2312"/>
          <w:color w:val="000000"/>
          <w:sz w:val="32"/>
          <w:szCs w:val="32"/>
        </w:rPr>
      </w:pPr>
      <w:r>
        <w:rPr>
          <w:rFonts w:hint="eastAsia" w:eastAsia="仿宋_GB2312"/>
          <w:color w:val="000000"/>
          <w:sz w:val="32"/>
          <w:szCs w:val="32"/>
        </w:rPr>
        <w:t>8、有下列情形之一的，视为</w:t>
      </w:r>
      <w:r>
        <w:rPr>
          <w:rFonts w:hint="eastAsia" w:eastAsia="仿宋_GB2312"/>
          <w:color w:val="000000"/>
          <w:sz w:val="32"/>
          <w:szCs w:val="32"/>
          <w:lang w:eastAsia="zh-CN"/>
        </w:rPr>
        <w:t>响应人</w:t>
      </w:r>
      <w:r>
        <w:rPr>
          <w:rFonts w:hint="eastAsia" w:eastAsia="仿宋_GB2312"/>
          <w:color w:val="000000"/>
          <w:sz w:val="32"/>
          <w:szCs w:val="32"/>
        </w:rPr>
        <w:t>串通</w:t>
      </w:r>
      <w:r>
        <w:rPr>
          <w:rFonts w:hint="eastAsia" w:eastAsia="仿宋_GB2312"/>
          <w:color w:val="000000"/>
          <w:sz w:val="32"/>
          <w:szCs w:val="32"/>
          <w:lang w:val="en-US" w:eastAsia="zh-CN"/>
        </w:rPr>
        <w:t>报价</w:t>
      </w:r>
      <w:r>
        <w:rPr>
          <w:rFonts w:hint="eastAsia" w:eastAsia="仿宋_GB2312"/>
          <w:color w:val="000000"/>
          <w:sz w:val="32"/>
          <w:szCs w:val="32"/>
        </w:rPr>
        <w:t>，其报价无效：</w:t>
      </w:r>
    </w:p>
    <w:p w14:paraId="65176035">
      <w:pPr>
        <w:spacing w:before="156" w:line="600" w:lineRule="exact"/>
        <w:ind w:firstLine="640" w:firstLineChars="200"/>
        <w:rPr>
          <w:rFonts w:eastAsia="仿宋_GB2312"/>
          <w:color w:val="000000"/>
          <w:sz w:val="32"/>
          <w:szCs w:val="32"/>
        </w:rPr>
      </w:pPr>
      <w:r>
        <w:rPr>
          <w:rFonts w:hint="eastAsia" w:eastAsia="仿宋_GB2312"/>
          <w:color w:val="000000"/>
          <w:sz w:val="32"/>
          <w:szCs w:val="32"/>
        </w:rPr>
        <w:t>（1）不同</w:t>
      </w:r>
      <w:r>
        <w:rPr>
          <w:rFonts w:hint="eastAsia" w:eastAsia="仿宋_GB2312"/>
          <w:color w:val="000000"/>
          <w:sz w:val="32"/>
          <w:szCs w:val="32"/>
          <w:lang w:eastAsia="zh-CN"/>
        </w:rPr>
        <w:t>响应人</w:t>
      </w:r>
      <w:r>
        <w:rPr>
          <w:rFonts w:hint="eastAsia" w:eastAsia="仿宋_GB2312"/>
          <w:color w:val="000000"/>
          <w:sz w:val="32"/>
          <w:szCs w:val="32"/>
        </w:rPr>
        <w:t>的响应文件由同一单位或者个人编制；</w:t>
      </w:r>
    </w:p>
    <w:p w14:paraId="311CB4F0">
      <w:pPr>
        <w:spacing w:before="156" w:line="600" w:lineRule="exact"/>
        <w:ind w:firstLine="640" w:firstLineChars="200"/>
        <w:rPr>
          <w:rFonts w:eastAsia="仿宋_GB2312"/>
          <w:color w:val="000000"/>
          <w:sz w:val="32"/>
          <w:szCs w:val="32"/>
        </w:rPr>
      </w:pPr>
      <w:r>
        <w:rPr>
          <w:rFonts w:hint="eastAsia" w:eastAsia="仿宋_GB2312"/>
          <w:color w:val="000000"/>
          <w:sz w:val="32"/>
          <w:szCs w:val="32"/>
        </w:rPr>
        <w:t>（2）不同</w:t>
      </w:r>
      <w:r>
        <w:rPr>
          <w:rFonts w:hint="eastAsia" w:eastAsia="仿宋_GB2312"/>
          <w:color w:val="000000"/>
          <w:sz w:val="32"/>
          <w:szCs w:val="32"/>
          <w:lang w:eastAsia="zh-CN"/>
        </w:rPr>
        <w:t>响应人</w:t>
      </w:r>
      <w:r>
        <w:rPr>
          <w:rFonts w:hint="eastAsia" w:eastAsia="仿宋_GB2312"/>
          <w:color w:val="000000"/>
          <w:sz w:val="32"/>
          <w:szCs w:val="32"/>
        </w:rPr>
        <w:t>委托同一单位或者个人办理报价事宜；</w:t>
      </w:r>
    </w:p>
    <w:p w14:paraId="133696C5">
      <w:pPr>
        <w:spacing w:before="156" w:line="600" w:lineRule="exact"/>
        <w:ind w:firstLine="640" w:firstLineChars="200"/>
        <w:rPr>
          <w:rFonts w:eastAsia="仿宋_GB2312"/>
          <w:color w:val="000000"/>
          <w:sz w:val="32"/>
          <w:szCs w:val="32"/>
        </w:rPr>
      </w:pPr>
      <w:r>
        <w:rPr>
          <w:rFonts w:hint="eastAsia" w:eastAsia="仿宋_GB2312"/>
          <w:color w:val="000000"/>
          <w:sz w:val="32"/>
          <w:szCs w:val="32"/>
        </w:rPr>
        <w:t>（3）不同</w:t>
      </w:r>
      <w:r>
        <w:rPr>
          <w:rFonts w:hint="eastAsia" w:eastAsia="仿宋_GB2312"/>
          <w:color w:val="000000"/>
          <w:sz w:val="32"/>
          <w:szCs w:val="32"/>
          <w:lang w:eastAsia="zh-CN"/>
        </w:rPr>
        <w:t>响应人</w:t>
      </w:r>
      <w:r>
        <w:rPr>
          <w:rFonts w:hint="eastAsia" w:eastAsia="仿宋_GB2312"/>
          <w:color w:val="000000"/>
          <w:sz w:val="32"/>
          <w:szCs w:val="32"/>
        </w:rPr>
        <w:t>的响应文件载明的项目管理成员或者联系人员为同一人；</w:t>
      </w:r>
    </w:p>
    <w:p w14:paraId="675B97E7">
      <w:pPr>
        <w:spacing w:before="156" w:line="600" w:lineRule="exact"/>
        <w:ind w:firstLine="640" w:firstLineChars="200"/>
        <w:rPr>
          <w:rFonts w:eastAsia="仿宋_GB2312"/>
          <w:color w:val="000000"/>
          <w:sz w:val="32"/>
          <w:szCs w:val="32"/>
        </w:rPr>
      </w:pPr>
      <w:r>
        <w:rPr>
          <w:rFonts w:hint="eastAsia" w:eastAsia="仿宋_GB2312"/>
          <w:color w:val="000000"/>
          <w:sz w:val="32"/>
          <w:szCs w:val="32"/>
        </w:rPr>
        <w:t>（4）不同</w:t>
      </w:r>
      <w:r>
        <w:rPr>
          <w:rFonts w:hint="eastAsia" w:eastAsia="仿宋_GB2312"/>
          <w:color w:val="000000"/>
          <w:sz w:val="32"/>
          <w:szCs w:val="32"/>
          <w:lang w:eastAsia="zh-CN"/>
        </w:rPr>
        <w:t>响应人</w:t>
      </w:r>
      <w:r>
        <w:rPr>
          <w:rFonts w:hint="eastAsia" w:eastAsia="仿宋_GB2312"/>
          <w:color w:val="000000"/>
          <w:sz w:val="32"/>
          <w:szCs w:val="32"/>
        </w:rPr>
        <w:t>的响应文件异常一致或者报价呈规律性差异；</w:t>
      </w:r>
    </w:p>
    <w:p w14:paraId="486F9AA7">
      <w:pPr>
        <w:spacing w:before="156" w:line="600" w:lineRule="exact"/>
        <w:ind w:firstLine="640" w:firstLineChars="200"/>
        <w:rPr>
          <w:rFonts w:eastAsia="仿宋_GB2312"/>
          <w:color w:val="000000"/>
          <w:sz w:val="32"/>
          <w:szCs w:val="32"/>
        </w:rPr>
      </w:pPr>
      <w:r>
        <w:rPr>
          <w:rFonts w:hint="eastAsia" w:eastAsia="仿宋_GB2312"/>
          <w:color w:val="000000"/>
          <w:sz w:val="32"/>
          <w:szCs w:val="32"/>
        </w:rPr>
        <w:t>（5）不同</w:t>
      </w:r>
      <w:r>
        <w:rPr>
          <w:rFonts w:hint="eastAsia" w:eastAsia="仿宋_GB2312"/>
          <w:color w:val="000000"/>
          <w:sz w:val="32"/>
          <w:szCs w:val="32"/>
          <w:lang w:eastAsia="zh-CN"/>
        </w:rPr>
        <w:t>响应人</w:t>
      </w:r>
      <w:r>
        <w:rPr>
          <w:rFonts w:hint="eastAsia" w:eastAsia="仿宋_GB2312"/>
          <w:color w:val="000000"/>
          <w:sz w:val="32"/>
          <w:szCs w:val="32"/>
        </w:rPr>
        <w:t>的响应文件相互混装；</w:t>
      </w:r>
    </w:p>
    <w:p w14:paraId="49AB69AE">
      <w:pPr>
        <w:spacing w:before="156" w:line="600" w:lineRule="exact"/>
        <w:ind w:firstLine="640" w:firstLineChars="200"/>
        <w:rPr>
          <w:rFonts w:eastAsia="仿宋_GB2312"/>
          <w:color w:val="000000"/>
          <w:sz w:val="32"/>
          <w:szCs w:val="32"/>
        </w:rPr>
      </w:pPr>
      <w:r>
        <w:rPr>
          <w:rFonts w:hint="eastAsia" w:eastAsia="仿宋_GB2312"/>
          <w:color w:val="000000"/>
          <w:sz w:val="32"/>
          <w:szCs w:val="32"/>
        </w:rPr>
        <w:t>（6）不同</w:t>
      </w:r>
      <w:r>
        <w:rPr>
          <w:rFonts w:hint="eastAsia" w:eastAsia="仿宋_GB2312"/>
          <w:color w:val="000000"/>
          <w:sz w:val="32"/>
          <w:szCs w:val="32"/>
          <w:lang w:eastAsia="zh-CN"/>
        </w:rPr>
        <w:t>响应人</w:t>
      </w:r>
      <w:r>
        <w:rPr>
          <w:rFonts w:hint="eastAsia" w:eastAsia="仿宋_GB2312"/>
          <w:color w:val="000000"/>
          <w:sz w:val="32"/>
          <w:szCs w:val="32"/>
        </w:rPr>
        <w:t>的报价保证金从同一单位或者个人的账户转出。</w:t>
      </w:r>
    </w:p>
    <w:p w14:paraId="2CB5FCAC">
      <w:pPr>
        <w:spacing w:before="156" w:line="600" w:lineRule="exact"/>
        <w:ind w:firstLine="640" w:firstLineChars="200"/>
        <w:rPr>
          <w:rFonts w:eastAsia="仿宋_GB2312"/>
          <w:color w:val="000000"/>
          <w:sz w:val="32"/>
          <w:szCs w:val="32"/>
        </w:rPr>
      </w:pPr>
      <w:r>
        <w:rPr>
          <w:rFonts w:hint="eastAsia" w:eastAsia="仿宋_GB2312"/>
          <w:color w:val="000000"/>
          <w:sz w:val="32"/>
          <w:szCs w:val="32"/>
        </w:rPr>
        <w:t>9、已列入采购人及上级单位部门黑名单的</w:t>
      </w:r>
      <w:r>
        <w:rPr>
          <w:rFonts w:hint="eastAsia" w:eastAsia="仿宋_GB2312"/>
          <w:color w:val="000000"/>
          <w:sz w:val="32"/>
          <w:szCs w:val="32"/>
          <w:lang w:eastAsia="zh-CN"/>
        </w:rPr>
        <w:t>响应人</w:t>
      </w:r>
      <w:r>
        <w:rPr>
          <w:rFonts w:hint="eastAsia" w:eastAsia="仿宋_GB2312"/>
          <w:color w:val="000000"/>
          <w:sz w:val="32"/>
          <w:szCs w:val="32"/>
        </w:rPr>
        <w:t>的响应文件视为无效。</w:t>
      </w:r>
    </w:p>
    <w:p w14:paraId="4FDE62B2">
      <w:pPr>
        <w:spacing w:before="156" w:line="600" w:lineRule="exact"/>
        <w:ind w:firstLine="640" w:firstLineChars="200"/>
        <w:jc w:val="right"/>
        <w:rPr>
          <w:rFonts w:eastAsia="仿宋_GB2312"/>
          <w:color w:val="000000"/>
          <w:sz w:val="32"/>
          <w:szCs w:val="32"/>
        </w:rPr>
      </w:pPr>
      <w:r>
        <w:rPr>
          <w:rFonts w:hint="eastAsia" w:eastAsia="仿宋_GB2312"/>
          <w:color w:val="000000"/>
          <w:sz w:val="32"/>
          <w:szCs w:val="32"/>
        </w:rPr>
        <w:t>东莞市新东元环保投资有限公司</w:t>
      </w:r>
    </w:p>
    <w:p w14:paraId="7E8D8F22">
      <w:pPr>
        <w:spacing w:before="156" w:line="600" w:lineRule="exact"/>
        <w:ind w:firstLine="640" w:firstLineChars="200"/>
        <w:jc w:val="right"/>
        <w:rPr>
          <w:rFonts w:eastAsia="仿宋_GB2312"/>
          <w:color w:val="000000"/>
          <w:sz w:val="32"/>
          <w:szCs w:val="32"/>
        </w:rPr>
      </w:pPr>
      <w:r>
        <w:rPr>
          <w:rFonts w:hint="eastAsia" w:eastAsia="仿宋_GB2312"/>
          <w:color w:val="000000"/>
          <w:sz w:val="32"/>
          <w:szCs w:val="32"/>
        </w:rPr>
        <w:t>202</w:t>
      </w:r>
      <w:r>
        <w:rPr>
          <w:rFonts w:hint="eastAsia" w:eastAsia="仿宋_GB2312"/>
          <w:color w:val="000000"/>
          <w:sz w:val="32"/>
          <w:szCs w:val="32"/>
          <w:lang w:val="en-US" w:eastAsia="zh-CN"/>
        </w:rPr>
        <w:t>5</w:t>
      </w:r>
      <w:r>
        <w:rPr>
          <w:rFonts w:hint="eastAsia" w:eastAsia="仿宋_GB2312"/>
          <w:color w:val="000000"/>
          <w:sz w:val="32"/>
          <w:szCs w:val="32"/>
        </w:rPr>
        <w:t>年</w:t>
      </w:r>
      <w:r>
        <w:rPr>
          <w:rFonts w:hint="eastAsia" w:eastAsia="仿宋_GB2312"/>
          <w:color w:val="000000"/>
          <w:sz w:val="32"/>
          <w:szCs w:val="32"/>
          <w:lang w:val="en-US" w:eastAsia="zh-CN"/>
        </w:rPr>
        <w:t xml:space="preserve"> 5 </w:t>
      </w:r>
      <w:r>
        <w:rPr>
          <w:rFonts w:hint="eastAsia" w:eastAsia="仿宋_GB2312"/>
          <w:color w:val="000000"/>
          <w:sz w:val="32"/>
          <w:szCs w:val="32"/>
        </w:rPr>
        <w:t>月</w:t>
      </w:r>
      <w:r>
        <w:rPr>
          <w:rFonts w:hint="eastAsia" w:eastAsia="仿宋_GB2312"/>
          <w:color w:val="000000"/>
          <w:sz w:val="32"/>
          <w:szCs w:val="32"/>
          <w:lang w:val="en-US" w:eastAsia="zh-CN"/>
        </w:rPr>
        <w:t xml:space="preserve"> 23 </w:t>
      </w:r>
      <w:bookmarkStart w:id="16" w:name="_GoBack"/>
      <w:bookmarkEnd w:id="16"/>
      <w:r>
        <w:rPr>
          <w:rFonts w:hint="eastAsia" w:eastAsia="仿宋_GB2312"/>
          <w:color w:val="000000"/>
          <w:sz w:val="32"/>
          <w:szCs w:val="32"/>
        </w:rPr>
        <w:t>日</w:t>
      </w:r>
    </w:p>
    <w:p w14:paraId="58F0AC70">
      <w:pPr>
        <w:spacing w:before="156" w:line="600" w:lineRule="exact"/>
        <w:ind w:firstLine="640" w:firstLineChars="200"/>
        <w:rPr>
          <w:rFonts w:eastAsia="仿宋_GB2312"/>
          <w:color w:val="000000"/>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14:paraId="11ADEFDC">
      <w:pPr>
        <w:pStyle w:val="255"/>
        <w:numPr>
          <w:ilvl w:val="0"/>
          <w:numId w:val="5"/>
        </w:numPr>
        <w:spacing w:before="156"/>
        <w:ind w:left="420" w:firstLineChars="0"/>
        <w:outlineLvl w:val="1"/>
        <w:rPr>
          <w:rFonts w:ascii="仿宋" w:hAnsi="仿宋" w:eastAsia="仿宋"/>
          <w:b/>
          <w:bCs/>
          <w:sz w:val="28"/>
          <w:szCs w:val="44"/>
        </w:rPr>
      </w:pPr>
      <w:bookmarkStart w:id="12" w:name="_Hlk524442005"/>
      <w:r>
        <w:rPr>
          <w:rFonts w:hint="eastAsia" w:ascii="仿宋" w:hAnsi="仿宋" w:eastAsia="仿宋"/>
          <w:b/>
          <w:bCs/>
          <w:sz w:val="28"/>
          <w:szCs w:val="44"/>
        </w:rPr>
        <w:t>密封文件袋封面</w:t>
      </w:r>
    </w:p>
    <w:p w14:paraId="422AFA24">
      <w:pPr>
        <w:adjustRightInd w:val="0"/>
        <w:snapToGrid w:val="0"/>
        <w:spacing w:before="156"/>
        <w:jc w:val="center"/>
        <w:rPr>
          <w:rFonts w:ascii="仿宋" w:hAnsi="仿宋" w:eastAsia="仿宋"/>
          <w:b/>
          <w:bCs/>
          <w:sz w:val="52"/>
          <w:szCs w:val="52"/>
        </w:rPr>
      </w:pPr>
      <w:r>
        <w:rPr>
          <w:rFonts w:hint="eastAsia" w:ascii="仿宋" w:hAnsi="仿宋" w:eastAsia="仿宋"/>
          <w:b/>
          <w:bCs/>
          <w:sz w:val="52"/>
          <w:szCs w:val="52"/>
          <w:lang w:eastAsia="zh-CN"/>
        </w:rPr>
        <w:t>东莞市海心沙资源综合利用中心环保热电厂2025年度电机设备维修采购项目</w:t>
      </w:r>
      <w:r>
        <w:rPr>
          <w:rFonts w:hint="eastAsia" w:ascii="仿宋" w:hAnsi="仿宋" w:eastAsia="仿宋"/>
          <w:b/>
          <w:bCs/>
          <w:sz w:val="52"/>
          <w:szCs w:val="52"/>
        </w:rPr>
        <w:t>响应文件</w:t>
      </w:r>
    </w:p>
    <w:p w14:paraId="11E6B959">
      <w:pPr>
        <w:spacing w:before="156"/>
        <w:rPr>
          <w:rFonts w:ascii="仿宋" w:hAnsi="仿宋" w:eastAsia="仿宋"/>
          <w:sz w:val="32"/>
          <w:szCs w:val="32"/>
        </w:rPr>
      </w:pPr>
    </w:p>
    <w:p w14:paraId="585292D0">
      <w:pPr>
        <w:spacing w:before="156"/>
        <w:rPr>
          <w:rFonts w:ascii="仿宋" w:hAnsi="仿宋" w:eastAsia="仿宋"/>
          <w:sz w:val="32"/>
          <w:szCs w:val="32"/>
        </w:rPr>
      </w:pPr>
    </w:p>
    <w:p w14:paraId="7F721CBA">
      <w:pPr>
        <w:spacing w:before="156"/>
        <w:rPr>
          <w:rFonts w:ascii="仿宋" w:hAnsi="仿宋" w:eastAsia="仿宋"/>
          <w:sz w:val="32"/>
          <w:szCs w:val="32"/>
        </w:rPr>
      </w:pPr>
    </w:p>
    <w:p w14:paraId="0F995CB6">
      <w:pPr>
        <w:spacing w:before="156"/>
        <w:rPr>
          <w:rFonts w:ascii="仿宋" w:hAnsi="仿宋" w:eastAsia="仿宋"/>
          <w:sz w:val="32"/>
          <w:szCs w:val="32"/>
        </w:rPr>
      </w:pPr>
    </w:p>
    <w:p w14:paraId="0D0DE080">
      <w:pPr>
        <w:spacing w:before="156"/>
        <w:rPr>
          <w:rFonts w:ascii="仿宋" w:hAnsi="仿宋" w:eastAsia="仿宋"/>
          <w:sz w:val="32"/>
          <w:szCs w:val="32"/>
        </w:rPr>
      </w:pPr>
    </w:p>
    <w:p w14:paraId="1B749B1D">
      <w:pPr>
        <w:spacing w:before="156"/>
        <w:ind w:firstLine="566" w:firstLineChars="177"/>
        <w:rPr>
          <w:rFonts w:ascii="仿宋" w:hAnsi="仿宋" w:eastAsia="仿宋"/>
          <w:sz w:val="32"/>
          <w:szCs w:val="32"/>
        </w:rPr>
      </w:pPr>
      <w:r>
        <w:rPr>
          <w:rFonts w:hint="eastAsia" w:ascii="仿宋" w:hAnsi="仿宋" w:eastAsia="仿宋"/>
          <w:sz w:val="32"/>
          <w:szCs w:val="32"/>
          <w:lang w:eastAsia="zh-CN"/>
        </w:rPr>
        <w:t>响应人</w:t>
      </w:r>
      <w:r>
        <w:rPr>
          <w:rFonts w:hint="eastAsia" w:ascii="仿宋" w:hAnsi="仿宋" w:eastAsia="仿宋"/>
          <w:sz w:val="32"/>
          <w:szCs w:val="32"/>
        </w:rPr>
        <w:t>名称（加盖公章）：</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14:paraId="5C3DB614">
      <w:pPr>
        <w:spacing w:before="156"/>
        <w:ind w:firstLine="566" w:firstLineChars="177"/>
        <w:rPr>
          <w:rFonts w:ascii="仿宋" w:hAnsi="仿宋" w:eastAsia="仿宋"/>
          <w:sz w:val="32"/>
          <w:szCs w:val="32"/>
        </w:rPr>
      </w:pPr>
      <w:r>
        <w:rPr>
          <w:rFonts w:hint="eastAsia" w:ascii="仿宋" w:hAnsi="仿宋" w:eastAsia="仿宋"/>
          <w:sz w:val="32"/>
          <w:szCs w:val="32"/>
        </w:rPr>
        <w:t>联系人：</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14:paraId="5C688D91">
      <w:pPr>
        <w:spacing w:before="156"/>
        <w:ind w:firstLine="566" w:firstLineChars="177"/>
        <w:rPr>
          <w:rFonts w:ascii="仿宋" w:hAnsi="仿宋" w:eastAsia="仿宋"/>
          <w:sz w:val="32"/>
          <w:szCs w:val="32"/>
        </w:rPr>
      </w:pPr>
      <w:r>
        <w:rPr>
          <w:rFonts w:hint="eastAsia" w:ascii="仿宋" w:hAnsi="仿宋" w:eastAsia="仿宋"/>
          <w:sz w:val="32"/>
          <w:szCs w:val="32"/>
        </w:rPr>
        <w:t>联系电话：</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14:paraId="1CFB0898">
      <w:pPr>
        <w:spacing w:before="156"/>
        <w:ind w:firstLine="566" w:firstLineChars="177"/>
        <w:rPr>
          <w:rFonts w:ascii="仿宋" w:hAnsi="仿宋" w:eastAsia="仿宋"/>
          <w:sz w:val="32"/>
          <w:szCs w:val="32"/>
          <w:u w:val="single"/>
        </w:rPr>
      </w:pPr>
      <w:r>
        <w:rPr>
          <w:rFonts w:hint="eastAsia" w:ascii="仿宋" w:hAnsi="仿宋" w:eastAsia="仿宋"/>
          <w:sz w:val="32"/>
          <w:szCs w:val="32"/>
        </w:rPr>
        <w:t>日期：</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14:paraId="2388E57F">
      <w:pPr>
        <w:pStyle w:val="2"/>
        <w:spacing w:before="156"/>
        <w:ind w:left="0" w:leftChars="0" w:firstLine="480"/>
      </w:pPr>
    </w:p>
    <w:p w14:paraId="4D6AF4D0">
      <w:pPr>
        <w:pStyle w:val="2"/>
        <w:spacing w:before="156"/>
        <w:ind w:left="0" w:leftChars="0" w:firstLine="480"/>
      </w:pPr>
    </w:p>
    <w:p w14:paraId="3E00E191">
      <w:pPr>
        <w:pStyle w:val="2"/>
        <w:spacing w:before="156"/>
        <w:ind w:left="0" w:leftChars="0" w:firstLine="480"/>
      </w:pPr>
    </w:p>
    <w:p w14:paraId="611F35BC">
      <w:pPr>
        <w:spacing w:before="156"/>
        <w:ind w:left="0" w:leftChars="0"/>
      </w:pPr>
      <w:r>
        <w:br w:type="page"/>
      </w:r>
    </w:p>
    <w:p w14:paraId="03EBBEEE">
      <w:pPr>
        <w:pStyle w:val="255"/>
        <w:numPr>
          <w:ilvl w:val="0"/>
          <w:numId w:val="5"/>
        </w:numPr>
        <w:spacing w:before="156"/>
        <w:ind w:left="420" w:firstLineChars="0"/>
        <w:outlineLvl w:val="1"/>
        <w:rPr>
          <w:rFonts w:ascii="仿宋" w:hAnsi="仿宋" w:eastAsia="仿宋"/>
          <w:b/>
          <w:bCs/>
          <w:sz w:val="28"/>
          <w:szCs w:val="44"/>
        </w:rPr>
      </w:pPr>
      <w:r>
        <w:rPr>
          <w:rFonts w:ascii="仿宋" w:hAnsi="仿宋" w:eastAsia="仿宋"/>
          <w:b/>
          <w:bCs/>
          <w:sz w:val="28"/>
          <w:szCs w:val="44"/>
        </w:rPr>
        <w:t>报价函</w:t>
      </w:r>
    </w:p>
    <w:p w14:paraId="1EF60360">
      <w:pPr>
        <w:spacing w:before="156"/>
        <w:jc w:val="center"/>
        <w:rPr>
          <w:rFonts w:ascii="仿宋" w:hAnsi="仿宋" w:eastAsia="仿宋"/>
          <w:sz w:val="44"/>
          <w:szCs w:val="44"/>
        </w:rPr>
      </w:pPr>
      <w:r>
        <w:rPr>
          <w:rFonts w:ascii="仿宋" w:hAnsi="仿宋" w:eastAsia="仿宋"/>
          <w:sz w:val="44"/>
          <w:szCs w:val="44"/>
        </w:rPr>
        <w:t>报价函</w:t>
      </w:r>
    </w:p>
    <w:p w14:paraId="7BB634F8">
      <w:pPr>
        <w:spacing w:before="156"/>
        <w:ind w:firstLine="560"/>
        <w:rPr>
          <w:rFonts w:ascii="仿宋" w:hAnsi="仿宋" w:eastAsia="仿宋"/>
          <w:sz w:val="32"/>
          <w:szCs w:val="32"/>
        </w:rPr>
      </w:pPr>
    </w:p>
    <w:p w14:paraId="4196838A">
      <w:pPr>
        <w:spacing w:before="156"/>
        <w:rPr>
          <w:rFonts w:ascii="仿宋" w:hAnsi="仿宋" w:eastAsia="仿宋"/>
          <w:sz w:val="32"/>
          <w:szCs w:val="32"/>
        </w:rPr>
      </w:pPr>
      <w:r>
        <w:rPr>
          <w:rFonts w:ascii="仿宋" w:hAnsi="仿宋" w:eastAsia="仿宋"/>
          <w:sz w:val="32"/>
          <w:szCs w:val="32"/>
        </w:rPr>
        <w:t>东莞市</w:t>
      </w:r>
      <w:r>
        <w:rPr>
          <w:rFonts w:hint="eastAsia" w:ascii="仿宋" w:hAnsi="仿宋" w:eastAsia="仿宋"/>
          <w:sz w:val="32"/>
          <w:szCs w:val="32"/>
        </w:rPr>
        <w:t>新东元</w:t>
      </w:r>
      <w:r>
        <w:rPr>
          <w:rFonts w:ascii="仿宋" w:hAnsi="仿宋" w:eastAsia="仿宋"/>
          <w:sz w:val="32"/>
          <w:szCs w:val="32"/>
        </w:rPr>
        <w:t>环保投资有限公司：</w:t>
      </w:r>
    </w:p>
    <w:p w14:paraId="111B395A">
      <w:pPr>
        <w:spacing w:before="156"/>
        <w:ind w:firstLine="640" w:firstLineChars="200"/>
        <w:rPr>
          <w:rFonts w:ascii="仿宋" w:hAnsi="仿宋" w:eastAsia="仿宋"/>
          <w:sz w:val="32"/>
          <w:szCs w:val="32"/>
        </w:rPr>
      </w:pPr>
      <w:r>
        <w:rPr>
          <w:rFonts w:ascii="仿宋" w:hAnsi="仿宋" w:eastAsia="仿宋"/>
          <w:sz w:val="32"/>
          <w:szCs w:val="32"/>
        </w:rPr>
        <w:t>针对贵司关于</w:t>
      </w:r>
      <w:r>
        <w:rPr>
          <w:rFonts w:hint="eastAsia" w:eastAsia="仿宋_GB2312"/>
          <w:color w:val="000000"/>
          <w:sz w:val="32"/>
          <w:szCs w:val="32"/>
          <w:u w:val="single"/>
          <w:lang w:eastAsia="zh-CN"/>
        </w:rPr>
        <w:t>东莞市海心沙资源综合利用中心环保热电厂2025年度电机设备维修采购项目</w:t>
      </w:r>
      <w:r>
        <w:rPr>
          <w:rFonts w:ascii="仿宋" w:hAnsi="仿宋" w:eastAsia="仿宋"/>
          <w:sz w:val="32"/>
          <w:szCs w:val="32"/>
        </w:rPr>
        <w:t>，我司愿意以</w:t>
      </w:r>
      <w:r>
        <w:rPr>
          <w:rFonts w:hint="eastAsia" w:ascii="仿宋" w:hAnsi="仿宋" w:eastAsia="仿宋"/>
          <w:sz w:val="32"/>
          <w:szCs w:val="32"/>
          <w:lang w:val="en-US" w:eastAsia="zh-CN"/>
        </w:rPr>
        <w:t>统一下浮率</w:t>
      </w:r>
      <w:r>
        <w:rPr>
          <w:rFonts w:hint="eastAsia" w:ascii="仿宋" w:hAnsi="仿宋" w:eastAsia="仿宋"/>
          <w:sz w:val="32"/>
          <w:szCs w:val="32"/>
          <w:u w:val="single"/>
          <w:lang w:val="en-US" w:eastAsia="zh-CN"/>
        </w:rPr>
        <w:t xml:space="preserve">     %</w:t>
      </w:r>
      <w:r>
        <w:rPr>
          <w:rFonts w:hint="eastAsia" w:ascii="仿宋" w:hAnsi="仿宋" w:eastAsia="仿宋"/>
          <w:sz w:val="32"/>
          <w:szCs w:val="32"/>
        </w:rPr>
        <w:t>承接此项目的</w:t>
      </w:r>
      <w:r>
        <w:rPr>
          <w:rFonts w:hint="eastAsia" w:ascii="仿宋" w:hAnsi="仿宋" w:eastAsia="仿宋"/>
          <w:sz w:val="32"/>
          <w:szCs w:val="32"/>
          <w:lang w:val="en-US" w:eastAsia="zh-CN"/>
        </w:rPr>
        <w:t>维修</w:t>
      </w:r>
      <w:r>
        <w:rPr>
          <w:rFonts w:hint="eastAsia" w:ascii="仿宋" w:hAnsi="仿宋" w:eastAsia="仿宋"/>
          <w:sz w:val="32"/>
          <w:szCs w:val="32"/>
        </w:rPr>
        <w:t>工作</w:t>
      </w:r>
      <w:r>
        <w:rPr>
          <w:rFonts w:hint="eastAsia" w:ascii="仿宋" w:hAnsi="仿宋" w:eastAsia="仿宋"/>
          <w:sz w:val="32"/>
          <w:szCs w:val="32"/>
          <w:lang w:eastAsia="zh-CN"/>
        </w:rPr>
        <w:t>，</w:t>
      </w:r>
      <w:r>
        <w:rPr>
          <w:rFonts w:hint="eastAsia" w:ascii="仿宋" w:hAnsi="仿宋" w:eastAsia="仿宋"/>
          <w:sz w:val="32"/>
          <w:szCs w:val="32"/>
        </w:rPr>
        <w:t>开具增值税专用发票。</w:t>
      </w:r>
    </w:p>
    <w:p w14:paraId="37ECF3FA">
      <w:pPr>
        <w:spacing w:before="156"/>
        <w:rPr>
          <w:rFonts w:hint="eastAsia" w:ascii="宋体" w:hAnsi="宋体" w:eastAsia="宋体" w:cs="宋体"/>
          <w:color w:val="auto"/>
          <w:szCs w:val="21"/>
          <w:highlight w:val="none"/>
        </w:rPr>
      </w:pPr>
    </w:p>
    <w:p w14:paraId="164112D0">
      <w:pPr>
        <w:spacing w:before="156"/>
        <w:ind w:firstLine="0" w:firstLineChars="0"/>
        <w:rPr>
          <w:rFonts w:hint="eastAsia" w:ascii="仿宋" w:hAnsi="仿宋" w:eastAsia="仿宋"/>
          <w:sz w:val="32"/>
          <w:szCs w:val="32"/>
          <w:lang w:eastAsia="zh-CN"/>
        </w:rPr>
      </w:pPr>
      <w:r>
        <w:rPr>
          <w:rFonts w:hint="eastAsia" w:ascii="宋体" w:hAnsi="宋体" w:eastAsia="宋体" w:cs="宋体"/>
          <w:color w:val="auto"/>
          <w:szCs w:val="21"/>
          <w:highlight w:val="none"/>
        </w:rPr>
        <w:t>注：</w:t>
      </w:r>
      <w:r>
        <w:rPr>
          <w:rFonts w:hint="eastAsia" w:ascii="宋体" w:hAnsi="宋体" w:eastAsia="宋体" w:cs="宋体"/>
          <w:color w:val="auto"/>
          <w:sz w:val="24"/>
          <w:szCs w:val="21"/>
          <w:highlight w:val="none"/>
          <w:lang w:eastAsia="zh-CN"/>
        </w:rPr>
        <w:t>最终成交单价按成交人所报下浮率进行统一下浮（即清单每项单价均按成交下浮率下浮，不得对部分单项调整下浮率），单项清单成交价=清单</w:t>
      </w:r>
      <w:r>
        <w:rPr>
          <w:rFonts w:hint="eastAsia" w:ascii="宋体" w:hAnsi="宋体" w:cs="宋体"/>
          <w:color w:val="auto"/>
          <w:sz w:val="24"/>
          <w:szCs w:val="21"/>
          <w:highlight w:val="none"/>
          <w:lang w:val="en-US" w:eastAsia="zh-CN"/>
        </w:rPr>
        <w:t>单价</w:t>
      </w:r>
      <w:r>
        <w:rPr>
          <w:rFonts w:hint="eastAsia" w:ascii="宋体" w:hAnsi="宋体" w:eastAsia="宋体" w:cs="宋体"/>
          <w:color w:val="auto"/>
          <w:sz w:val="24"/>
          <w:szCs w:val="21"/>
          <w:highlight w:val="none"/>
          <w:lang w:eastAsia="zh-CN"/>
        </w:rPr>
        <w:t>限价×（100%-成交下浮率）</w:t>
      </w:r>
    </w:p>
    <w:p w14:paraId="429192C1">
      <w:pPr>
        <w:spacing w:before="156"/>
        <w:rPr>
          <w:rFonts w:ascii="仿宋" w:hAnsi="仿宋" w:eastAsia="仿宋"/>
          <w:sz w:val="32"/>
          <w:szCs w:val="32"/>
        </w:rPr>
      </w:pPr>
    </w:p>
    <w:p w14:paraId="133BFFBF">
      <w:pPr>
        <w:spacing w:before="156"/>
        <w:rPr>
          <w:rFonts w:ascii="仿宋" w:hAnsi="仿宋" w:eastAsia="仿宋"/>
          <w:sz w:val="32"/>
          <w:szCs w:val="32"/>
        </w:rPr>
      </w:pPr>
      <w:r>
        <w:rPr>
          <w:rFonts w:hint="eastAsia" w:ascii="仿宋" w:hAnsi="仿宋" w:eastAsia="仿宋"/>
          <w:sz w:val="32"/>
          <w:szCs w:val="32"/>
          <w:lang w:eastAsia="zh-CN"/>
        </w:rPr>
        <w:t>响应人</w:t>
      </w:r>
      <w:r>
        <w:rPr>
          <w:rFonts w:ascii="仿宋" w:hAnsi="仿宋" w:eastAsia="仿宋"/>
          <w:sz w:val="32"/>
          <w:szCs w:val="32"/>
        </w:rPr>
        <w:t>名称（加盖公章）：</w:t>
      </w:r>
    </w:p>
    <w:p w14:paraId="4815C463">
      <w:pPr>
        <w:wordWrap w:val="0"/>
        <w:spacing w:before="156"/>
        <w:rPr>
          <w:rFonts w:ascii="仿宋" w:hAnsi="仿宋" w:eastAsia="仿宋"/>
          <w:sz w:val="32"/>
          <w:szCs w:val="32"/>
        </w:rPr>
      </w:pPr>
      <w:r>
        <w:rPr>
          <w:rFonts w:ascii="仿宋" w:hAnsi="仿宋" w:eastAsia="仿宋"/>
          <w:sz w:val="32"/>
          <w:szCs w:val="32"/>
        </w:rPr>
        <w:t>法定代表人（签名或盖章）：</w:t>
      </w:r>
    </w:p>
    <w:p w14:paraId="4C6B01AD">
      <w:pPr>
        <w:wordWrap w:val="0"/>
        <w:spacing w:before="156"/>
        <w:rPr>
          <w:rFonts w:ascii="仿宋" w:hAnsi="仿宋" w:eastAsia="仿宋"/>
          <w:sz w:val="32"/>
          <w:szCs w:val="32"/>
        </w:rPr>
      </w:pPr>
      <w:r>
        <w:rPr>
          <w:rFonts w:ascii="仿宋" w:hAnsi="仿宋" w:eastAsia="仿宋"/>
          <w:sz w:val="32"/>
          <w:szCs w:val="32"/>
        </w:rPr>
        <w:t>联系人：</w:t>
      </w:r>
    </w:p>
    <w:p w14:paraId="493C5620">
      <w:pPr>
        <w:wordWrap w:val="0"/>
        <w:spacing w:before="156"/>
        <w:rPr>
          <w:rFonts w:ascii="仿宋" w:hAnsi="仿宋" w:eastAsia="仿宋"/>
          <w:sz w:val="32"/>
          <w:szCs w:val="32"/>
        </w:rPr>
      </w:pPr>
      <w:r>
        <w:rPr>
          <w:rFonts w:ascii="仿宋" w:hAnsi="仿宋" w:eastAsia="仿宋"/>
          <w:sz w:val="32"/>
          <w:szCs w:val="32"/>
        </w:rPr>
        <w:t>联系电话：</w:t>
      </w:r>
    </w:p>
    <w:p w14:paraId="50894ADC">
      <w:pPr>
        <w:wordWrap w:val="0"/>
        <w:spacing w:before="156"/>
        <w:rPr>
          <w:rFonts w:ascii="仿宋" w:hAnsi="仿宋" w:eastAsia="仿宋"/>
          <w:sz w:val="32"/>
          <w:szCs w:val="32"/>
        </w:rPr>
      </w:pPr>
      <w:r>
        <w:rPr>
          <w:rFonts w:ascii="仿宋" w:hAnsi="仿宋" w:eastAsia="仿宋"/>
          <w:sz w:val="32"/>
          <w:szCs w:val="32"/>
        </w:rPr>
        <w:t>日期：</w:t>
      </w:r>
    </w:p>
    <w:p w14:paraId="0FADF4C5">
      <w:pPr>
        <w:spacing w:before="156"/>
        <w:rPr>
          <w:rFonts w:ascii="宋体" w:hAnsi="宋体"/>
          <w:sz w:val="36"/>
          <w:szCs w:val="36"/>
        </w:rPr>
      </w:pPr>
    </w:p>
    <w:p w14:paraId="6E98BFE4">
      <w:pPr>
        <w:widowControl/>
        <w:spacing w:beforeLines="0" w:line="240" w:lineRule="auto"/>
        <w:rPr>
          <w:rFonts w:asciiTheme="minorEastAsia" w:hAnsiTheme="minorEastAsia" w:eastAsiaTheme="minorEastAsia"/>
          <w:b/>
          <w:sz w:val="52"/>
          <w:szCs w:val="52"/>
        </w:rPr>
      </w:pPr>
    </w:p>
    <w:p w14:paraId="7A50CA33">
      <w:pPr>
        <w:spacing w:before="156"/>
        <w:ind w:left="420" w:firstLineChars="0"/>
        <w:outlineLvl w:val="1"/>
        <w:rPr>
          <w:rFonts w:ascii="仿宋" w:hAnsi="仿宋" w:eastAsia="仿宋"/>
          <w:b/>
          <w:bCs/>
          <w:sz w:val="28"/>
          <w:szCs w:val="44"/>
        </w:rPr>
      </w:pPr>
      <w:r>
        <w:rPr>
          <w:rFonts w:ascii="仿宋" w:hAnsi="仿宋" w:eastAsia="仿宋"/>
          <w:b/>
          <w:bCs/>
          <w:sz w:val="28"/>
          <w:szCs w:val="44"/>
        </w:rPr>
        <w:br w:type="page"/>
      </w:r>
    </w:p>
    <w:p w14:paraId="28B20636">
      <w:pPr>
        <w:pStyle w:val="255"/>
        <w:numPr>
          <w:ilvl w:val="0"/>
          <w:numId w:val="5"/>
        </w:numPr>
        <w:spacing w:before="156"/>
        <w:ind w:left="420" w:firstLineChars="0"/>
        <w:outlineLvl w:val="1"/>
        <w:rPr>
          <w:rFonts w:ascii="仿宋" w:hAnsi="仿宋" w:eastAsia="仿宋"/>
          <w:b/>
          <w:bCs/>
          <w:sz w:val="28"/>
          <w:szCs w:val="44"/>
        </w:rPr>
      </w:pPr>
      <w:r>
        <w:rPr>
          <w:rFonts w:ascii="仿宋" w:hAnsi="仿宋" w:eastAsia="仿宋"/>
          <w:b/>
          <w:bCs/>
          <w:sz w:val="28"/>
          <w:szCs w:val="44"/>
        </w:rPr>
        <w:t>法人证明</w:t>
      </w:r>
    </w:p>
    <w:p w14:paraId="31283AEE">
      <w:pPr>
        <w:spacing w:before="156"/>
        <w:jc w:val="center"/>
        <w:rPr>
          <w:rFonts w:ascii="仿宋" w:hAnsi="仿宋" w:eastAsia="仿宋"/>
          <w:b/>
          <w:bCs/>
          <w:sz w:val="32"/>
          <w:szCs w:val="32"/>
        </w:rPr>
      </w:pPr>
      <w:r>
        <w:rPr>
          <w:rFonts w:ascii="仿宋" w:hAnsi="仿宋" w:eastAsia="仿宋"/>
          <w:b/>
          <w:bCs/>
          <w:sz w:val="32"/>
          <w:szCs w:val="32"/>
        </w:rPr>
        <w:t>法定代表人身份证明书</w:t>
      </w:r>
    </w:p>
    <w:p w14:paraId="25FAD4F0">
      <w:pPr>
        <w:spacing w:before="156"/>
        <w:rPr>
          <w:rFonts w:ascii="仿宋" w:hAnsi="仿宋" w:eastAsia="仿宋"/>
          <w:sz w:val="32"/>
          <w:szCs w:val="32"/>
        </w:rPr>
      </w:pPr>
    </w:p>
    <w:p w14:paraId="2EDE3B2D">
      <w:pPr>
        <w:pStyle w:val="256"/>
        <w:spacing w:before="156" w:line="360" w:lineRule="auto"/>
        <w:ind w:firstLine="0" w:firstLineChars="0"/>
        <w:rPr>
          <w:rFonts w:ascii="仿宋" w:hAnsi="仿宋" w:eastAsia="仿宋"/>
          <w:sz w:val="32"/>
          <w:szCs w:val="32"/>
        </w:rPr>
      </w:pPr>
      <w:r>
        <w:rPr>
          <w:sz w:val="32"/>
          <w:szCs w:val="32"/>
        </w:rPr>
        <w:t>东莞市新东</w:t>
      </w:r>
      <w:r>
        <w:rPr>
          <w:rFonts w:hint="eastAsia"/>
          <w:sz w:val="32"/>
          <w:szCs w:val="32"/>
        </w:rPr>
        <w:t>元</w:t>
      </w:r>
      <w:r>
        <w:rPr>
          <w:sz w:val="32"/>
          <w:szCs w:val="32"/>
        </w:rPr>
        <w:t>环保投资有限公司</w:t>
      </w:r>
      <w:r>
        <w:rPr>
          <w:rFonts w:ascii="仿宋" w:hAnsi="仿宋" w:eastAsia="仿宋"/>
          <w:sz w:val="32"/>
          <w:szCs w:val="32"/>
        </w:rPr>
        <w:t>：</w:t>
      </w:r>
    </w:p>
    <w:p w14:paraId="0B27D2E6">
      <w:pPr>
        <w:pStyle w:val="256"/>
        <w:spacing w:before="156" w:line="360" w:lineRule="auto"/>
        <w:ind w:firstLine="659"/>
        <w:rPr>
          <w:rFonts w:ascii="仿宋" w:hAnsi="仿宋" w:eastAsia="仿宋"/>
          <w:sz w:val="32"/>
          <w:szCs w:val="32"/>
        </w:rPr>
      </w:pPr>
      <w:r>
        <w:rPr>
          <w:rFonts w:ascii="仿宋" w:hAnsi="仿宋" w:eastAsia="仿宋"/>
          <w:sz w:val="32"/>
          <w:szCs w:val="32"/>
        </w:rPr>
        <w:t>本证明书声明：注册于</w:t>
      </w:r>
      <w:r>
        <w:rPr>
          <w:rFonts w:ascii="仿宋" w:hAnsi="仿宋" w:eastAsia="仿宋"/>
          <w:sz w:val="32"/>
          <w:szCs w:val="32"/>
          <w:u w:val="single"/>
        </w:rPr>
        <w:t xml:space="preserve">     </w:t>
      </w:r>
      <w:r>
        <w:rPr>
          <w:rFonts w:ascii="仿宋" w:hAnsi="仿宋" w:eastAsia="仿宋"/>
          <w:sz w:val="32"/>
          <w:szCs w:val="32"/>
        </w:rPr>
        <w:t>（国家名称）的</w:t>
      </w:r>
      <w:r>
        <w:rPr>
          <w:rFonts w:ascii="仿宋" w:hAnsi="仿宋" w:eastAsia="仿宋"/>
          <w:sz w:val="32"/>
          <w:szCs w:val="32"/>
          <w:u w:val="single"/>
        </w:rPr>
        <w:t>　　</w:t>
      </w:r>
      <w:r>
        <w:rPr>
          <w:rFonts w:ascii="仿宋" w:hAnsi="仿宋" w:eastAsia="仿宋"/>
          <w:sz w:val="32"/>
          <w:szCs w:val="32"/>
        </w:rPr>
        <w:t>（</w:t>
      </w:r>
      <w:r>
        <w:rPr>
          <w:rFonts w:hint="eastAsia" w:ascii="仿宋" w:hAnsi="仿宋" w:eastAsia="仿宋"/>
          <w:sz w:val="32"/>
          <w:szCs w:val="32"/>
          <w:lang w:eastAsia="zh-CN"/>
        </w:rPr>
        <w:t>响应人</w:t>
      </w:r>
      <w:r>
        <w:rPr>
          <w:rFonts w:ascii="仿宋" w:hAnsi="仿宋" w:eastAsia="仿宋"/>
          <w:sz w:val="32"/>
          <w:szCs w:val="32"/>
        </w:rPr>
        <w:t>名称）在下面签字的</w:t>
      </w:r>
      <w:r>
        <w:rPr>
          <w:rFonts w:ascii="仿宋" w:hAnsi="仿宋" w:eastAsia="仿宋"/>
          <w:sz w:val="32"/>
          <w:szCs w:val="32"/>
          <w:u w:val="single"/>
        </w:rPr>
        <w:t>　　　　　</w:t>
      </w:r>
      <w:r>
        <w:rPr>
          <w:rFonts w:ascii="仿宋" w:hAnsi="仿宋" w:eastAsia="仿宋"/>
          <w:sz w:val="32"/>
          <w:szCs w:val="32"/>
        </w:rPr>
        <w:t>（法定代表人姓名、职务）为本公司的合法代表人（</w:t>
      </w:r>
      <w:r>
        <w:rPr>
          <w:rFonts w:ascii="仿宋" w:hAnsi="仿宋" w:eastAsia="仿宋"/>
          <w:b/>
          <w:bCs/>
          <w:sz w:val="32"/>
          <w:szCs w:val="32"/>
        </w:rPr>
        <w:t>须附</w:t>
      </w:r>
      <w:r>
        <w:rPr>
          <w:rFonts w:hint="eastAsia" w:ascii="仿宋" w:hAnsi="仿宋" w:eastAsia="仿宋"/>
          <w:b/>
          <w:bCs/>
          <w:sz w:val="32"/>
          <w:szCs w:val="32"/>
        </w:rPr>
        <w:t>营业执照复印件及</w:t>
      </w:r>
      <w:r>
        <w:rPr>
          <w:rFonts w:ascii="仿宋" w:hAnsi="仿宋" w:eastAsia="仿宋"/>
          <w:b/>
          <w:bCs/>
          <w:sz w:val="32"/>
          <w:szCs w:val="32"/>
        </w:rPr>
        <w:t>法定代表人身份证复印件</w:t>
      </w:r>
      <w:r>
        <w:rPr>
          <w:rFonts w:ascii="仿宋" w:hAnsi="仿宋" w:eastAsia="仿宋"/>
          <w:sz w:val="32"/>
          <w:szCs w:val="32"/>
        </w:rPr>
        <w:t>）。</w:t>
      </w:r>
    </w:p>
    <w:p w14:paraId="4E6E71DE">
      <w:pPr>
        <w:spacing w:before="156"/>
        <w:ind w:firstLine="480" w:firstLineChars="150"/>
        <w:rPr>
          <w:rFonts w:ascii="仿宋" w:hAnsi="仿宋" w:eastAsia="仿宋"/>
          <w:sz w:val="32"/>
          <w:szCs w:val="32"/>
        </w:rPr>
      </w:pPr>
      <w:r>
        <w:rPr>
          <w:rFonts w:ascii="仿宋" w:hAnsi="仿宋" w:eastAsia="仿宋"/>
          <w:sz w:val="32"/>
          <w:szCs w:val="32"/>
        </w:rPr>
        <w:t>特此证明</w:t>
      </w:r>
    </w:p>
    <w:p w14:paraId="67D65113">
      <w:pPr>
        <w:spacing w:before="156"/>
        <w:rPr>
          <w:rFonts w:ascii="仿宋" w:hAnsi="仿宋" w:eastAsia="仿宋"/>
          <w:sz w:val="32"/>
          <w:szCs w:val="32"/>
        </w:rPr>
      </w:pPr>
    </w:p>
    <w:p w14:paraId="38F82BA7">
      <w:pPr>
        <w:spacing w:before="156"/>
        <w:rPr>
          <w:rFonts w:ascii="仿宋" w:hAnsi="仿宋" w:eastAsia="仿宋"/>
          <w:sz w:val="32"/>
          <w:szCs w:val="32"/>
        </w:rPr>
      </w:pPr>
    </w:p>
    <w:p w14:paraId="58AE957F">
      <w:pPr>
        <w:spacing w:before="156"/>
        <w:rPr>
          <w:rFonts w:ascii="仿宋" w:hAnsi="仿宋" w:eastAsia="仿宋"/>
          <w:sz w:val="32"/>
          <w:szCs w:val="32"/>
        </w:rPr>
      </w:pPr>
    </w:p>
    <w:p w14:paraId="74ACE090">
      <w:pPr>
        <w:spacing w:before="156"/>
        <w:rPr>
          <w:rFonts w:ascii="仿宋" w:hAnsi="仿宋" w:eastAsia="仿宋"/>
          <w:sz w:val="32"/>
          <w:szCs w:val="32"/>
        </w:rPr>
      </w:pPr>
      <w:r>
        <w:rPr>
          <w:rFonts w:hint="eastAsia" w:ascii="仿宋" w:hAnsi="仿宋" w:eastAsia="仿宋"/>
          <w:sz w:val="32"/>
          <w:szCs w:val="32"/>
          <w:lang w:eastAsia="zh-CN"/>
        </w:rPr>
        <w:t>响应人</w:t>
      </w:r>
      <w:r>
        <w:rPr>
          <w:rFonts w:ascii="仿宋" w:hAnsi="仿宋" w:eastAsia="仿宋"/>
          <w:sz w:val="32"/>
          <w:szCs w:val="32"/>
        </w:rPr>
        <w:t>名称（加盖公章）：</w:t>
      </w:r>
    </w:p>
    <w:p w14:paraId="5F46CB47">
      <w:pPr>
        <w:spacing w:before="156"/>
        <w:rPr>
          <w:rFonts w:ascii="仿宋" w:hAnsi="仿宋" w:eastAsia="仿宋"/>
          <w:sz w:val="32"/>
          <w:szCs w:val="32"/>
        </w:rPr>
      </w:pPr>
      <w:r>
        <w:rPr>
          <w:rFonts w:hint="eastAsia" w:ascii="仿宋" w:hAnsi="仿宋" w:eastAsia="仿宋"/>
          <w:sz w:val="32"/>
          <w:szCs w:val="32"/>
          <w:lang w:eastAsia="zh-CN"/>
        </w:rPr>
        <w:t>响应人</w:t>
      </w:r>
      <w:r>
        <w:rPr>
          <w:rFonts w:ascii="仿宋" w:hAnsi="仿宋" w:eastAsia="仿宋"/>
          <w:sz w:val="32"/>
          <w:szCs w:val="32"/>
        </w:rPr>
        <w:t>地址：</w:t>
      </w:r>
    </w:p>
    <w:p w14:paraId="0A4CFA66">
      <w:pPr>
        <w:spacing w:before="156"/>
        <w:rPr>
          <w:rFonts w:ascii="仿宋" w:hAnsi="仿宋" w:eastAsia="仿宋"/>
          <w:sz w:val="32"/>
          <w:szCs w:val="32"/>
        </w:rPr>
      </w:pPr>
      <w:r>
        <w:rPr>
          <w:rFonts w:ascii="仿宋" w:hAnsi="仿宋" w:eastAsia="仿宋"/>
          <w:sz w:val="32"/>
          <w:szCs w:val="32"/>
        </w:rPr>
        <w:t>法定代表人（签名或盖私章）：</w:t>
      </w:r>
    </w:p>
    <w:p w14:paraId="1A4F9726">
      <w:pPr>
        <w:spacing w:before="156"/>
        <w:rPr>
          <w:rFonts w:ascii="仿宋" w:hAnsi="仿宋" w:eastAsia="仿宋"/>
          <w:sz w:val="32"/>
          <w:szCs w:val="32"/>
        </w:rPr>
      </w:pPr>
      <w:r>
        <w:rPr>
          <w:rFonts w:ascii="仿宋" w:hAnsi="仿宋" w:eastAsia="仿宋"/>
          <w:sz w:val="32"/>
          <w:szCs w:val="32"/>
        </w:rPr>
        <w:t>职务：</w:t>
      </w:r>
    </w:p>
    <w:p w14:paraId="33D84C2A">
      <w:pPr>
        <w:pStyle w:val="2"/>
        <w:spacing w:before="156"/>
        <w:ind w:left="480" w:firstLine="480"/>
      </w:pPr>
      <w:r>
        <w:br w:type="page"/>
      </w:r>
    </w:p>
    <w:p w14:paraId="6931F117">
      <w:pPr>
        <w:spacing w:before="156"/>
        <w:jc w:val="center"/>
        <w:rPr>
          <w:rFonts w:ascii="仿宋" w:hAnsi="仿宋" w:eastAsia="仿宋"/>
          <w:sz w:val="32"/>
          <w:szCs w:val="32"/>
        </w:rPr>
      </w:pPr>
      <w:r>
        <w:rPr>
          <w:rFonts w:ascii="仿宋" w:hAnsi="仿宋" w:eastAsia="仿宋"/>
          <w:b/>
          <w:bCs/>
          <w:sz w:val="32"/>
          <w:szCs w:val="32"/>
        </w:rPr>
        <w:t>法定代表人身份证复印件</w:t>
      </w:r>
      <w:r>
        <w:rPr>
          <w:rFonts w:hint="eastAsia" w:ascii="仿宋" w:hAnsi="仿宋" w:eastAsia="仿宋"/>
          <w:b/>
          <w:bCs/>
          <w:sz w:val="32"/>
          <w:szCs w:val="32"/>
        </w:rPr>
        <w:t>（加盖公章）</w:t>
      </w:r>
    </w:p>
    <w:p w14:paraId="08053FCC">
      <w:pPr>
        <w:spacing w:before="156"/>
        <w:rPr>
          <w:rFonts w:ascii="仿宋" w:hAnsi="仿宋" w:eastAsia="仿宋"/>
          <w:sz w:val="32"/>
          <w:szCs w:val="32"/>
        </w:rPr>
      </w:pPr>
    </w:p>
    <w:p w14:paraId="3914517D">
      <w:pPr>
        <w:widowControl/>
        <w:spacing w:before="156"/>
        <w:rPr>
          <w:rFonts w:ascii="仿宋" w:hAnsi="仿宋" w:eastAsia="仿宋"/>
          <w:b/>
          <w:bCs/>
          <w:sz w:val="28"/>
          <w:szCs w:val="44"/>
        </w:rPr>
      </w:pPr>
      <w:r>
        <w:rPr>
          <w:rFonts w:ascii="仿宋" w:hAnsi="仿宋" w:eastAsia="仿宋"/>
          <w:sz w:val="32"/>
          <w:szCs w:val="32"/>
        </w:rPr>
        <w:br w:type="page"/>
      </w:r>
      <w:r>
        <w:rPr>
          <w:rFonts w:ascii="仿宋" w:hAnsi="仿宋" w:eastAsia="仿宋"/>
          <w:b/>
          <w:bCs/>
          <w:sz w:val="28"/>
          <w:szCs w:val="44"/>
        </w:rPr>
        <w:t>法人授权书</w:t>
      </w:r>
    </w:p>
    <w:p w14:paraId="6949982A">
      <w:pPr>
        <w:widowControl/>
        <w:spacing w:before="156"/>
        <w:jc w:val="center"/>
        <w:rPr>
          <w:rFonts w:ascii="仿宋" w:hAnsi="仿宋" w:eastAsia="仿宋"/>
          <w:sz w:val="32"/>
          <w:szCs w:val="32"/>
        </w:rPr>
      </w:pPr>
      <w:r>
        <w:rPr>
          <w:rFonts w:ascii="仿宋" w:hAnsi="仿宋" w:eastAsia="仿宋"/>
          <w:b/>
          <w:sz w:val="32"/>
          <w:szCs w:val="32"/>
        </w:rPr>
        <w:t>授权委托书</w:t>
      </w:r>
    </w:p>
    <w:p w14:paraId="1C9404E1">
      <w:pPr>
        <w:pStyle w:val="256"/>
        <w:spacing w:before="156" w:line="360" w:lineRule="auto"/>
        <w:ind w:firstLine="0" w:firstLineChars="0"/>
        <w:rPr>
          <w:rFonts w:ascii="仿宋" w:hAnsi="仿宋" w:eastAsia="仿宋"/>
          <w:sz w:val="32"/>
          <w:szCs w:val="32"/>
        </w:rPr>
      </w:pPr>
      <w:r>
        <w:rPr>
          <w:sz w:val="32"/>
          <w:szCs w:val="32"/>
        </w:rPr>
        <w:t>东莞市新东</w:t>
      </w:r>
      <w:r>
        <w:rPr>
          <w:rFonts w:hint="eastAsia"/>
          <w:sz w:val="32"/>
          <w:szCs w:val="32"/>
        </w:rPr>
        <w:t>元环</w:t>
      </w:r>
      <w:r>
        <w:rPr>
          <w:sz w:val="32"/>
          <w:szCs w:val="32"/>
        </w:rPr>
        <w:t>保投资有限公司</w:t>
      </w:r>
      <w:r>
        <w:rPr>
          <w:rFonts w:ascii="仿宋" w:hAnsi="仿宋" w:eastAsia="仿宋"/>
          <w:sz w:val="32"/>
          <w:szCs w:val="32"/>
        </w:rPr>
        <w:t>：</w:t>
      </w:r>
    </w:p>
    <w:p w14:paraId="7BC297DE">
      <w:pPr>
        <w:pStyle w:val="256"/>
        <w:spacing w:before="156" w:line="360" w:lineRule="auto"/>
        <w:ind w:firstLine="659"/>
        <w:rPr>
          <w:rFonts w:ascii="仿宋" w:hAnsi="仿宋" w:eastAsia="仿宋"/>
          <w:sz w:val="32"/>
          <w:szCs w:val="32"/>
        </w:rPr>
      </w:pPr>
      <w:r>
        <w:rPr>
          <w:rFonts w:ascii="仿宋" w:hAnsi="仿宋" w:eastAsia="仿宋"/>
          <w:sz w:val="32"/>
          <w:szCs w:val="32"/>
        </w:rPr>
        <w:t>本委托书声明：在下面签字的</w:t>
      </w:r>
      <w:r>
        <w:rPr>
          <w:rFonts w:ascii="仿宋" w:hAnsi="仿宋" w:eastAsia="仿宋"/>
          <w:sz w:val="32"/>
          <w:szCs w:val="32"/>
          <w:u w:val="single"/>
        </w:rPr>
        <w:t>（</w:t>
      </w:r>
      <w:r>
        <w:rPr>
          <w:rFonts w:hint="eastAsia" w:ascii="仿宋" w:hAnsi="仿宋" w:eastAsia="仿宋"/>
          <w:sz w:val="32"/>
          <w:szCs w:val="32"/>
          <w:u w:val="single"/>
        </w:rPr>
        <w:t>填写</w:t>
      </w:r>
      <w:r>
        <w:rPr>
          <w:rFonts w:ascii="仿宋" w:hAnsi="仿宋" w:eastAsia="仿宋"/>
          <w:sz w:val="32"/>
          <w:szCs w:val="32"/>
          <w:u w:val="single"/>
        </w:rPr>
        <w:t>法定代表人姓名、职务）</w:t>
      </w:r>
      <w:r>
        <w:rPr>
          <w:rFonts w:ascii="仿宋" w:hAnsi="仿宋" w:eastAsia="仿宋"/>
          <w:sz w:val="32"/>
          <w:szCs w:val="32"/>
        </w:rPr>
        <w:t>代表</w:t>
      </w:r>
      <w:r>
        <w:rPr>
          <w:rFonts w:ascii="仿宋" w:hAnsi="仿宋" w:eastAsia="仿宋"/>
          <w:sz w:val="32"/>
          <w:szCs w:val="32"/>
          <w:u w:val="single"/>
        </w:rPr>
        <w:t>（</w:t>
      </w:r>
      <w:r>
        <w:rPr>
          <w:rFonts w:hint="eastAsia" w:ascii="仿宋" w:hAnsi="仿宋" w:eastAsia="仿宋"/>
          <w:sz w:val="32"/>
          <w:szCs w:val="32"/>
          <w:u w:val="single"/>
        </w:rPr>
        <w:t>填写</w:t>
      </w:r>
      <w:r>
        <w:rPr>
          <w:rFonts w:hint="eastAsia" w:ascii="仿宋" w:hAnsi="仿宋" w:eastAsia="仿宋"/>
          <w:sz w:val="32"/>
          <w:szCs w:val="32"/>
          <w:u w:val="single"/>
          <w:lang w:eastAsia="zh-CN"/>
        </w:rPr>
        <w:t>响应人</w:t>
      </w:r>
      <w:r>
        <w:rPr>
          <w:rFonts w:ascii="仿宋" w:hAnsi="仿宋" w:eastAsia="仿宋"/>
          <w:sz w:val="32"/>
          <w:szCs w:val="32"/>
          <w:u w:val="single"/>
        </w:rPr>
        <w:t>名称）</w:t>
      </w:r>
      <w:r>
        <w:rPr>
          <w:rFonts w:ascii="仿宋" w:hAnsi="仿宋" w:eastAsia="仿宋"/>
          <w:sz w:val="32"/>
          <w:szCs w:val="32"/>
        </w:rPr>
        <w:t>委托在下面签字的</w:t>
      </w:r>
      <w:r>
        <w:rPr>
          <w:rFonts w:ascii="仿宋" w:hAnsi="仿宋" w:eastAsia="仿宋"/>
          <w:sz w:val="32"/>
          <w:szCs w:val="32"/>
          <w:u w:val="single"/>
        </w:rPr>
        <w:t>（</w:t>
      </w:r>
      <w:r>
        <w:rPr>
          <w:rFonts w:hint="eastAsia" w:ascii="仿宋" w:hAnsi="仿宋" w:eastAsia="仿宋"/>
          <w:sz w:val="32"/>
          <w:szCs w:val="32"/>
          <w:u w:val="single"/>
        </w:rPr>
        <w:t>填写</w:t>
      </w:r>
      <w:r>
        <w:rPr>
          <w:rFonts w:ascii="仿宋" w:hAnsi="仿宋" w:eastAsia="仿宋"/>
          <w:sz w:val="32"/>
          <w:szCs w:val="32"/>
          <w:u w:val="single"/>
        </w:rPr>
        <w:t>受委托人的姓名、职务）</w:t>
      </w:r>
      <w:r>
        <w:rPr>
          <w:rFonts w:ascii="仿宋" w:hAnsi="仿宋" w:eastAsia="仿宋"/>
          <w:sz w:val="32"/>
          <w:szCs w:val="32"/>
        </w:rPr>
        <w:t>为本公司的合法代表人，就</w:t>
      </w:r>
      <w:r>
        <w:rPr>
          <w:rFonts w:hint="eastAsia"/>
          <w:color w:val="000000"/>
          <w:sz w:val="32"/>
          <w:szCs w:val="32"/>
          <w:u w:val="single"/>
          <w:lang w:eastAsia="zh-CN"/>
        </w:rPr>
        <w:t>东莞市海心沙资源综合利用中心环保热电厂2025年度电机设备维修采购项目</w:t>
      </w:r>
      <w:r>
        <w:rPr>
          <w:rFonts w:ascii="仿宋" w:hAnsi="仿宋" w:eastAsia="仿宋"/>
          <w:sz w:val="32"/>
          <w:szCs w:val="32"/>
        </w:rPr>
        <w:t>的谈判和合同的</w:t>
      </w:r>
      <w:r>
        <w:rPr>
          <w:rFonts w:hint="eastAsia" w:ascii="仿宋" w:hAnsi="仿宋" w:eastAsia="仿宋"/>
          <w:sz w:val="32"/>
          <w:szCs w:val="32"/>
        </w:rPr>
        <w:t>签订、</w:t>
      </w:r>
      <w:r>
        <w:rPr>
          <w:rFonts w:ascii="仿宋" w:hAnsi="仿宋" w:eastAsia="仿宋"/>
          <w:sz w:val="32"/>
          <w:szCs w:val="32"/>
        </w:rPr>
        <w:t>执行，以我方的名义处理一切与之有关的事宜（相关身份证复印件须附后）。</w:t>
      </w:r>
    </w:p>
    <w:p w14:paraId="24591548">
      <w:pPr>
        <w:pStyle w:val="256"/>
        <w:spacing w:before="156" w:line="360" w:lineRule="auto"/>
        <w:ind w:firstLine="659"/>
        <w:rPr>
          <w:rFonts w:ascii="仿宋" w:hAnsi="仿宋" w:eastAsia="仿宋"/>
          <w:sz w:val="32"/>
          <w:szCs w:val="32"/>
        </w:rPr>
      </w:pPr>
      <w:r>
        <w:rPr>
          <w:rFonts w:ascii="仿宋" w:hAnsi="仿宋" w:eastAsia="仿宋"/>
          <w:sz w:val="32"/>
          <w:szCs w:val="32"/>
        </w:rPr>
        <w:t>本委托书于</w:t>
      </w:r>
      <w:r>
        <w:rPr>
          <w:rFonts w:ascii="仿宋" w:hAnsi="仿宋" w:eastAsia="仿宋"/>
          <w:sz w:val="32"/>
          <w:szCs w:val="32"/>
          <w:u w:val="single"/>
        </w:rPr>
        <w:t>　</w:t>
      </w:r>
      <w:r>
        <w:rPr>
          <w:rFonts w:ascii="仿宋" w:hAnsi="仿宋" w:eastAsia="仿宋"/>
          <w:sz w:val="32"/>
          <w:szCs w:val="32"/>
        </w:rPr>
        <w:t>年</w:t>
      </w:r>
      <w:r>
        <w:rPr>
          <w:rFonts w:ascii="仿宋" w:hAnsi="仿宋" w:eastAsia="仿宋"/>
          <w:sz w:val="32"/>
          <w:szCs w:val="32"/>
          <w:u w:val="single"/>
        </w:rPr>
        <w:t>　</w:t>
      </w:r>
      <w:r>
        <w:rPr>
          <w:rFonts w:ascii="仿宋" w:hAnsi="仿宋" w:eastAsia="仿宋"/>
          <w:sz w:val="32"/>
          <w:szCs w:val="32"/>
        </w:rPr>
        <w:t>月</w:t>
      </w:r>
      <w:r>
        <w:rPr>
          <w:rFonts w:ascii="仿宋" w:hAnsi="仿宋" w:eastAsia="仿宋"/>
          <w:sz w:val="32"/>
          <w:szCs w:val="32"/>
          <w:u w:val="single"/>
        </w:rPr>
        <w:t>　</w:t>
      </w:r>
      <w:r>
        <w:rPr>
          <w:rFonts w:ascii="仿宋" w:hAnsi="仿宋" w:eastAsia="仿宋"/>
          <w:sz w:val="32"/>
          <w:szCs w:val="32"/>
        </w:rPr>
        <w:t>日至</w:t>
      </w:r>
      <w:r>
        <w:rPr>
          <w:rFonts w:ascii="仿宋" w:hAnsi="仿宋" w:eastAsia="仿宋"/>
          <w:sz w:val="32"/>
          <w:szCs w:val="32"/>
          <w:u w:val="single"/>
        </w:rPr>
        <w:t>　</w:t>
      </w:r>
      <w:r>
        <w:rPr>
          <w:rFonts w:ascii="仿宋" w:hAnsi="仿宋" w:eastAsia="仿宋"/>
          <w:sz w:val="32"/>
          <w:szCs w:val="32"/>
        </w:rPr>
        <w:t>年</w:t>
      </w:r>
      <w:r>
        <w:rPr>
          <w:rFonts w:ascii="仿宋" w:hAnsi="仿宋" w:eastAsia="仿宋"/>
          <w:sz w:val="32"/>
          <w:szCs w:val="32"/>
          <w:u w:val="single"/>
        </w:rPr>
        <w:t>　</w:t>
      </w:r>
      <w:r>
        <w:rPr>
          <w:rFonts w:ascii="仿宋" w:hAnsi="仿宋" w:eastAsia="仿宋"/>
          <w:sz w:val="32"/>
          <w:szCs w:val="32"/>
        </w:rPr>
        <w:t>月</w:t>
      </w:r>
      <w:r>
        <w:rPr>
          <w:rFonts w:ascii="仿宋" w:hAnsi="仿宋" w:eastAsia="仿宋"/>
          <w:sz w:val="32"/>
          <w:szCs w:val="32"/>
          <w:u w:val="single"/>
        </w:rPr>
        <w:t>　</w:t>
      </w:r>
      <w:r>
        <w:rPr>
          <w:rFonts w:ascii="仿宋" w:hAnsi="仿宋" w:eastAsia="仿宋"/>
          <w:sz w:val="32"/>
          <w:szCs w:val="32"/>
        </w:rPr>
        <w:t>日签字生效，特此声明。</w:t>
      </w:r>
      <w:r>
        <w:rPr>
          <w:rFonts w:hint="eastAsia" w:ascii="仿宋" w:hAnsi="仿宋" w:eastAsia="仿宋"/>
          <w:sz w:val="32"/>
          <w:szCs w:val="32"/>
        </w:rPr>
        <w:t>（有效期不得少于</w:t>
      </w:r>
      <w:r>
        <w:rPr>
          <w:rFonts w:ascii="仿宋" w:hAnsi="仿宋" w:eastAsia="仿宋"/>
          <w:sz w:val="32"/>
          <w:szCs w:val="32"/>
        </w:rPr>
        <w:t>90个日历日）</w:t>
      </w:r>
    </w:p>
    <w:p w14:paraId="5B3975FA">
      <w:pPr>
        <w:pStyle w:val="256"/>
        <w:spacing w:before="156" w:line="360" w:lineRule="auto"/>
        <w:ind w:right="160" w:firstLine="0" w:firstLineChars="0"/>
        <w:rPr>
          <w:rFonts w:ascii="仿宋" w:hAnsi="仿宋" w:eastAsia="仿宋"/>
          <w:sz w:val="32"/>
          <w:szCs w:val="32"/>
        </w:rPr>
      </w:pPr>
      <w:r>
        <w:rPr>
          <w:rFonts w:hint="eastAsia" w:ascii="仿宋" w:hAnsi="仿宋" w:eastAsia="仿宋"/>
          <w:sz w:val="32"/>
          <w:szCs w:val="32"/>
          <w:lang w:eastAsia="zh-CN"/>
        </w:rPr>
        <w:t>响应人</w:t>
      </w:r>
      <w:r>
        <w:rPr>
          <w:rFonts w:ascii="仿宋" w:hAnsi="仿宋" w:eastAsia="仿宋"/>
          <w:sz w:val="32"/>
          <w:szCs w:val="32"/>
        </w:rPr>
        <w:t>名称（加盖公章）：</w:t>
      </w:r>
    </w:p>
    <w:p w14:paraId="6004E31D">
      <w:pPr>
        <w:pStyle w:val="256"/>
        <w:wordWrap w:val="0"/>
        <w:spacing w:before="156" w:line="360" w:lineRule="auto"/>
        <w:ind w:firstLine="0" w:firstLineChars="0"/>
        <w:rPr>
          <w:rFonts w:ascii="仿宋" w:hAnsi="仿宋" w:eastAsia="仿宋"/>
          <w:sz w:val="32"/>
          <w:szCs w:val="32"/>
        </w:rPr>
      </w:pPr>
      <w:r>
        <w:rPr>
          <w:rFonts w:hint="eastAsia" w:ascii="仿宋" w:hAnsi="仿宋" w:eastAsia="仿宋"/>
          <w:sz w:val="32"/>
          <w:szCs w:val="32"/>
          <w:lang w:eastAsia="zh-CN"/>
        </w:rPr>
        <w:t>响应人</w:t>
      </w:r>
      <w:r>
        <w:rPr>
          <w:rFonts w:ascii="仿宋" w:hAnsi="仿宋" w:eastAsia="仿宋"/>
          <w:sz w:val="32"/>
          <w:szCs w:val="32"/>
        </w:rPr>
        <w:t>地址：</w:t>
      </w:r>
    </w:p>
    <w:p w14:paraId="348E210D">
      <w:pPr>
        <w:pStyle w:val="256"/>
        <w:wordWrap w:val="0"/>
        <w:spacing w:before="156" w:line="360" w:lineRule="auto"/>
        <w:ind w:firstLine="0" w:firstLineChars="0"/>
        <w:rPr>
          <w:rFonts w:ascii="仿宋" w:hAnsi="仿宋" w:eastAsia="仿宋"/>
          <w:sz w:val="32"/>
          <w:szCs w:val="32"/>
        </w:rPr>
      </w:pPr>
      <w:r>
        <w:rPr>
          <w:rFonts w:ascii="仿宋" w:hAnsi="仿宋" w:eastAsia="仿宋"/>
          <w:sz w:val="32"/>
          <w:szCs w:val="32"/>
        </w:rPr>
        <w:t>法定代表人（签字或盖章）：</w:t>
      </w:r>
    </w:p>
    <w:p w14:paraId="0D9B985E">
      <w:pPr>
        <w:pStyle w:val="256"/>
        <w:wordWrap w:val="0"/>
        <w:spacing w:before="156" w:line="360" w:lineRule="auto"/>
        <w:ind w:firstLine="0" w:firstLineChars="0"/>
        <w:rPr>
          <w:rFonts w:ascii="仿宋" w:hAnsi="仿宋" w:eastAsia="仿宋"/>
          <w:sz w:val="32"/>
          <w:szCs w:val="32"/>
        </w:rPr>
      </w:pPr>
      <w:r>
        <w:rPr>
          <w:rFonts w:ascii="仿宋" w:hAnsi="仿宋" w:eastAsia="仿宋"/>
          <w:sz w:val="32"/>
          <w:szCs w:val="32"/>
        </w:rPr>
        <w:t>职务：</w:t>
      </w:r>
    </w:p>
    <w:p w14:paraId="7ECB8042">
      <w:pPr>
        <w:pStyle w:val="256"/>
        <w:wordWrap w:val="0"/>
        <w:spacing w:before="156" w:line="360" w:lineRule="auto"/>
        <w:ind w:firstLine="0" w:firstLineChars="0"/>
        <w:rPr>
          <w:rFonts w:ascii="仿宋" w:hAnsi="仿宋" w:eastAsia="仿宋"/>
          <w:sz w:val="32"/>
          <w:szCs w:val="32"/>
        </w:rPr>
      </w:pPr>
      <w:r>
        <w:rPr>
          <w:rFonts w:ascii="仿宋" w:hAnsi="仿宋" w:eastAsia="仿宋"/>
          <w:sz w:val="32"/>
          <w:szCs w:val="32"/>
        </w:rPr>
        <w:t>受委托人（签字或盖章）：</w:t>
      </w:r>
    </w:p>
    <w:p w14:paraId="0D2B4E67">
      <w:pPr>
        <w:pStyle w:val="256"/>
        <w:wordWrap w:val="0"/>
        <w:spacing w:before="156" w:line="360" w:lineRule="auto"/>
        <w:ind w:firstLine="0" w:firstLineChars="0"/>
        <w:rPr>
          <w:rFonts w:ascii="仿宋" w:hAnsi="仿宋" w:eastAsia="仿宋"/>
          <w:sz w:val="32"/>
          <w:szCs w:val="32"/>
        </w:rPr>
      </w:pPr>
      <w:r>
        <w:rPr>
          <w:rFonts w:ascii="仿宋" w:hAnsi="仿宋" w:eastAsia="仿宋"/>
          <w:sz w:val="32"/>
          <w:szCs w:val="32"/>
        </w:rPr>
        <w:t>职务：</w:t>
      </w:r>
    </w:p>
    <w:p w14:paraId="37AE0E6D">
      <w:pPr>
        <w:pStyle w:val="256"/>
        <w:spacing w:before="156" w:line="360" w:lineRule="auto"/>
        <w:ind w:firstLine="0" w:firstLineChars="0"/>
        <w:rPr>
          <w:rFonts w:ascii="仿宋" w:hAnsi="仿宋" w:eastAsia="仿宋"/>
          <w:sz w:val="32"/>
          <w:szCs w:val="32"/>
        </w:rPr>
      </w:pPr>
      <w:r>
        <w:rPr>
          <w:rFonts w:ascii="仿宋" w:hAnsi="仿宋" w:eastAsia="仿宋"/>
          <w:sz w:val="32"/>
          <w:szCs w:val="32"/>
        </w:rPr>
        <w:t>日期：</w:t>
      </w:r>
    </w:p>
    <w:p w14:paraId="587A7936">
      <w:pPr>
        <w:widowControl/>
        <w:spacing w:beforeLines="0" w:line="240" w:lineRule="auto"/>
      </w:pPr>
      <w:r>
        <w:br w:type="page"/>
      </w:r>
    </w:p>
    <w:p w14:paraId="6BD21E17">
      <w:pPr>
        <w:pStyle w:val="2"/>
        <w:spacing w:before="156"/>
        <w:ind w:left="0" w:leftChars="0" w:firstLine="0" w:firstLineChars="0"/>
        <w:jc w:val="center"/>
        <w:rPr>
          <w:rFonts w:ascii="仿宋" w:hAnsi="仿宋" w:eastAsia="仿宋"/>
          <w:kern w:val="0"/>
          <w:sz w:val="32"/>
          <w:szCs w:val="32"/>
        </w:rPr>
      </w:pPr>
      <w:r>
        <w:rPr>
          <w:rFonts w:hint="eastAsia" w:ascii="仿宋" w:hAnsi="仿宋" w:eastAsia="仿宋"/>
          <w:b/>
          <w:bCs/>
          <w:sz w:val="32"/>
          <w:szCs w:val="32"/>
        </w:rPr>
        <w:t>授权委托人</w:t>
      </w:r>
      <w:r>
        <w:rPr>
          <w:rFonts w:ascii="仿宋" w:hAnsi="仿宋" w:eastAsia="仿宋"/>
          <w:b/>
          <w:bCs/>
          <w:sz w:val="32"/>
          <w:szCs w:val="32"/>
        </w:rPr>
        <w:t>身份证复印件</w:t>
      </w:r>
      <w:r>
        <w:rPr>
          <w:rFonts w:hint="eastAsia" w:ascii="仿宋" w:hAnsi="仿宋" w:eastAsia="仿宋"/>
          <w:b/>
          <w:bCs/>
          <w:sz w:val="32"/>
          <w:szCs w:val="32"/>
        </w:rPr>
        <w:t>（加盖公章）</w:t>
      </w:r>
    </w:p>
    <w:p w14:paraId="301A2AB2">
      <w:pPr>
        <w:widowControl/>
        <w:spacing w:beforeLines="0" w:line="240" w:lineRule="auto"/>
        <w:rPr>
          <w:rFonts w:ascii="仿宋" w:hAnsi="仿宋" w:eastAsia="仿宋"/>
          <w:kern w:val="0"/>
          <w:sz w:val="32"/>
          <w:szCs w:val="32"/>
        </w:rPr>
      </w:pPr>
      <w:r>
        <w:rPr>
          <w:rFonts w:ascii="仿宋" w:hAnsi="仿宋" w:eastAsia="仿宋"/>
          <w:sz w:val="32"/>
          <w:szCs w:val="32"/>
        </w:rPr>
        <w:br w:type="page"/>
      </w:r>
    </w:p>
    <w:p w14:paraId="0E41028A">
      <w:pPr>
        <w:pStyle w:val="256"/>
        <w:spacing w:before="156" w:line="360" w:lineRule="auto"/>
        <w:ind w:firstLine="0" w:firstLineChars="0"/>
        <w:rPr>
          <w:rFonts w:ascii="仿宋" w:hAnsi="仿宋" w:eastAsia="仿宋"/>
          <w:sz w:val="32"/>
          <w:szCs w:val="32"/>
        </w:rPr>
        <w:sectPr>
          <w:footerReference r:id="rId11" w:type="default"/>
          <w:pgSz w:w="11906" w:h="16838"/>
          <w:pgMar w:top="1276" w:right="1800" w:bottom="1418" w:left="1800" w:header="851" w:footer="992" w:gutter="0"/>
          <w:cols w:space="720" w:num="1"/>
          <w:docGrid w:type="lines" w:linePitch="312" w:charSpace="0"/>
        </w:sectPr>
      </w:pPr>
    </w:p>
    <w:bookmarkEnd w:id="12"/>
    <w:p w14:paraId="73F39FEA">
      <w:pPr>
        <w:pStyle w:val="255"/>
        <w:numPr>
          <w:ilvl w:val="0"/>
          <w:numId w:val="5"/>
        </w:numPr>
        <w:spacing w:before="120"/>
        <w:ind w:left="420" w:firstLineChars="0"/>
        <w:outlineLvl w:val="1"/>
        <w:rPr>
          <w:rFonts w:ascii="宋体" w:hAnsi="宋体"/>
          <w:b/>
          <w:bCs/>
          <w:szCs w:val="40"/>
        </w:rPr>
      </w:pPr>
      <w:r>
        <w:rPr>
          <w:rFonts w:hint="eastAsia" w:ascii="宋体" w:hAnsi="宋体"/>
          <w:b/>
          <w:bCs/>
          <w:szCs w:val="40"/>
          <w:lang w:val="en-US" w:eastAsia="zh-CN"/>
        </w:rPr>
        <w:t>响应承诺函</w:t>
      </w:r>
    </w:p>
    <w:p w14:paraId="16A364B8">
      <w:pPr>
        <w:pStyle w:val="255"/>
        <w:ind w:firstLine="0" w:firstLineChars="0"/>
        <w:jc w:val="center"/>
        <w:rPr>
          <w:rFonts w:hint="eastAsia" w:eastAsia="仿宋_GB2312"/>
          <w:b/>
          <w:color w:val="000000"/>
          <w:sz w:val="32"/>
          <w:szCs w:val="32"/>
          <w:lang w:val="en-US" w:eastAsia="zh-CN"/>
        </w:rPr>
      </w:pPr>
      <w:r>
        <w:rPr>
          <w:rFonts w:hint="eastAsia" w:eastAsia="仿宋_GB2312"/>
          <w:b/>
          <w:color w:val="000000"/>
          <w:sz w:val="32"/>
          <w:szCs w:val="32"/>
          <w:lang w:val="en-US" w:eastAsia="zh-CN"/>
        </w:rPr>
        <w:t>响应</w:t>
      </w:r>
      <w:r>
        <w:rPr>
          <w:rFonts w:hint="eastAsia" w:eastAsia="仿宋_GB2312"/>
          <w:b/>
          <w:color w:val="000000"/>
          <w:sz w:val="32"/>
          <w:szCs w:val="32"/>
        </w:rPr>
        <w:t>承诺</w:t>
      </w:r>
      <w:r>
        <w:rPr>
          <w:rFonts w:hint="eastAsia" w:eastAsia="仿宋_GB2312"/>
          <w:b/>
          <w:color w:val="000000"/>
          <w:sz w:val="32"/>
          <w:szCs w:val="32"/>
          <w:lang w:val="en-US" w:eastAsia="zh-CN"/>
        </w:rPr>
        <w:t>函</w:t>
      </w:r>
    </w:p>
    <w:p w14:paraId="2FE5C05B">
      <w:pPr>
        <w:rPr>
          <w:rFonts w:eastAsia="仿宋_GB2312"/>
          <w:color w:val="000000"/>
          <w:sz w:val="32"/>
          <w:szCs w:val="32"/>
        </w:rPr>
      </w:pPr>
      <w:r>
        <w:rPr>
          <w:rFonts w:eastAsia="仿宋_GB2312"/>
          <w:color w:val="000000"/>
          <w:sz w:val="32"/>
          <w:szCs w:val="32"/>
          <w:u w:val="single"/>
        </w:rPr>
        <w:t xml:space="preserve"> </w:t>
      </w:r>
      <w:r>
        <w:rPr>
          <w:rFonts w:hint="eastAsia" w:eastAsia="仿宋_GB2312"/>
          <w:color w:val="000000"/>
          <w:sz w:val="32"/>
          <w:szCs w:val="32"/>
          <w:u w:val="single"/>
          <w:lang w:val="en-US" w:eastAsia="zh-CN"/>
        </w:rPr>
        <w:t>东莞市新东元环保投资有限公司</w:t>
      </w:r>
      <w:r>
        <w:rPr>
          <w:rFonts w:hint="eastAsia" w:eastAsia="仿宋_GB2312"/>
          <w:color w:val="000000"/>
          <w:sz w:val="32"/>
          <w:szCs w:val="32"/>
        </w:rPr>
        <w:t>：</w:t>
      </w:r>
    </w:p>
    <w:p w14:paraId="1346C534">
      <w:pPr>
        <w:pStyle w:val="256"/>
        <w:keepNext w:val="0"/>
        <w:keepLines w:val="0"/>
        <w:pageBreakBefore w:val="0"/>
        <w:widowControl w:val="0"/>
        <w:kinsoku/>
        <w:wordWrap/>
        <w:overflowPunct/>
        <w:topLinePunct w:val="0"/>
        <w:autoSpaceDE/>
        <w:autoSpaceDN/>
        <w:bidi w:val="0"/>
        <w:adjustRightInd/>
        <w:snapToGrid/>
        <w:spacing w:beforeLines="0"/>
        <w:ind w:firstLine="640" w:firstLineChars="0"/>
        <w:textAlignment w:val="auto"/>
        <w:rPr>
          <w:rFonts w:ascii="Times New Roman" w:hAnsi="Times New Roman"/>
          <w:color w:val="000000"/>
          <w:sz w:val="32"/>
          <w:szCs w:val="32"/>
        </w:rPr>
      </w:pPr>
      <w:r>
        <w:rPr>
          <w:rFonts w:hint="eastAsia" w:ascii="Times New Roman" w:hAnsi="Times New Roman"/>
          <w:color w:val="000000"/>
          <w:sz w:val="32"/>
          <w:szCs w:val="32"/>
        </w:rPr>
        <w:t>我司就参加</w:t>
      </w:r>
      <w:r>
        <w:rPr>
          <w:rFonts w:hint="eastAsia"/>
          <w:color w:val="000000"/>
          <w:sz w:val="32"/>
          <w:szCs w:val="32"/>
          <w:u w:val="single"/>
          <w:lang w:eastAsia="zh-CN"/>
        </w:rPr>
        <w:t>东莞市海心沙资源综合利用中心环保热电厂2025年度电机设备维修采购项目</w:t>
      </w:r>
      <w:r>
        <w:rPr>
          <w:rFonts w:hint="eastAsia" w:ascii="Times New Roman" w:hAnsi="Times New Roman"/>
          <w:color w:val="000000"/>
          <w:sz w:val="32"/>
          <w:szCs w:val="32"/>
          <w:u w:val="single"/>
          <w:lang w:val="en-US" w:eastAsia="zh-CN"/>
        </w:rPr>
        <w:t>报价响应</w:t>
      </w:r>
      <w:r>
        <w:rPr>
          <w:rFonts w:hint="eastAsia" w:ascii="Times New Roman" w:hAnsi="Times New Roman"/>
          <w:color w:val="000000"/>
          <w:sz w:val="32"/>
          <w:szCs w:val="32"/>
        </w:rPr>
        <w:t>，作出以下承诺：</w:t>
      </w:r>
    </w:p>
    <w:p w14:paraId="188382A1">
      <w:pPr>
        <w:pStyle w:val="256"/>
        <w:keepNext w:val="0"/>
        <w:keepLines w:val="0"/>
        <w:pageBreakBefore w:val="0"/>
        <w:widowControl w:val="0"/>
        <w:kinsoku/>
        <w:wordWrap/>
        <w:overflowPunct/>
        <w:topLinePunct w:val="0"/>
        <w:autoSpaceDE/>
        <w:autoSpaceDN/>
        <w:bidi w:val="0"/>
        <w:adjustRightInd/>
        <w:snapToGrid/>
        <w:spacing w:beforeLines="0"/>
        <w:ind w:firstLine="659"/>
        <w:textAlignment w:val="auto"/>
        <w:rPr>
          <w:rFonts w:eastAsia="仿宋"/>
          <w:color w:val="000000"/>
          <w:sz w:val="32"/>
          <w:szCs w:val="32"/>
        </w:rPr>
      </w:pPr>
      <w:r>
        <w:rPr>
          <w:rFonts w:hint="eastAsia" w:ascii="Times New Roman" w:hAnsi="Times New Roman"/>
          <w:color w:val="000000"/>
          <w:sz w:val="32"/>
          <w:szCs w:val="32"/>
        </w:rPr>
        <w:t>我公司已充分了解采购项目情况，本次报价完全响应</w:t>
      </w:r>
      <w:r>
        <w:rPr>
          <w:rFonts w:hint="eastAsia" w:ascii="Times New Roman" w:hAnsi="Times New Roman"/>
          <w:color w:val="000000"/>
          <w:sz w:val="32"/>
          <w:szCs w:val="32"/>
          <w:lang w:val="en-US" w:eastAsia="zh-CN"/>
        </w:rPr>
        <w:t>本项目采购</w:t>
      </w:r>
      <w:r>
        <w:rPr>
          <w:rFonts w:hint="eastAsia" w:ascii="Times New Roman" w:hAnsi="Times New Roman"/>
          <w:color w:val="000000"/>
          <w:sz w:val="32"/>
          <w:szCs w:val="32"/>
        </w:rPr>
        <w:t>文件</w:t>
      </w:r>
      <w:r>
        <w:rPr>
          <w:rFonts w:hint="eastAsia" w:ascii="Times New Roman" w:hAnsi="Times New Roman"/>
          <w:color w:val="000000"/>
          <w:sz w:val="32"/>
          <w:szCs w:val="32"/>
          <w:lang w:val="en-US" w:eastAsia="zh-CN"/>
        </w:rPr>
        <w:t>及其全部附件的所有</w:t>
      </w:r>
      <w:r>
        <w:rPr>
          <w:rFonts w:hint="eastAsia" w:ascii="Times New Roman" w:hAnsi="Times New Roman"/>
          <w:color w:val="000000"/>
          <w:sz w:val="32"/>
          <w:szCs w:val="32"/>
        </w:rPr>
        <w:t>要求，我公司</w:t>
      </w:r>
      <w:r>
        <w:rPr>
          <w:rFonts w:hint="eastAsia" w:ascii="Times New Roman" w:hAnsi="Times New Roman"/>
          <w:color w:val="000000"/>
          <w:sz w:val="32"/>
          <w:szCs w:val="32"/>
          <w:lang w:val="en-US" w:eastAsia="zh-CN"/>
        </w:rPr>
        <w:t>本次项目响应</w:t>
      </w:r>
      <w:r>
        <w:rPr>
          <w:rFonts w:hint="eastAsia" w:ascii="Times New Roman" w:hAnsi="Times New Roman"/>
          <w:color w:val="000000"/>
          <w:sz w:val="32"/>
          <w:szCs w:val="32"/>
        </w:rPr>
        <w:t>等于或优于采购人需求，并承诺如不满足采购人需求，采购人有权取消</w:t>
      </w:r>
      <w:r>
        <w:rPr>
          <w:rFonts w:hint="eastAsia" w:ascii="Times New Roman" w:hAnsi="Times New Roman"/>
          <w:color w:val="000000"/>
          <w:sz w:val="32"/>
          <w:szCs w:val="32"/>
          <w:lang w:val="en-US" w:eastAsia="zh-CN"/>
        </w:rPr>
        <w:t>我公司成交资格或单方面解除合同</w:t>
      </w:r>
      <w:r>
        <w:rPr>
          <w:rFonts w:hint="eastAsia" w:ascii="Times New Roman" w:hAnsi="Times New Roman"/>
          <w:color w:val="000000"/>
          <w:sz w:val="32"/>
          <w:szCs w:val="32"/>
        </w:rPr>
        <w:t>。</w:t>
      </w:r>
    </w:p>
    <w:p w14:paraId="12901E4A">
      <w:pPr>
        <w:pStyle w:val="256"/>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4A955BC0">
      <w:pPr>
        <w:pStyle w:val="25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7EF40E7A">
      <w:pPr>
        <w:pStyle w:val="25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0B61CB72">
      <w:pPr>
        <w:pStyle w:val="25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6DD1E3EA">
      <w:pPr>
        <w:pStyle w:val="256"/>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14:paraId="62B3D3E3">
      <w:pPr>
        <w:pStyle w:val="50"/>
      </w:pPr>
    </w:p>
    <w:p w14:paraId="4535EDAF">
      <w:pPr>
        <w:pStyle w:val="20"/>
      </w:pPr>
    </w:p>
    <w:p w14:paraId="21C84904">
      <w:pPr>
        <w:widowControl/>
        <w:spacing w:beforeLines="0" w:line="240" w:lineRule="auto"/>
      </w:pPr>
      <w:r>
        <w:br w:type="page"/>
      </w:r>
    </w:p>
    <w:p w14:paraId="554B3972">
      <w:pPr>
        <w:pStyle w:val="255"/>
        <w:numPr>
          <w:ilvl w:val="0"/>
          <w:numId w:val="5"/>
        </w:numPr>
        <w:spacing w:before="120"/>
        <w:ind w:left="420" w:firstLineChars="0"/>
        <w:outlineLvl w:val="1"/>
        <w:rPr>
          <w:rFonts w:hAnsi="宋体"/>
        </w:rPr>
      </w:pPr>
      <w:r>
        <w:rPr>
          <w:rFonts w:hint="eastAsia" w:ascii="宋体" w:hAnsi="宋体"/>
          <w:b/>
          <w:bCs/>
          <w:szCs w:val="40"/>
        </w:rPr>
        <w:t>合同格式</w:t>
      </w:r>
      <w:bookmarkEnd w:id="0"/>
    </w:p>
    <w:p w14:paraId="38247E30">
      <w:pPr>
        <w:pStyle w:val="255"/>
        <w:numPr>
          <w:ilvl w:val="255"/>
          <w:numId w:val="0"/>
        </w:numPr>
        <w:spacing w:before="120"/>
        <w:outlineLvl w:val="1"/>
        <w:rPr>
          <w:b/>
        </w:rPr>
      </w:pPr>
      <w:r>
        <w:rPr>
          <w:rFonts w:hint="eastAsia"/>
          <w:b/>
        </w:rPr>
        <w:t>甲方合同编号：</w:t>
      </w:r>
    </w:p>
    <w:p w14:paraId="6E1BFA16">
      <w:pPr>
        <w:pStyle w:val="46"/>
        <w:shd w:val="clear" w:color="auto" w:fill="FFFFFF"/>
        <w:spacing w:beforeAutospacing="0" w:afterAutospacing="0" w:line="560" w:lineRule="exact"/>
        <w:rPr>
          <w:b/>
        </w:rPr>
      </w:pPr>
      <w:r>
        <w:rPr>
          <w:rFonts w:hint="eastAsia"/>
          <w:b/>
        </w:rPr>
        <w:t>乙方合同编号：</w:t>
      </w:r>
    </w:p>
    <w:p w14:paraId="5C07F009">
      <w:pPr>
        <w:rPr>
          <w:rFonts w:hint="eastAsia"/>
        </w:rPr>
      </w:pPr>
    </w:p>
    <w:p w14:paraId="28950CCD">
      <w:pPr>
        <w:jc w:val="center"/>
        <w:rPr>
          <w:rFonts w:ascii="宋体" w:hAnsi="宋体"/>
        </w:rPr>
      </w:pPr>
      <w:r>
        <w:rPr>
          <w:rFonts w:hint="eastAsia" w:ascii="宋体" w:hAnsi="宋体" w:eastAsia="宋体" w:cs="微软雅黑"/>
          <w:b/>
          <w:sz w:val="32"/>
          <w:szCs w:val="32"/>
        </w:rPr>
        <w:t>东莞市海心沙资源综合利用中心环保热电厂2025年度电机设备维修采购项目</w:t>
      </w:r>
      <w:r>
        <w:rPr>
          <w:rFonts w:hint="eastAsia" w:ascii="宋体" w:hAnsi="宋体" w:cs="微软雅黑"/>
          <w:b/>
          <w:sz w:val="32"/>
          <w:szCs w:val="32"/>
        </w:rPr>
        <w:t>合同</w:t>
      </w:r>
    </w:p>
    <w:p w14:paraId="5F4D3E33">
      <w:pPr>
        <w:ind w:firstLine="4320" w:firstLineChars="1800"/>
        <w:rPr>
          <w:rFonts w:hint="eastAsia"/>
        </w:rPr>
      </w:pPr>
    </w:p>
    <w:p w14:paraId="5188FBB6">
      <w:pPr>
        <w:snapToGrid w:val="0"/>
        <w:spacing w:line="360" w:lineRule="auto"/>
        <w:rPr>
          <w:rFonts w:hint="eastAsia" w:ascii="宋体" w:hAnsi="宋体"/>
        </w:rPr>
      </w:pPr>
    </w:p>
    <w:p w14:paraId="6FC96AA7">
      <w:pPr>
        <w:snapToGrid w:val="0"/>
        <w:spacing w:line="360" w:lineRule="auto"/>
        <w:rPr>
          <w:rFonts w:ascii="宋体" w:hAnsi="宋体"/>
        </w:rPr>
      </w:pPr>
    </w:p>
    <w:p w14:paraId="0437EA6C">
      <w:pPr>
        <w:rPr>
          <w:rFonts w:hint="eastAsia" w:ascii="宋体" w:hAnsi="宋体" w:cs="宋体"/>
          <w:b/>
          <w:bCs/>
          <w:szCs w:val="21"/>
        </w:rPr>
      </w:pPr>
      <w:r>
        <w:rPr>
          <w:rFonts w:hint="eastAsia" w:ascii="宋体" w:hAnsi="宋体" w:cs="宋体"/>
          <w:b/>
          <w:bCs/>
          <w:szCs w:val="21"/>
        </w:rPr>
        <w:br w:type="page"/>
      </w:r>
    </w:p>
    <w:p w14:paraId="308F4474">
      <w:pPr>
        <w:snapToGrid w:val="0"/>
        <w:spacing w:line="360" w:lineRule="auto"/>
        <w:rPr>
          <w:rFonts w:ascii="宋体" w:hAnsi="宋体" w:cs="宋体"/>
          <w:b/>
          <w:bCs/>
          <w:szCs w:val="21"/>
        </w:rPr>
      </w:pPr>
      <w:r>
        <w:rPr>
          <w:rFonts w:hint="eastAsia" w:ascii="宋体" w:hAnsi="宋体" w:cs="宋体"/>
          <w:b/>
          <w:bCs/>
          <w:szCs w:val="21"/>
        </w:rPr>
        <w:t xml:space="preserve">甲方：东莞市新东元环保投资有限公司 </w:t>
      </w:r>
      <w:r>
        <w:rPr>
          <w:rFonts w:ascii="宋体" w:hAnsi="宋体" w:cs="宋体"/>
          <w:b/>
          <w:bCs/>
          <w:szCs w:val="21"/>
        </w:rPr>
        <w:t xml:space="preserve">                      </w:t>
      </w:r>
    </w:p>
    <w:p w14:paraId="141ABE10">
      <w:pPr>
        <w:snapToGrid w:val="0"/>
        <w:spacing w:line="360" w:lineRule="auto"/>
        <w:rPr>
          <w:rFonts w:hint="eastAsia" w:ascii="宋体" w:hAnsi="宋体" w:eastAsia="宋体" w:cs="宋体"/>
          <w:szCs w:val="21"/>
          <w:u w:val="single"/>
          <w:lang w:val="en-US" w:eastAsia="zh-CN"/>
        </w:rPr>
      </w:pPr>
      <w:r>
        <w:rPr>
          <w:rFonts w:hint="eastAsia" w:ascii="宋体" w:hAnsi="宋体"/>
          <w:szCs w:val="21"/>
        </w:rPr>
        <w:t>法定代表人：</w:t>
      </w:r>
      <w:r>
        <w:rPr>
          <w:rFonts w:hint="eastAsia" w:ascii="宋体" w:hAnsi="宋体"/>
          <w:szCs w:val="21"/>
          <w:lang w:val="en-US" w:eastAsia="zh-CN"/>
        </w:rPr>
        <w:t>雷鸣</w:t>
      </w:r>
    </w:p>
    <w:p w14:paraId="2A730A1B">
      <w:pPr>
        <w:snapToGrid w:val="0"/>
        <w:spacing w:line="360" w:lineRule="auto"/>
        <w:rPr>
          <w:rFonts w:ascii="宋体" w:hAnsi="宋体" w:cs="宋体"/>
          <w:b/>
          <w:bCs/>
          <w:szCs w:val="21"/>
        </w:rPr>
      </w:pPr>
      <w:r>
        <w:rPr>
          <w:rFonts w:hint="eastAsia" w:ascii="宋体" w:hAnsi="宋体" w:cs="宋体"/>
          <w:b/>
          <w:bCs/>
          <w:szCs w:val="21"/>
        </w:rPr>
        <w:t xml:space="preserve">乙方： </w:t>
      </w:r>
      <w:r>
        <w:rPr>
          <w:rFonts w:ascii="宋体" w:hAnsi="宋体" w:cs="宋体"/>
          <w:b/>
          <w:bCs/>
          <w:szCs w:val="21"/>
        </w:rPr>
        <w:t xml:space="preserve">                      </w:t>
      </w:r>
    </w:p>
    <w:p w14:paraId="5D77557B">
      <w:pPr>
        <w:snapToGrid w:val="0"/>
        <w:spacing w:line="360" w:lineRule="auto"/>
        <w:rPr>
          <w:rFonts w:ascii="宋体" w:hAnsi="宋体" w:cs="宋体"/>
          <w:bCs/>
          <w:szCs w:val="21"/>
          <w:u w:val="single"/>
        </w:rPr>
      </w:pPr>
      <w:r>
        <w:rPr>
          <w:rFonts w:hint="eastAsia" w:ascii="宋体" w:hAnsi="宋体"/>
          <w:szCs w:val="21"/>
        </w:rPr>
        <w:t>法定代表人：</w:t>
      </w:r>
    </w:p>
    <w:p w14:paraId="7847328D">
      <w:pPr>
        <w:snapToGrid w:val="0"/>
        <w:spacing w:line="360" w:lineRule="auto"/>
        <w:ind w:firstLine="480" w:firstLineChars="200"/>
        <w:rPr>
          <w:rFonts w:hint="eastAsia" w:ascii="宋体" w:hAnsi="宋体" w:cs="宋体"/>
          <w:szCs w:val="21"/>
        </w:rPr>
      </w:pPr>
      <w:r>
        <w:rPr>
          <w:rFonts w:hint="eastAsia" w:ascii="宋体" w:hAnsi="宋体" w:cs="宋体"/>
          <w:szCs w:val="21"/>
        </w:rPr>
        <w:t>依照《中华人民共和国民法典》及其他有关法律法规，遵循平等、自愿、公平和诚实信用的原则，双方就东莞市海心沙资源综合利用中心环保热电厂2025年度电机设备维修采购项目有关事项协商一致，特订立本合同，由甲乙双方共同遵守履行。</w:t>
      </w:r>
    </w:p>
    <w:p w14:paraId="019BF9B7">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一、服务内容及范围</w:t>
      </w:r>
    </w:p>
    <w:p w14:paraId="2E1FEFD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default" w:ascii="宋体" w:hAnsi="宋体" w:cs="宋体"/>
          <w:szCs w:val="21"/>
        </w:rPr>
      </w:pPr>
      <w:r>
        <w:rPr>
          <w:rFonts w:hint="eastAsia" w:ascii="宋体" w:hAnsi="宋体" w:cs="宋体"/>
          <w:szCs w:val="21"/>
        </w:rPr>
        <w:t>1、服务内容及范围具体详见附件《东莞市海心沙资源综合利用中心环保热电厂2025年度电机设备维修采购项目</w:t>
      </w:r>
      <w:r>
        <w:rPr>
          <w:rFonts w:hint="eastAsia" w:ascii="宋体" w:hAnsi="宋体" w:cs="宋体"/>
          <w:szCs w:val="21"/>
          <w:lang w:val="en-US" w:eastAsia="zh-CN"/>
        </w:rPr>
        <w:t>技术</w:t>
      </w:r>
      <w:r>
        <w:rPr>
          <w:rFonts w:hint="eastAsia" w:ascii="宋体" w:hAnsi="宋体" w:cs="宋体"/>
          <w:szCs w:val="21"/>
        </w:rPr>
        <w:t>需求书》</w:t>
      </w:r>
      <w:r>
        <w:rPr>
          <w:rFonts w:hint="eastAsia" w:ascii="宋体" w:hAnsi="宋体" w:cs="宋体"/>
          <w:szCs w:val="21"/>
          <w:lang w:eastAsia="zh-CN"/>
        </w:rPr>
        <w:t>。</w:t>
      </w:r>
      <w:r>
        <w:rPr>
          <w:rFonts w:hint="eastAsia" w:ascii="宋体" w:hAnsi="宋体" w:cs="宋体"/>
          <w:szCs w:val="21"/>
          <w:lang w:val="en-US" w:eastAsia="zh-CN"/>
        </w:rPr>
        <w:t>乙方以包工包料、包工期、包质量、包安全文明施工、包验收、包保修的承包方式承接本项目。</w:t>
      </w:r>
    </w:p>
    <w:p w14:paraId="0BD05374">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 xml:space="preserve">2、服务地点： 东莞市麻涌镇大步村海心沙岛  </w:t>
      </w:r>
    </w:p>
    <w:p w14:paraId="7DFCE5C4">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w:t>
      </w:r>
      <w:r>
        <w:rPr>
          <w:rFonts w:hint="eastAsia" w:ascii="宋体" w:hAnsi="宋体" w:cs="宋体"/>
          <w:szCs w:val="21"/>
          <w:lang w:val="en-US" w:eastAsia="zh-CN"/>
        </w:rPr>
        <w:t>合同期及</w:t>
      </w:r>
      <w:r>
        <w:rPr>
          <w:rFonts w:hint="eastAsia" w:ascii="宋体" w:hAnsi="宋体" w:cs="宋体"/>
          <w:szCs w:val="21"/>
        </w:rPr>
        <w:t>工期：合同期自合同签订之日起为期一年。乙方自收到甲方单项维修通知之日起5-7个日历天内完成单次电机维修工作</w:t>
      </w:r>
      <w:r>
        <w:rPr>
          <w:rFonts w:hint="eastAsia" w:ascii="宋体" w:hAnsi="宋体" w:cs="宋体"/>
          <w:szCs w:val="21"/>
          <w:lang w:val="en-US" w:eastAsia="zh-CN"/>
        </w:rPr>
        <w:t>并经甲方验收合格</w:t>
      </w:r>
      <w:r>
        <w:rPr>
          <w:rFonts w:hint="eastAsia" w:ascii="宋体" w:hAnsi="宋体" w:cs="宋体"/>
          <w:szCs w:val="21"/>
        </w:rPr>
        <w:t>（以甲方实际通知工期为准）。</w:t>
      </w:r>
    </w:p>
    <w:p w14:paraId="285B1132">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p>
    <w:p w14:paraId="6BE04A76">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二、质量要求及验收</w:t>
      </w:r>
    </w:p>
    <w:p w14:paraId="729AECBA">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1、质量要求</w:t>
      </w:r>
    </w:p>
    <w:p w14:paraId="4A8AD62D">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1.1乙方的维修工作须符合国家、行业或项目所在地现行有效的施工验收规范和相关法规、规定；以及本合同（含附件）约定的技术和质量要求。质量达到国家或行业的质量检验评定的合格标准。</w:t>
      </w:r>
    </w:p>
    <w:p w14:paraId="2B2F91D7">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1.2乙方主要项目施工材料进场，应经甲方人员检查验收，合格者方可用于项目中，如发现不合格或与经甲方确认的材料品牌规格不相符者，乙方必须及时更换，由此造成的损失由乙方承担。</w:t>
      </w:r>
    </w:p>
    <w:p w14:paraId="738499D4">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2、验收</w:t>
      </w:r>
    </w:p>
    <w:p w14:paraId="16AB9A1E">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2.1乙方完成全部维修工作后，乙方及时与甲方联系，确定验收日期，甲方组织双方参加的项目验收。</w:t>
      </w:r>
    </w:p>
    <w:p w14:paraId="1F63FBC1">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如验收不合格的，甲方应在验收之日起5天内提出整改意见，乙方应在甲方指定时间内整改至达到合格标准为止，并承担相应的费用。如乙方不整改或经整改后项目质量仍达不到合格标准，甲方有权委托第三方进行整改，因此产生的费用由乙方承担，且甲方有权在应付给乙方的款项中扣除。</w:t>
      </w:r>
    </w:p>
    <w:p w14:paraId="01367E12">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如验收合格的，甲乙双方应在验收资料上盖章并做好移交手续。</w:t>
      </w:r>
    </w:p>
    <w:p w14:paraId="2AB3C5F9">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2.2双方对项目的验收，不能免除乙方提交合格工程的责任。项目验收后如发现属于乙方施工质量问题的事项，乙方仍应免费维修，否则应承担赔偿责任。</w:t>
      </w:r>
    </w:p>
    <w:p w14:paraId="26FD6F51">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三、合同价款及支付</w:t>
      </w:r>
    </w:p>
    <w:p w14:paraId="4C0E4527">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1、本合同为固定单价包干，</w:t>
      </w:r>
      <w:r>
        <w:rPr>
          <w:rFonts w:hint="eastAsia" w:ascii="宋体" w:hAnsi="宋体" w:cs="宋体"/>
          <w:szCs w:val="21"/>
          <w:lang w:val="en-US" w:eastAsia="zh-CN"/>
        </w:rPr>
        <w:t>暂定总价￥150,000.00元，合同固定单价详见合同附件《项目清单》，按实结算。本合同固定单价包括但不限于：完成本项目的税费（税率   %）、施工费、人工费、材料费、辅材费、机械费、运输费、措施费、保险费、预算包干费、服务费等在项目实施过程中可能产生的一切费用。乙方已充分考虑了本项目实际施工内容及要求描述工作量可能与最终实际工作量存在差距的风险</w:t>
      </w:r>
      <w:r>
        <w:rPr>
          <w:rFonts w:hint="eastAsia" w:ascii="宋体" w:hAnsi="宋体" w:cs="宋体"/>
          <w:szCs w:val="21"/>
        </w:rPr>
        <w:t>，在合同固定</w:t>
      </w:r>
      <w:r>
        <w:rPr>
          <w:rFonts w:hint="eastAsia" w:ascii="宋体" w:hAnsi="宋体" w:cs="宋体"/>
          <w:szCs w:val="21"/>
          <w:lang w:val="en-US" w:eastAsia="zh-CN"/>
        </w:rPr>
        <w:t>单价中</w:t>
      </w:r>
      <w:r>
        <w:rPr>
          <w:rFonts w:hint="eastAsia" w:ascii="宋体" w:hAnsi="宋体" w:cs="宋体"/>
          <w:szCs w:val="21"/>
        </w:rPr>
        <w:t>内已</w:t>
      </w:r>
      <w:r>
        <w:rPr>
          <w:rFonts w:hint="eastAsia" w:ascii="宋体" w:hAnsi="宋体" w:cs="宋体"/>
          <w:szCs w:val="21"/>
          <w:lang w:val="en-US" w:eastAsia="zh-CN"/>
        </w:rPr>
        <w:t>对本合同履约进行</w:t>
      </w:r>
      <w:r>
        <w:rPr>
          <w:rFonts w:hint="eastAsia" w:ascii="宋体" w:hAnsi="宋体" w:cs="宋体"/>
          <w:szCs w:val="21"/>
        </w:rPr>
        <w:t>充分考虑，甲方不予调整</w:t>
      </w:r>
      <w:r>
        <w:rPr>
          <w:rFonts w:hint="eastAsia" w:ascii="宋体" w:hAnsi="宋体" w:cs="宋体"/>
          <w:szCs w:val="21"/>
          <w:lang w:val="en-US" w:eastAsia="zh-CN"/>
        </w:rPr>
        <w:t>合同价格</w:t>
      </w:r>
      <w:r>
        <w:rPr>
          <w:rFonts w:hint="eastAsia" w:ascii="宋体" w:hAnsi="宋体" w:cs="宋体"/>
          <w:szCs w:val="21"/>
        </w:rPr>
        <w:t>。如遇国家调整税率，不含税合同款不予调整，税金按调整后税率及相关细则执行。</w:t>
      </w:r>
    </w:p>
    <w:p w14:paraId="4B34A0AD">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2、支付方式：</w:t>
      </w:r>
    </w:p>
    <w:p w14:paraId="56C19274">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2.1合同签订后，</w:t>
      </w:r>
      <w:r>
        <w:rPr>
          <w:rFonts w:hint="eastAsia" w:ascii="宋体" w:hAnsi="宋体" w:cs="宋体"/>
          <w:szCs w:val="21"/>
          <w:lang w:val="en-US" w:eastAsia="zh-CN"/>
        </w:rPr>
        <w:t>乙方</w:t>
      </w:r>
      <w:r>
        <w:rPr>
          <w:rFonts w:hint="eastAsia" w:ascii="宋体" w:hAnsi="宋体" w:cs="宋体"/>
          <w:szCs w:val="21"/>
        </w:rPr>
        <w:t>完成单次电机维修工作并经甲方验收合格后，</w:t>
      </w:r>
      <w:r>
        <w:rPr>
          <w:rFonts w:hint="eastAsia" w:ascii="宋体" w:hAnsi="宋体" w:cs="宋体"/>
          <w:szCs w:val="21"/>
          <w:lang w:val="en-US" w:eastAsia="zh-CN"/>
        </w:rPr>
        <w:t>乙方</w:t>
      </w:r>
      <w:r>
        <w:rPr>
          <w:rFonts w:hint="eastAsia" w:ascii="宋体" w:hAnsi="宋体" w:cs="宋体"/>
          <w:szCs w:val="21"/>
        </w:rPr>
        <w:t>按合同价款提交该次电机维修金额100%的增值税专用发票及请款资料，</w:t>
      </w:r>
      <w:r>
        <w:rPr>
          <w:rFonts w:hint="eastAsia" w:ascii="宋体" w:hAnsi="宋体" w:cs="宋体"/>
          <w:szCs w:val="21"/>
          <w:lang w:val="en-US" w:eastAsia="zh-CN"/>
        </w:rPr>
        <w:t>甲方</w:t>
      </w:r>
      <w:r>
        <w:rPr>
          <w:rFonts w:hint="eastAsia" w:ascii="宋体" w:hAnsi="宋体" w:cs="宋体"/>
          <w:szCs w:val="21"/>
        </w:rPr>
        <w:t>在收到上述有效资料之日起20个工作日内支付该次电机维修费用的97%；</w:t>
      </w:r>
    </w:p>
    <w:p w14:paraId="69FA474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2、剩余结算</w:t>
      </w:r>
      <w:r>
        <w:rPr>
          <w:rFonts w:hint="eastAsia" w:ascii="宋体" w:hAnsi="宋体" w:cs="宋体"/>
          <w:szCs w:val="21"/>
          <w:lang w:val="en-US" w:eastAsia="zh-CN"/>
        </w:rPr>
        <w:t>金额的</w:t>
      </w:r>
      <w:r>
        <w:rPr>
          <w:rFonts w:hint="eastAsia" w:ascii="宋体" w:hAnsi="宋体" w:cs="宋体"/>
          <w:szCs w:val="21"/>
        </w:rPr>
        <w:t>3%为质保金，在本项目最后一批次电机维修质保期满、</w:t>
      </w:r>
      <w:r>
        <w:rPr>
          <w:rFonts w:hint="eastAsia" w:ascii="宋体" w:hAnsi="宋体" w:cs="宋体"/>
          <w:szCs w:val="21"/>
          <w:lang w:val="en-US" w:eastAsia="zh-CN"/>
        </w:rPr>
        <w:t>乙方</w:t>
      </w:r>
      <w:r>
        <w:rPr>
          <w:rFonts w:hint="eastAsia" w:ascii="宋体" w:hAnsi="宋体" w:cs="宋体"/>
          <w:szCs w:val="21"/>
        </w:rPr>
        <w:t>完成全部质保服务且</w:t>
      </w:r>
      <w:r>
        <w:rPr>
          <w:rFonts w:hint="eastAsia" w:ascii="宋体" w:hAnsi="宋体" w:cs="宋体"/>
          <w:szCs w:val="21"/>
          <w:lang w:val="en-US" w:eastAsia="zh-CN"/>
        </w:rPr>
        <w:t>乙方</w:t>
      </w:r>
      <w:r>
        <w:rPr>
          <w:rFonts w:hint="eastAsia" w:ascii="宋体" w:hAnsi="宋体" w:cs="宋体"/>
          <w:szCs w:val="21"/>
        </w:rPr>
        <w:t>办理完项目结算后，</w:t>
      </w:r>
      <w:r>
        <w:rPr>
          <w:rFonts w:hint="eastAsia" w:ascii="宋体" w:hAnsi="宋体" w:cs="宋体"/>
          <w:szCs w:val="21"/>
          <w:lang w:val="en-US" w:eastAsia="zh-CN"/>
        </w:rPr>
        <w:t>乙方</w:t>
      </w:r>
      <w:r>
        <w:rPr>
          <w:rFonts w:hint="eastAsia" w:ascii="宋体" w:hAnsi="宋体" w:cs="宋体"/>
          <w:szCs w:val="21"/>
        </w:rPr>
        <w:t>提交请款资料，</w:t>
      </w:r>
      <w:r>
        <w:rPr>
          <w:rFonts w:hint="eastAsia" w:ascii="宋体" w:hAnsi="宋体" w:cs="宋体"/>
          <w:szCs w:val="21"/>
          <w:lang w:val="en-US" w:eastAsia="zh-CN"/>
        </w:rPr>
        <w:t>甲方</w:t>
      </w:r>
      <w:r>
        <w:rPr>
          <w:rFonts w:hint="eastAsia" w:ascii="宋体" w:hAnsi="宋体" w:cs="宋体"/>
          <w:szCs w:val="21"/>
        </w:rPr>
        <w:t>在收到上述有效资料之日起20个工作日内完成向</w:t>
      </w:r>
      <w:r>
        <w:rPr>
          <w:rFonts w:hint="eastAsia" w:ascii="宋体" w:hAnsi="宋体" w:cs="宋体"/>
          <w:szCs w:val="21"/>
          <w:lang w:val="en-US" w:eastAsia="zh-CN"/>
        </w:rPr>
        <w:t>乙方</w:t>
      </w:r>
      <w:r>
        <w:rPr>
          <w:rFonts w:hint="eastAsia" w:ascii="宋体" w:hAnsi="宋体" w:cs="宋体"/>
          <w:szCs w:val="21"/>
        </w:rPr>
        <w:t>支付至该项目结算金额的100%。</w:t>
      </w:r>
    </w:p>
    <w:p w14:paraId="3AEB896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 xml:space="preserve"> 2.</w:t>
      </w:r>
      <w:r>
        <w:rPr>
          <w:rFonts w:hint="eastAsia" w:ascii="宋体" w:hAnsi="宋体" w:cs="宋体"/>
          <w:szCs w:val="21"/>
          <w:lang w:val="en-US" w:eastAsia="zh-CN"/>
        </w:rPr>
        <w:t>2</w:t>
      </w:r>
      <w:r>
        <w:rPr>
          <w:rFonts w:hint="eastAsia" w:ascii="宋体" w:hAnsi="宋体" w:cs="宋体"/>
          <w:szCs w:val="21"/>
        </w:rPr>
        <w:t xml:space="preserve"> 乙方的收款账户如下：</w:t>
      </w:r>
    </w:p>
    <w:p w14:paraId="7A67625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 xml:space="preserve">开户银行地址：          </w:t>
      </w:r>
    </w:p>
    <w:p w14:paraId="386DD6C1">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 xml:space="preserve">收款单位账号： </w:t>
      </w:r>
    </w:p>
    <w:p w14:paraId="17D0195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 xml:space="preserve">收款单位名称：  </w:t>
      </w:r>
    </w:p>
    <w:p w14:paraId="66193E1E">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因乙方提供的收款账户信息错误或乙方擅自变更收款账户信息而未及时书面通知甲方，导致甲方付款迟延的，甲方无需承担迟延付款责任。</w:t>
      </w:r>
    </w:p>
    <w:p w14:paraId="1C3E6852">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3、乙方应于合同签订之日向甲方缴纳的履约保证金¥</w:t>
      </w:r>
      <w:r>
        <w:rPr>
          <w:rFonts w:hint="eastAsia" w:ascii="宋体" w:hAnsi="宋体" w:cs="宋体"/>
          <w:szCs w:val="21"/>
          <w:lang w:val="en-US" w:eastAsia="zh-CN"/>
        </w:rPr>
        <w:t>10,000.00</w:t>
      </w:r>
      <w:r>
        <w:rPr>
          <w:rFonts w:hint="eastAsia" w:ascii="宋体" w:hAnsi="宋体" w:cs="宋体"/>
          <w:szCs w:val="21"/>
        </w:rPr>
        <w:t>元（大写：人民币</w:t>
      </w:r>
      <w:r>
        <w:rPr>
          <w:rFonts w:hint="eastAsia" w:ascii="宋体" w:hAnsi="宋体" w:cs="宋体"/>
          <w:szCs w:val="21"/>
          <w:lang w:val="en-US" w:eastAsia="zh-CN"/>
        </w:rPr>
        <w:t>壹万 元整</w:t>
      </w:r>
      <w:r>
        <w:rPr>
          <w:rFonts w:hint="eastAsia" w:ascii="宋体" w:hAnsi="宋体" w:cs="宋体"/>
          <w:szCs w:val="21"/>
        </w:rPr>
        <w:t>），作为本合同履约的担保。</w:t>
      </w:r>
      <w:r>
        <w:rPr>
          <w:rFonts w:hint="eastAsia" w:ascii="宋体" w:hAnsi="宋体" w:cs="宋体"/>
          <w:szCs w:val="21"/>
          <w:lang w:val="en-US" w:eastAsia="zh-CN"/>
        </w:rPr>
        <w:t>乙方</w:t>
      </w:r>
      <w:r>
        <w:rPr>
          <w:rFonts w:hint="eastAsia" w:ascii="宋体" w:hAnsi="宋体" w:cs="宋体"/>
          <w:szCs w:val="21"/>
        </w:rPr>
        <w:t>缴存的履约保证金作为</w:t>
      </w:r>
      <w:r>
        <w:rPr>
          <w:rFonts w:hint="eastAsia" w:ascii="宋体" w:hAnsi="宋体" w:cs="宋体"/>
          <w:szCs w:val="21"/>
          <w:lang w:val="en-US" w:eastAsia="zh-CN"/>
        </w:rPr>
        <w:t>甲方</w:t>
      </w:r>
      <w:r>
        <w:rPr>
          <w:rFonts w:hint="eastAsia" w:ascii="宋体" w:hAnsi="宋体" w:cs="宋体"/>
          <w:szCs w:val="21"/>
        </w:rPr>
        <w:t>垫付</w:t>
      </w:r>
      <w:r>
        <w:rPr>
          <w:rFonts w:hint="eastAsia" w:ascii="宋体" w:hAnsi="宋体" w:cs="宋体"/>
          <w:szCs w:val="21"/>
          <w:lang w:val="en-US" w:eastAsia="zh-CN"/>
        </w:rPr>
        <w:t>乙方在</w:t>
      </w:r>
      <w:r>
        <w:rPr>
          <w:rFonts w:hint="eastAsia" w:ascii="宋体" w:hAnsi="宋体" w:cs="宋体"/>
          <w:szCs w:val="21"/>
        </w:rPr>
        <w:t>服务过程中产生应由</w:t>
      </w:r>
      <w:r>
        <w:rPr>
          <w:rFonts w:hint="eastAsia" w:ascii="宋体" w:hAnsi="宋体" w:cs="宋体"/>
          <w:szCs w:val="21"/>
          <w:lang w:val="en-US" w:eastAsia="zh-CN"/>
        </w:rPr>
        <w:t>乙方</w:t>
      </w:r>
      <w:r>
        <w:rPr>
          <w:rFonts w:hint="eastAsia" w:ascii="宋体" w:hAnsi="宋体" w:cs="宋体"/>
          <w:szCs w:val="21"/>
        </w:rPr>
        <w:t>支付的费用或违约罚款的来源。履约保证金返还申请时间为项目合同期满且</w:t>
      </w:r>
      <w:r>
        <w:rPr>
          <w:rFonts w:hint="eastAsia" w:ascii="宋体" w:hAnsi="宋体" w:cs="宋体"/>
          <w:szCs w:val="21"/>
          <w:lang w:val="en-US" w:eastAsia="zh-CN"/>
        </w:rPr>
        <w:t>乙方</w:t>
      </w:r>
      <w:r>
        <w:rPr>
          <w:rFonts w:hint="eastAsia" w:ascii="宋体" w:hAnsi="宋体" w:cs="宋体"/>
          <w:szCs w:val="21"/>
        </w:rPr>
        <w:t>完成全部电机维修工作并经</w:t>
      </w:r>
      <w:r>
        <w:rPr>
          <w:rFonts w:hint="eastAsia" w:ascii="宋体" w:hAnsi="宋体" w:cs="宋体"/>
          <w:szCs w:val="21"/>
          <w:lang w:val="en-US" w:eastAsia="zh-CN"/>
        </w:rPr>
        <w:t>甲方</w:t>
      </w:r>
      <w:r>
        <w:rPr>
          <w:rFonts w:hint="eastAsia" w:ascii="宋体" w:hAnsi="宋体" w:cs="宋体"/>
          <w:szCs w:val="21"/>
        </w:rPr>
        <w:t>验收合格之日后，</w:t>
      </w:r>
      <w:r>
        <w:rPr>
          <w:rFonts w:hint="eastAsia" w:ascii="宋体" w:hAnsi="宋体" w:cs="宋体"/>
          <w:szCs w:val="21"/>
          <w:lang w:val="en-US" w:eastAsia="zh-CN"/>
        </w:rPr>
        <w:t>乙方</w:t>
      </w:r>
      <w:r>
        <w:rPr>
          <w:rFonts w:hint="eastAsia" w:ascii="宋体" w:hAnsi="宋体" w:cs="宋体"/>
          <w:szCs w:val="21"/>
        </w:rPr>
        <w:t>没有任何违约的情况下由</w:t>
      </w:r>
      <w:r>
        <w:rPr>
          <w:rFonts w:hint="eastAsia" w:ascii="宋体" w:hAnsi="宋体" w:cs="宋体"/>
          <w:szCs w:val="21"/>
          <w:lang w:val="en-US" w:eastAsia="zh-CN"/>
        </w:rPr>
        <w:t>乙方</w:t>
      </w:r>
      <w:r>
        <w:rPr>
          <w:rFonts w:hint="eastAsia" w:ascii="宋体" w:hAnsi="宋体" w:cs="宋体"/>
          <w:szCs w:val="21"/>
        </w:rPr>
        <w:t>提交退款申请，收到</w:t>
      </w:r>
      <w:r>
        <w:rPr>
          <w:rFonts w:hint="eastAsia" w:ascii="宋体" w:hAnsi="宋体" w:cs="宋体"/>
          <w:szCs w:val="21"/>
          <w:lang w:val="en-US" w:eastAsia="zh-CN"/>
        </w:rPr>
        <w:t>乙方</w:t>
      </w:r>
      <w:r>
        <w:rPr>
          <w:rFonts w:hint="eastAsia" w:ascii="宋体" w:hAnsi="宋体" w:cs="宋体"/>
          <w:szCs w:val="21"/>
        </w:rPr>
        <w:t>申请后30个日历日内，</w:t>
      </w:r>
      <w:r>
        <w:rPr>
          <w:rFonts w:hint="eastAsia" w:ascii="宋体" w:hAnsi="宋体" w:cs="宋体"/>
          <w:szCs w:val="21"/>
          <w:lang w:val="en-US" w:eastAsia="zh-CN"/>
        </w:rPr>
        <w:t>甲方</w:t>
      </w:r>
      <w:r>
        <w:rPr>
          <w:rFonts w:hint="eastAsia" w:ascii="宋体" w:hAnsi="宋体" w:cs="宋体"/>
          <w:szCs w:val="21"/>
        </w:rPr>
        <w:t>一次性无息退回。若因乙方原因导致本合同提前终止或解除的，甲方有权没收履约保证金。</w:t>
      </w:r>
    </w:p>
    <w:p w14:paraId="4D479E02">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四、甲方义务</w:t>
      </w:r>
    </w:p>
    <w:p w14:paraId="7840F1D8">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1、委派现场代表       负责对本项目进行全面管理，解决项目实施过程中出现的需要甲方协调的相关问题，并参与项目验收工作。如变更现场代表应及时通知乙方。</w:t>
      </w:r>
    </w:p>
    <w:p w14:paraId="216379E9">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2、协助乙方做好项目现场准备工作，及时与乙方沟通协调，为乙方的实施维修工作提供必要条件。</w:t>
      </w:r>
    </w:p>
    <w:p w14:paraId="7D76B246">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3、乙方维修工作完成后，及时做好验收交接工作。</w:t>
      </w:r>
    </w:p>
    <w:p w14:paraId="73A82828">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4、按合同约定的付款、结算方式及时支付合同款，积极协助乙方做好合同款项支付手续流程工作。</w:t>
      </w:r>
    </w:p>
    <w:p w14:paraId="36442F47">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五、乙方义务</w:t>
      </w:r>
    </w:p>
    <w:p w14:paraId="7A8172D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1、委派现场代表           （联系方式：   ）负责项目实施期间的全面管理，如变更现场代表应事先经甲方书面同意。</w:t>
      </w:r>
    </w:p>
    <w:p w14:paraId="4B77AA63">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及时主动与甲方现场人员沟通好现场施工前准备工作，认真按照合同内容及技术要求，按时按质完成承包范围内的施工工作，按甲方要求的格式书面提请办理验收和确认手续，并做好资料移交、现场操作技术培训工作。</w:t>
      </w:r>
    </w:p>
    <w:p w14:paraId="7B288778">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3、按甲方需求，及时提供施工需要的施工图纸及相关资料（如有）。</w:t>
      </w:r>
    </w:p>
    <w:p w14:paraId="388994B3">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4、按相关国家相关法律法规、安全规范、防火安全规定、进行安全施工，项目实施过程中一切安全责任均由乙方负责。乙方在施工过程中保证一切的安全，由于施工造成安全事故，造成甲方、乙方及第三方任何人员或财产损害，或引发其他争议纠纷，责任由乙方承担。如因此造成甲方损失的，乙方应当全额赔偿。如因此导致工期延迟的，乙方还应按照约定承担相应工期延迟责任。</w:t>
      </w:r>
    </w:p>
    <w:p w14:paraId="7D6B2D80">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5、乙方在甲方现场内施工时，服从甲方的全面管理，应遵守甲方各项安全及其他相关制度，如有违反，按甲方相关制度规定进行处罚。</w:t>
      </w:r>
    </w:p>
    <w:p w14:paraId="449973F2">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6、乙方须保证施工场地的清洁卫生符合相关环境卫生、环境保护、文明施工及整治管理的规定，做到工完场清。</w:t>
      </w:r>
    </w:p>
    <w:p w14:paraId="5219E4B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7、施工中未经甲方同意，不得随意拆改原建筑物结构及各种设备管线。</w:t>
      </w:r>
    </w:p>
    <w:p w14:paraId="5559C727">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8、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均应由乙方承担。</w:t>
      </w:r>
    </w:p>
    <w:p w14:paraId="0E19EC49">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9、乙方必须为所有投入本项目的工作人员购买人身意外伤害保险。在该购买的人身意外伤害保险项下，被保险人因意外伤害死亡时的赔偿金额应不低于人民币120万/人，且保险期限不短于本合同有效期间及本工程工期。乙方因此发生的上述保险费均已包含在本次服务费中。</w:t>
      </w:r>
    </w:p>
    <w:p w14:paraId="0C717807">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10、未经甲方书面同意，不得将本合同转包、分包给第三方。</w:t>
      </w:r>
    </w:p>
    <w:p w14:paraId="1B062F0A">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六、违约责任</w:t>
      </w:r>
    </w:p>
    <w:p w14:paraId="01EDB9E8">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1、质量违约</w:t>
      </w:r>
    </w:p>
    <w:p w14:paraId="779E6483">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1.1本合同项目经验收质量不符合要求的，甲方有权单方解除本合同，要求乙方立即清场并有权拒付任何项目款，乙方应向甲方支付</w:t>
      </w:r>
      <w:r>
        <w:rPr>
          <w:rFonts w:hint="eastAsia" w:ascii="宋体" w:hAnsi="宋体" w:cs="宋体"/>
          <w:szCs w:val="21"/>
          <w:lang w:eastAsia="zh-CN"/>
        </w:rPr>
        <w:t>本合同暂定总价</w:t>
      </w:r>
      <w:r>
        <w:rPr>
          <w:rFonts w:hint="eastAsia" w:ascii="宋体" w:hAnsi="宋体" w:cs="宋体"/>
          <w:szCs w:val="21"/>
        </w:rPr>
        <w:t>30%的违约金。如违约金不足以弥补甲方损失的，乙方应赔偿损失。</w:t>
      </w:r>
    </w:p>
    <w:p w14:paraId="074EA442">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1.2凡属乙方工程质量问题，不管何时发现，乙方均应按本合同质保条款规定及时组织维修或按实赔偿甲方一切损失。</w:t>
      </w:r>
    </w:p>
    <w:p w14:paraId="1A6D928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2、工期违约</w:t>
      </w:r>
    </w:p>
    <w:p w14:paraId="46B9317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乙方因自身原因未能在合同约定时间内完工并经甲方验收合格的，每逾期1天应按每日1000元的标准向甲方支付违约金；逾期超过5天的，甲方有权解除合同，要求乙方立即清场，有权拒绝向乙方支付任何费用，乙方应向甲方支付</w:t>
      </w:r>
      <w:r>
        <w:rPr>
          <w:rFonts w:hint="eastAsia" w:ascii="宋体" w:hAnsi="宋体" w:cs="宋体"/>
          <w:szCs w:val="21"/>
          <w:lang w:eastAsia="zh-CN"/>
        </w:rPr>
        <w:t>本合同暂定总价</w:t>
      </w:r>
      <w:r>
        <w:rPr>
          <w:rFonts w:hint="eastAsia" w:ascii="宋体" w:hAnsi="宋体" w:cs="宋体"/>
          <w:szCs w:val="21"/>
        </w:rPr>
        <w:t>30%的违约金。如违约金不足以弥补甲方损失的，乙方须继续赔偿甲方因此造成的全部损失。</w:t>
      </w:r>
    </w:p>
    <w:p w14:paraId="4E67AA86">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3、乙方未经甲方书面同意转包、分包本合同内容的，甲方有权单方解除合同，有权要求乙方立即清场，有权拒绝向乙方支付任何费用，且甲方有权要求乙方支付合同</w:t>
      </w:r>
      <w:r>
        <w:rPr>
          <w:rFonts w:hint="eastAsia" w:ascii="宋体" w:hAnsi="宋体" w:cs="宋体"/>
          <w:szCs w:val="21"/>
          <w:lang w:eastAsia="zh-CN"/>
        </w:rPr>
        <w:t>暂定总价</w:t>
      </w:r>
      <w:r>
        <w:rPr>
          <w:rFonts w:hint="eastAsia" w:ascii="宋体" w:hAnsi="宋体" w:cs="宋体"/>
          <w:szCs w:val="21"/>
        </w:rPr>
        <w:t>30%的违约金。违约金不足以弥补甲方损失的，乙方应赔偿损失。</w:t>
      </w:r>
    </w:p>
    <w:p w14:paraId="78D7B115">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4、本合同中约定的“损失”，包括但不限于直接损失、间接损失及可得利益损失。</w:t>
      </w:r>
    </w:p>
    <w:p w14:paraId="7082786D">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5、因乙方违约导致甲方维权而产生的诉讼费、保全费、律师费、担保费、鉴定费由乙方承担。</w:t>
      </w:r>
    </w:p>
    <w:p w14:paraId="6DF769D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6、以上乙方应支付的一切费用（赔偿金、违约金等），甲方可从应支付给乙方的任何款项中扣除。</w:t>
      </w:r>
    </w:p>
    <w:p w14:paraId="4ADC24EE">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七、工程质保和维修</w:t>
      </w:r>
    </w:p>
    <w:p w14:paraId="396285F9">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1、质保期：</w:t>
      </w:r>
      <w:r>
        <w:rPr>
          <w:rFonts w:hint="eastAsia" w:ascii="宋体" w:hAnsi="宋体" w:cs="宋体"/>
          <w:szCs w:val="21"/>
          <w:lang w:val="en-US" w:eastAsia="zh-CN"/>
        </w:rPr>
        <w:t>单项电机质保期</w:t>
      </w:r>
      <w:r>
        <w:rPr>
          <w:rFonts w:hint="eastAsia" w:ascii="宋体" w:hAnsi="宋体" w:cs="宋体"/>
          <w:szCs w:val="21"/>
        </w:rPr>
        <w:t>自维修完成并经</w:t>
      </w:r>
      <w:r>
        <w:rPr>
          <w:rFonts w:hint="eastAsia" w:ascii="宋体" w:hAnsi="宋体" w:cs="宋体"/>
          <w:szCs w:val="21"/>
          <w:lang w:val="en-US" w:eastAsia="zh-CN"/>
        </w:rPr>
        <w:t>甲方</w:t>
      </w:r>
      <w:r>
        <w:rPr>
          <w:rFonts w:hint="eastAsia" w:ascii="宋体" w:hAnsi="宋体" w:cs="宋体"/>
          <w:szCs w:val="21"/>
        </w:rPr>
        <w:t>验收合格之日起为期12个月。</w:t>
      </w:r>
    </w:p>
    <w:p w14:paraId="2DEC2514">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2、质保维修范围和内容：承包范围内的全部工程内容。</w:t>
      </w:r>
    </w:p>
    <w:p w14:paraId="07550263">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质保责任：发生质量问题时，乙方应在接到通知1日内到现场进行免费处理，乙方不得有异议，一切保修费用由乙方承担。逾期不至或未维修或2次以上（含2次）未解决质量问题，甲方有权委托第三方进行维修，因此发生的一切费用和损失由乙方承担，甲方可从应付乙方的任何款项中扣除。</w:t>
      </w:r>
    </w:p>
    <w:p w14:paraId="28FB924C">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八、争议解决</w:t>
      </w:r>
    </w:p>
    <w:p w14:paraId="01A16D39">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在履行本合同的过程中发生争议，双方应当友好协商解决，也可以请求有关部门进行调解。双方当事人和解或调解不成，任何一方可向甲方所在地人民法院起诉。</w:t>
      </w:r>
    </w:p>
    <w:p w14:paraId="06E127D7">
      <w:pPr>
        <w:keepNext w:val="0"/>
        <w:keepLines w:val="0"/>
        <w:pageBreakBefore w:val="0"/>
        <w:widowControl w:val="0"/>
        <w:kinsoku/>
        <w:wordWrap/>
        <w:overflowPunct/>
        <w:topLinePunct w:val="0"/>
        <w:autoSpaceDE/>
        <w:autoSpaceDN/>
        <w:bidi w:val="0"/>
        <w:adjustRightInd w:val="0"/>
        <w:snapToGrid w:val="0"/>
        <w:spacing w:beforeLines="0" w:line="360" w:lineRule="auto"/>
        <w:ind w:left="0" w:leftChars="0" w:firstLine="0" w:firstLineChars="0"/>
        <w:textAlignment w:val="auto"/>
        <w:rPr>
          <w:rFonts w:hint="eastAsia" w:ascii="宋体" w:hAnsi="宋体" w:cs="宋体"/>
          <w:b/>
          <w:bCs/>
          <w:szCs w:val="21"/>
        </w:rPr>
      </w:pPr>
      <w:r>
        <w:rPr>
          <w:rFonts w:hint="eastAsia" w:ascii="宋体" w:hAnsi="宋体" w:cs="宋体"/>
          <w:b/>
          <w:bCs/>
          <w:szCs w:val="21"/>
        </w:rPr>
        <w:t>九、其他</w:t>
      </w:r>
    </w:p>
    <w:p w14:paraId="0F8A81E3">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1、对本合同任何条款的修改、补充或变更，双方必须签订书面协议并签字盖章后方可生效。补充协议及附件与本合同具有同等法律效力。</w:t>
      </w:r>
    </w:p>
    <w:p w14:paraId="3AD7B885">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2、本合同经甲乙双方签字盖章之日起生效。本合同一式陆份，甲方执肆份，乙方执贰份，均具同等法律效力。</w:t>
      </w:r>
    </w:p>
    <w:p w14:paraId="3791275F">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3、本合同附件：</w:t>
      </w:r>
    </w:p>
    <w:p w14:paraId="44A87116">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lang w:eastAsia="zh-CN"/>
        </w:rPr>
      </w:pPr>
      <w:r>
        <w:rPr>
          <w:rFonts w:hint="eastAsia" w:ascii="宋体" w:hAnsi="宋体" w:cs="宋体"/>
          <w:szCs w:val="21"/>
        </w:rPr>
        <w:t>附件1：</w:t>
      </w:r>
      <w:r>
        <w:rPr>
          <w:rFonts w:hint="eastAsia" w:ascii="宋体" w:hAnsi="宋体" w:cs="宋体"/>
          <w:szCs w:val="21"/>
          <w:lang w:eastAsia="zh-CN"/>
        </w:rPr>
        <w:t>《</w:t>
      </w:r>
      <w:r>
        <w:rPr>
          <w:rFonts w:hint="eastAsia" w:ascii="宋体" w:hAnsi="宋体" w:cs="宋体"/>
          <w:szCs w:val="21"/>
        </w:rPr>
        <w:t>东莞市海心沙资源综合利用中心环保热电厂2025年度电机设备维修采购项目技术需求书</w:t>
      </w:r>
      <w:r>
        <w:rPr>
          <w:rFonts w:hint="eastAsia" w:ascii="宋体" w:hAnsi="宋体" w:cs="宋体"/>
          <w:szCs w:val="21"/>
          <w:lang w:eastAsia="zh-CN"/>
        </w:rPr>
        <w:t>》</w:t>
      </w:r>
    </w:p>
    <w:p w14:paraId="1A2D50CC">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lang w:eastAsia="zh-CN"/>
        </w:rPr>
      </w:pPr>
      <w:r>
        <w:rPr>
          <w:rFonts w:hint="eastAsia" w:ascii="宋体" w:hAnsi="宋体" w:cs="宋体"/>
          <w:szCs w:val="21"/>
        </w:rPr>
        <w:t>附件2：</w:t>
      </w:r>
      <w:r>
        <w:rPr>
          <w:rFonts w:hint="eastAsia" w:ascii="宋体" w:hAnsi="宋体" w:cs="宋体"/>
          <w:szCs w:val="21"/>
          <w:lang w:eastAsia="zh-CN"/>
        </w:rPr>
        <w:t>《项目清单》</w:t>
      </w:r>
    </w:p>
    <w:p w14:paraId="59329A5E">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lang w:val="en-US" w:eastAsia="zh-CN"/>
        </w:rPr>
        <w:t>附件3：</w:t>
      </w:r>
      <w:r>
        <w:rPr>
          <w:rFonts w:hint="eastAsia" w:ascii="宋体" w:hAnsi="宋体" w:cs="宋体"/>
          <w:szCs w:val="21"/>
        </w:rPr>
        <w:t>《阳光合作协议》。</w:t>
      </w:r>
    </w:p>
    <w:p w14:paraId="64DDD4C0">
      <w:pPr>
        <w:keepNext w:val="0"/>
        <w:keepLines w:val="0"/>
        <w:pageBreakBefore w:val="0"/>
        <w:widowControl w:val="0"/>
        <w:kinsoku/>
        <w:wordWrap/>
        <w:overflowPunct/>
        <w:topLinePunct w:val="0"/>
        <w:autoSpaceDE/>
        <w:autoSpaceDN/>
        <w:bidi w:val="0"/>
        <w:adjustRightInd w:val="0"/>
        <w:snapToGrid w:val="0"/>
        <w:spacing w:beforeLines="0" w:line="360" w:lineRule="auto"/>
        <w:ind w:firstLine="480" w:firstLineChars="200"/>
        <w:textAlignment w:val="auto"/>
        <w:rPr>
          <w:rFonts w:hint="eastAsia" w:ascii="宋体" w:hAnsi="宋体" w:cs="宋体"/>
          <w:szCs w:val="21"/>
        </w:rPr>
      </w:pPr>
      <w:r>
        <w:rPr>
          <w:rFonts w:hint="eastAsia" w:ascii="宋体" w:hAnsi="宋体" w:cs="宋体"/>
          <w:szCs w:val="21"/>
        </w:rPr>
        <w:t>附件</w:t>
      </w:r>
      <w:r>
        <w:rPr>
          <w:rFonts w:hint="eastAsia" w:ascii="宋体" w:hAnsi="宋体" w:cs="宋体"/>
          <w:szCs w:val="21"/>
          <w:lang w:val="en-US" w:eastAsia="zh-CN"/>
        </w:rPr>
        <w:t>4</w:t>
      </w:r>
      <w:r>
        <w:rPr>
          <w:rFonts w:hint="eastAsia" w:ascii="宋体" w:hAnsi="宋体" w:cs="宋体"/>
          <w:szCs w:val="21"/>
        </w:rPr>
        <w:t>：安全协议书</w:t>
      </w:r>
    </w:p>
    <w:p w14:paraId="1FB13B2C">
      <w:pPr>
        <w:snapToGrid w:val="0"/>
        <w:spacing w:line="360" w:lineRule="auto"/>
        <w:ind w:left="6972" w:leftChars="-101" w:hanging="7214" w:hangingChars="3006"/>
        <w:rPr>
          <w:rFonts w:hint="eastAsia" w:ascii="宋体" w:hAnsi="宋体" w:cs="楷体"/>
          <w:szCs w:val="21"/>
        </w:rPr>
      </w:pPr>
    </w:p>
    <w:p w14:paraId="020E423E">
      <w:pPr>
        <w:snapToGrid w:val="0"/>
        <w:spacing w:line="360" w:lineRule="auto"/>
        <w:jc w:val="left"/>
        <w:rPr>
          <w:rFonts w:hint="eastAsia" w:ascii="宋体" w:hAnsi="宋体" w:cs="楷体"/>
          <w:szCs w:val="21"/>
        </w:rPr>
      </w:pPr>
      <w:r>
        <w:rPr>
          <w:rFonts w:hint="eastAsia" w:ascii="宋体" w:hAnsi="宋体" w:cs="楷体"/>
          <w:b/>
          <w:bCs/>
          <w:szCs w:val="21"/>
        </w:rPr>
        <w:t xml:space="preserve">甲方： </w:t>
      </w:r>
      <w:r>
        <w:rPr>
          <w:rFonts w:ascii="宋体" w:hAnsi="宋体" w:cs="楷体"/>
          <w:b/>
          <w:bCs/>
          <w:szCs w:val="21"/>
          <w:u w:val="single"/>
        </w:rPr>
        <w:t xml:space="preserve">                   </w:t>
      </w:r>
      <w:r>
        <w:rPr>
          <w:rFonts w:hint="eastAsia" w:ascii="宋体" w:hAnsi="宋体" w:cs="楷体"/>
          <w:szCs w:val="21"/>
          <w:u w:val="single"/>
        </w:rPr>
        <w:t xml:space="preserve">   </w:t>
      </w:r>
      <w:r>
        <w:rPr>
          <w:rFonts w:hint="eastAsia" w:ascii="宋体" w:hAnsi="宋体" w:cs="楷体"/>
          <w:szCs w:val="21"/>
        </w:rPr>
        <w:t>（盖章）</w:t>
      </w:r>
    </w:p>
    <w:p w14:paraId="0C7449FF">
      <w:pPr>
        <w:snapToGrid w:val="0"/>
        <w:spacing w:line="360" w:lineRule="auto"/>
        <w:jc w:val="left"/>
        <w:rPr>
          <w:rFonts w:hint="eastAsia" w:ascii="宋体" w:hAnsi="宋体" w:cs="楷体"/>
          <w:szCs w:val="21"/>
        </w:rPr>
      </w:pPr>
    </w:p>
    <w:p w14:paraId="3D43ADC7">
      <w:pPr>
        <w:snapToGrid w:val="0"/>
        <w:spacing w:line="360" w:lineRule="auto"/>
        <w:rPr>
          <w:rFonts w:hint="eastAsia" w:ascii="宋体" w:hAnsi="宋体" w:cs="楷体"/>
          <w:szCs w:val="21"/>
        </w:rPr>
      </w:pPr>
      <w:r>
        <w:rPr>
          <w:rFonts w:hint="eastAsia" w:ascii="宋体" w:hAnsi="宋体" w:cs="楷体"/>
          <w:b/>
          <w:bCs/>
          <w:szCs w:val="21"/>
        </w:rPr>
        <w:t>法定代表人/委托代理人：</w:t>
      </w:r>
      <w:r>
        <w:rPr>
          <w:rFonts w:hint="eastAsia" w:ascii="宋体" w:hAnsi="宋体" w:cs="楷体"/>
          <w:szCs w:val="21"/>
          <w:u w:val="single"/>
        </w:rPr>
        <w:t xml:space="preserve">                    </w:t>
      </w:r>
      <w:r>
        <w:rPr>
          <w:rFonts w:hint="eastAsia" w:ascii="宋体" w:hAnsi="宋体" w:cs="楷体"/>
          <w:szCs w:val="21"/>
        </w:rPr>
        <w:t>（</w:t>
      </w:r>
      <w:r>
        <w:rPr>
          <w:rFonts w:hint="eastAsia" w:ascii="宋体" w:hAnsi="宋体" w:cs="宋体"/>
          <w:szCs w:val="21"/>
        </w:rPr>
        <w:t>签字/盖章</w:t>
      </w:r>
      <w:r>
        <w:rPr>
          <w:rFonts w:hint="eastAsia" w:ascii="宋体" w:hAnsi="宋体" w:cs="楷体"/>
          <w:szCs w:val="21"/>
        </w:rPr>
        <w:t>）</w:t>
      </w:r>
    </w:p>
    <w:p w14:paraId="5B39462E">
      <w:pPr>
        <w:snapToGrid w:val="0"/>
        <w:spacing w:line="360" w:lineRule="auto"/>
        <w:rPr>
          <w:rFonts w:hint="eastAsia" w:ascii="宋体" w:hAnsi="宋体" w:cs="楷体"/>
          <w:szCs w:val="21"/>
        </w:rPr>
      </w:pPr>
    </w:p>
    <w:p w14:paraId="5B3668EA">
      <w:pPr>
        <w:snapToGrid w:val="0"/>
        <w:spacing w:line="360" w:lineRule="auto"/>
        <w:jc w:val="right"/>
        <w:rPr>
          <w:rFonts w:hint="eastAsia" w:ascii="宋体" w:hAnsi="宋体" w:cs="楷体"/>
          <w:szCs w:val="21"/>
        </w:rPr>
      </w:pPr>
      <w:r>
        <w:rPr>
          <w:rFonts w:hint="eastAsia" w:ascii="宋体" w:hAnsi="宋体" w:cs="楷体"/>
          <w:szCs w:val="21"/>
        </w:rPr>
        <w:t>年      月      日</w:t>
      </w:r>
    </w:p>
    <w:p w14:paraId="0258BE66">
      <w:pPr>
        <w:snapToGrid w:val="0"/>
        <w:spacing w:line="360" w:lineRule="auto"/>
        <w:rPr>
          <w:rFonts w:hint="eastAsia" w:ascii="宋体" w:hAnsi="宋体" w:cs="楷体"/>
          <w:szCs w:val="21"/>
        </w:rPr>
      </w:pPr>
    </w:p>
    <w:p w14:paraId="00212147">
      <w:pPr>
        <w:snapToGrid w:val="0"/>
        <w:spacing w:line="360" w:lineRule="auto"/>
        <w:rPr>
          <w:rFonts w:hint="eastAsia" w:ascii="宋体" w:hAnsi="宋体" w:cs="楷体"/>
          <w:szCs w:val="21"/>
        </w:rPr>
      </w:pPr>
    </w:p>
    <w:p w14:paraId="78D07E1A">
      <w:pPr>
        <w:snapToGrid w:val="0"/>
        <w:spacing w:line="360" w:lineRule="auto"/>
        <w:rPr>
          <w:rFonts w:hint="eastAsia" w:ascii="宋体" w:hAnsi="宋体" w:cs="楷体"/>
          <w:szCs w:val="21"/>
        </w:rPr>
      </w:pPr>
      <w:r>
        <w:rPr>
          <w:rFonts w:hint="eastAsia" w:ascii="宋体" w:hAnsi="宋体" w:cs="楷体"/>
          <w:b/>
          <w:bCs/>
          <w:szCs w:val="21"/>
        </w:rPr>
        <w:t>乙方：</w:t>
      </w:r>
      <w:r>
        <w:rPr>
          <w:rFonts w:hint="eastAsia" w:ascii="宋体" w:hAnsi="宋体" w:cs="楷体"/>
          <w:b/>
          <w:bCs/>
          <w:szCs w:val="21"/>
          <w:u w:val="single"/>
        </w:rPr>
        <w:t xml:space="preserve"> </w:t>
      </w:r>
      <w:r>
        <w:rPr>
          <w:rFonts w:ascii="宋体" w:hAnsi="宋体" w:cs="楷体"/>
          <w:b/>
          <w:bCs/>
          <w:szCs w:val="21"/>
          <w:u w:val="single"/>
        </w:rPr>
        <w:t xml:space="preserve">                    </w:t>
      </w:r>
      <w:r>
        <w:rPr>
          <w:rFonts w:hint="eastAsia" w:ascii="宋体" w:hAnsi="宋体" w:cs="楷体"/>
          <w:szCs w:val="21"/>
          <w:u w:val="single"/>
        </w:rPr>
        <w:t xml:space="preserve">   </w:t>
      </w:r>
      <w:r>
        <w:rPr>
          <w:rFonts w:hint="eastAsia" w:ascii="宋体" w:hAnsi="宋体" w:cs="楷体"/>
          <w:szCs w:val="21"/>
        </w:rPr>
        <w:t>（盖章）</w:t>
      </w:r>
    </w:p>
    <w:p w14:paraId="6B46A626">
      <w:pPr>
        <w:snapToGrid w:val="0"/>
        <w:spacing w:line="360" w:lineRule="auto"/>
        <w:rPr>
          <w:rFonts w:hint="eastAsia" w:ascii="宋体" w:hAnsi="宋体" w:cs="楷体"/>
          <w:szCs w:val="21"/>
        </w:rPr>
      </w:pPr>
    </w:p>
    <w:p w14:paraId="2E52C865">
      <w:pPr>
        <w:snapToGrid w:val="0"/>
        <w:spacing w:line="360" w:lineRule="auto"/>
        <w:rPr>
          <w:rFonts w:hint="eastAsia" w:ascii="宋体" w:hAnsi="宋体" w:cs="楷体"/>
          <w:szCs w:val="21"/>
        </w:rPr>
      </w:pPr>
      <w:r>
        <w:rPr>
          <w:rFonts w:hint="eastAsia" w:ascii="宋体" w:hAnsi="宋体" w:cs="楷体"/>
          <w:b/>
          <w:bCs/>
          <w:szCs w:val="21"/>
        </w:rPr>
        <w:t>法定代表人/委托代理人：</w:t>
      </w:r>
      <w:r>
        <w:rPr>
          <w:rFonts w:hint="eastAsia" w:ascii="宋体" w:hAnsi="宋体" w:cs="楷体"/>
          <w:szCs w:val="21"/>
          <w:u w:val="single"/>
        </w:rPr>
        <w:t xml:space="preserve">                   </w:t>
      </w:r>
      <w:r>
        <w:rPr>
          <w:rFonts w:hint="eastAsia" w:ascii="宋体" w:hAnsi="宋体" w:cs="楷体"/>
          <w:szCs w:val="21"/>
        </w:rPr>
        <w:t>（签字/盖章）</w:t>
      </w:r>
    </w:p>
    <w:p w14:paraId="2FAF036F">
      <w:pPr>
        <w:snapToGrid w:val="0"/>
        <w:spacing w:line="360" w:lineRule="auto"/>
        <w:ind w:firstLine="4800" w:firstLineChars="2000"/>
        <w:rPr>
          <w:rFonts w:hint="eastAsia" w:ascii="宋体" w:hAnsi="宋体" w:cs="楷体"/>
          <w:szCs w:val="21"/>
        </w:rPr>
      </w:pPr>
    </w:p>
    <w:p w14:paraId="282C5096">
      <w:pPr>
        <w:snapToGrid w:val="0"/>
        <w:spacing w:line="360" w:lineRule="auto"/>
        <w:ind w:firstLine="4800" w:firstLineChars="2000"/>
        <w:rPr>
          <w:rFonts w:hint="eastAsia" w:ascii="宋体" w:hAnsi="宋体" w:cs="楷体"/>
          <w:szCs w:val="21"/>
        </w:rPr>
      </w:pPr>
      <w:r>
        <w:rPr>
          <w:rFonts w:hint="eastAsia" w:ascii="宋体" w:hAnsi="宋体" w:cs="楷体"/>
          <w:szCs w:val="21"/>
        </w:rPr>
        <w:t>年      月      日</w:t>
      </w:r>
    </w:p>
    <w:p w14:paraId="7FC12DAD">
      <w:pPr>
        <w:pStyle w:val="255"/>
        <w:snapToGrid w:val="0"/>
        <w:spacing w:line="360" w:lineRule="auto"/>
        <w:ind w:left="480" w:leftChars="200" w:firstLine="0" w:firstLineChars="0"/>
        <w:rPr>
          <w:rFonts w:ascii="宋体" w:hAnsi="宋体"/>
          <w:b/>
          <w:bCs/>
          <w:sz w:val="24"/>
          <w:szCs w:val="24"/>
        </w:rPr>
      </w:pPr>
      <w:r>
        <w:rPr>
          <w:rFonts w:ascii="宋体" w:hAnsi="宋体"/>
        </w:rPr>
        <w:br w:type="page"/>
      </w:r>
      <w:r>
        <w:rPr>
          <w:rFonts w:ascii="宋体" w:hAnsi="宋体"/>
          <w:b/>
          <w:bCs/>
          <w:sz w:val="24"/>
          <w:szCs w:val="24"/>
        </w:rPr>
        <w:t>附件</w:t>
      </w:r>
      <w:r>
        <w:rPr>
          <w:rFonts w:hint="eastAsia" w:ascii="宋体" w:hAnsi="宋体"/>
          <w:b/>
          <w:bCs/>
          <w:sz w:val="24"/>
          <w:szCs w:val="24"/>
        </w:rPr>
        <w:t>1</w:t>
      </w:r>
      <w:r>
        <w:rPr>
          <w:rFonts w:ascii="宋体" w:hAnsi="宋体"/>
          <w:b/>
          <w:bCs/>
          <w:sz w:val="24"/>
          <w:szCs w:val="24"/>
        </w:rPr>
        <w:t>：</w:t>
      </w:r>
      <w:r>
        <w:rPr>
          <w:rFonts w:hint="eastAsia" w:ascii="宋体" w:hAnsi="宋体"/>
          <w:b/>
          <w:bCs/>
          <w:sz w:val="24"/>
          <w:szCs w:val="24"/>
        </w:rPr>
        <w:t xml:space="preserve"> </w:t>
      </w:r>
      <w:r>
        <w:rPr>
          <w:rFonts w:ascii="宋体" w:hAnsi="宋体"/>
          <w:b/>
          <w:bCs/>
          <w:sz w:val="24"/>
          <w:szCs w:val="24"/>
        </w:rPr>
        <w:t xml:space="preserve">                             </w:t>
      </w:r>
    </w:p>
    <w:p w14:paraId="443BA300">
      <w:pPr>
        <w:pStyle w:val="255"/>
        <w:snapToGrid w:val="0"/>
        <w:spacing w:line="360" w:lineRule="auto"/>
        <w:ind w:left="0" w:leftChars="0" w:firstLine="0" w:firstLineChars="0"/>
        <w:jc w:val="center"/>
        <w:rPr>
          <w:rFonts w:hint="eastAsia" w:ascii="宋体" w:hAnsi="宋体"/>
          <w:b/>
          <w:bCs/>
          <w:sz w:val="24"/>
          <w:szCs w:val="24"/>
        </w:rPr>
      </w:pPr>
    </w:p>
    <w:p w14:paraId="1D7B8305">
      <w:pPr>
        <w:pStyle w:val="255"/>
        <w:snapToGrid w:val="0"/>
        <w:spacing w:line="360" w:lineRule="auto"/>
        <w:ind w:left="0" w:leftChars="0" w:firstLine="0" w:firstLineChars="0"/>
        <w:jc w:val="center"/>
        <w:rPr>
          <w:rFonts w:hint="eastAsia" w:ascii="宋体" w:hAnsi="宋体"/>
          <w:b/>
          <w:bCs/>
          <w:sz w:val="24"/>
          <w:szCs w:val="24"/>
        </w:rPr>
      </w:pPr>
      <w:r>
        <w:rPr>
          <w:rFonts w:hint="eastAsia" w:ascii="宋体" w:hAnsi="宋体"/>
          <w:b/>
          <w:bCs/>
          <w:sz w:val="24"/>
          <w:szCs w:val="24"/>
        </w:rPr>
        <w:t>东莞市海心沙资源综合利用中心环保热电厂2025年度电机设备维修采购项目技术需求书</w:t>
      </w:r>
    </w:p>
    <w:p w14:paraId="219E188D">
      <w:pPr>
        <w:pStyle w:val="255"/>
        <w:snapToGrid w:val="0"/>
        <w:spacing w:line="360" w:lineRule="auto"/>
        <w:ind w:left="0" w:leftChars="0" w:firstLine="0" w:firstLineChars="0"/>
        <w:jc w:val="center"/>
        <w:rPr>
          <w:rFonts w:hint="eastAsia" w:ascii="宋体" w:hAnsi="宋体"/>
          <w:b/>
          <w:bCs/>
          <w:sz w:val="24"/>
          <w:szCs w:val="24"/>
        </w:rPr>
      </w:pPr>
    </w:p>
    <w:p w14:paraId="2F464D40">
      <w:pPr>
        <w:pStyle w:val="255"/>
        <w:snapToGrid w:val="0"/>
        <w:spacing w:line="360" w:lineRule="auto"/>
        <w:ind w:left="480" w:leftChars="200" w:firstLine="0" w:firstLineChars="0"/>
        <w:rPr>
          <w:rFonts w:ascii="宋体" w:hAnsi="宋体"/>
          <w:b/>
          <w:bCs/>
          <w:sz w:val="24"/>
          <w:szCs w:val="24"/>
        </w:rPr>
      </w:pPr>
      <w:r>
        <w:rPr>
          <w:rFonts w:hint="eastAsia" w:ascii="宋体" w:hAnsi="宋体"/>
          <w:b/>
          <w:bCs/>
          <w:sz w:val="24"/>
          <w:szCs w:val="24"/>
        </w:rPr>
        <w:br w:type="page"/>
      </w:r>
      <w:r>
        <w:rPr>
          <w:rFonts w:ascii="宋体" w:hAnsi="宋体"/>
          <w:b/>
          <w:bCs/>
          <w:sz w:val="24"/>
          <w:szCs w:val="24"/>
        </w:rPr>
        <w:t>附件</w:t>
      </w:r>
      <w:r>
        <w:rPr>
          <w:rFonts w:hint="eastAsia" w:ascii="宋体" w:hAnsi="宋体"/>
          <w:b/>
          <w:bCs/>
          <w:sz w:val="24"/>
          <w:szCs w:val="24"/>
          <w:lang w:val="en-US" w:eastAsia="zh-CN"/>
        </w:rPr>
        <w:t>2</w:t>
      </w:r>
      <w:r>
        <w:rPr>
          <w:rFonts w:ascii="宋体" w:hAnsi="宋体"/>
          <w:b/>
          <w:bCs/>
          <w:sz w:val="24"/>
          <w:szCs w:val="24"/>
        </w:rPr>
        <w:t>：</w:t>
      </w:r>
      <w:r>
        <w:rPr>
          <w:rFonts w:hint="eastAsia" w:ascii="宋体" w:hAnsi="宋体"/>
          <w:b/>
          <w:bCs/>
          <w:sz w:val="24"/>
          <w:szCs w:val="24"/>
        </w:rPr>
        <w:t xml:space="preserve"> 项目清单</w:t>
      </w:r>
      <w:r>
        <w:rPr>
          <w:rFonts w:ascii="宋体" w:hAnsi="宋体"/>
          <w:b/>
          <w:bCs/>
          <w:sz w:val="24"/>
          <w:szCs w:val="24"/>
        </w:rPr>
        <w:t xml:space="preserve">                             </w:t>
      </w:r>
    </w:p>
    <w:p w14:paraId="24073733">
      <w:pPr>
        <w:pStyle w:val="255"/>
        <w:snapToGrid w:val="0"/>
        <w:spacing w:line="360" w:lineRule="auto"/>
        <w:ind w:left="0" w:leftChars="0" w:firstLine="0" w:firstLineChars="0"/>
        <w:jc w:val="center"/>
        <w:rPr>
          <w:rFonts w:hint="eastAsia" w:ascii="宋体" w:hAnsi="宋体"/>
          <w:b/>
          <w:bCs/>
          <w:sz w:val="24"/>
          <w:szCs w:val="24"/>
        </w:rPr>
      </w:pPr>
    </w:p>
    <w:p w14:paraId="70419FAE">
      <w:pPr>
        <w:pStyle w:val="255"/>
        <w:snapToGrid w:val="0"/>
        <w:spacing w:line="360" w:lineRule="auto"/>
        <w:ind w:left="0" w:leftChars="0" w:firstLine="0" w:firstLineChars="0"/>
        <w:jc w:val="center"/>
        <w:rPr>
          <w:rFonts w:hint="eastAsia" w:ascii="宋体" w:hAnsi="宋体"/>
          <w:b/>
          <w:bCs/>
          <w:sz w:val="24"/>
          <w:szCs w:val="24"/>
        </w:rPr>
      </w:pPr>
    </w:p>
    <w:p w14:paraId="234FDEF9">
      <w:pPr>
        <w:pStyle w:val="255"/>
        <w:snapToGrid w:val="0"/>
        <w:spacing w:line="360" w:lineRule="auto"/>
        <w:ind w:left="480" w:leftChars="200" w:firstLine="0" w:firstLineChars="0"/>
        <w:rPr>
          <w:rFonts w:ascii="宋体" w:hAnsi="宋体"/>
          <w:b/>
          <w:color w:val="000000"/>
          <w:sz w:val="44"/>
          <w:szCs w:val="44"/>
        </w:rPr>
      </w:pPr>
    </w:p>
    <w:p w14:paraId="70767A3C">
      <w:pPr>
        <w:pStyle w:val="255"/>
        <w:snapToGrid w:val="0"/>
        <w:spacing w:line="360" w:lineRule="auto"/>
        <w:ind w:left="480" w:leftChars="200" w:firstLine="0" w:firstLineChars="0"/>
        <w:rPr>
          <w:rFonts w:ascii="宋体" w:hAnsi="宋体"/>
          <w:b/>
          <w:color w:val="000000"/>
          <w:sz w:val="44"/>
          <w:szCs w:val="44"/>
        </w:rPr>
      </w:pPr>
    </w:p>
    <w:p w14:paraId="4DBAD8D5">
      <w:pPr>
        <w:pStyle w:val="255"/>
        <w:snapToGrid w:val="0"/>
        <w:spacing w:line="360" w:lineRule="auto"/>
        <w:ind w:left="480" w:leftChars="200" w:firstLine="0" w:firstLineChars="0"/>
        <w:rPr>
          <w:rFonts w:ascii="宋体" w:hAnsi="宋体"/>
          <w:b/>
          <w:color w:val="000000"/>
          <w:sz w:val="44"/>
          <w:szCs w:val="44"/>
        </w:rPr>
      </w:pPr>
    </w:p>
    <w:p w14:paraId="6E2C7547">
      <w:pPr>
        <w:pStyle w:val="255"/>
        <w:snapToGrid w:val="0"/>
        <w:spacing w:line="360" w:lineRule="auto"/>
        <w:ind w:left="480" w:leftChars="200" w:firstLine="0" w:firstLineChars="0"/>
        <w:rPr>
          <w:rFonts w:ascii="宋体" w:hAnsi="宋体"/>
          <w:b/>
          <w:color w:val="000000"/>
          <w:sz w:val="44"/>
          <w:szCs w:val="44"/>
        </w:rPr>
      </w:pPr>
    </w:p>
    <w:p w14:paraId="4E10A79A">
      <w:pPr>
        <w:pStyle w:val="255"/>
        <w:snapToGrid w:val="0"/>
        <w:spacing w:line="360" w:lineRule="auto"/>
        <w:ind w:left="480" w:leftChars="200" w:firstLine="0" w:firstLineChars="0"/>
        <w:rPr>
          <w:rFonts w:ascii="宋体" w:hAnsi="宋体"/>
          <w:b/>
          <w:color w:val="000000"/>
          <w:sz w:val="44"/>
          <w:szCs w:val="44"/>
        </w:rPr>
      </w:pPr>
    </w:p>
    <w:p w14:paraId="6F8BCB6E">
      <w:pPr>
        <w:pStyle w:val="255"/>
        <w:snapToGrid w:val="0"/>
        <w:spacing w:line="360" w:lineRule="auto"/>
        <w:ind w:left="480" w:leftChars="200" w:firstLine="0" w:firstLineChars="0"/>
        <w:rPr>
          <w:rFonts w:ascii="宋体" w:hAnsi="宋体"/>
          <w:b/>
          <w:color w:val="000000"/>
          <w:sz w:val="44"/>
          <w:szCs w:val="44"/>
        </w:rPr>
      </w:pPr>
    </w:p>
    <w:p w14:paraId="50B9DA54">
      <w:pPr>
        <w:pStyle w:val="255"/>
        <w:snapToGrid w:val="0"/>
        <w:spacing w:line="360" w:lineRule="auto"/>
        <w:ind w:left="480" w:leftChars="200" w:firstLine="0" w:firstLineChars="0"/>
        <w:rPr>
          <w:rFonts w:ascii="宋体" w:hAnsi="宋体"/>
          <w:b/>
          <w:color w:val="000000"/>
          <w:sz w:val="44"/>
          <w:szCs w:val="44"/>
        </w:rPr>
      </w:pPr>
    </w:p>
    <w:p w14:paraId="564B27B7">
      <w:pPr>
        <w:pStyle w:val="255"/>
        <w:snapToGrid w:val="0"/>
        <w:spacing w:line="360" w:lineRule="auto"/>
        <w:ind w:left="480" w:leftChars="200" w:firstLine="0" w:firstLineChars="0"/>
        <w:rPr>
          <w:rFonts w:ascii="宋体" w:hAnsi="宋体"/>
          <w:b/>
          <w:color w:val="000000"/>
          <w:sz w:val="44"/>
          <w:szCs w:val="44"/>
        </w:rPr>
      </w:pPr>
    </w:p>
    <w:p w14:paraId="234487A7">
      <w:pPr>
        <w:pStyle w:val="255"/>
        <w:snapToGrid w:val="0"/>
        <w:spacing w:line="360" w:lineRule="auto"/>
        <w:ind w:left="480" w:leftChars="200" w:firstLine="0" w:firstLineChars="0"/>
        <w:rPr>
          <w:rFonts w:ascii="宋体" w:hAnsi="宋体"/>
          <w:b/>
          <w:bCs/>
          <w:sz w:val="24"/>
          <w:szCs w:val="24"/>
        </w:rPr>
      </w:pPr>
      <w:r>
        <w:rPr>
          <w:rFonts w:ascii="宋体" w:hAnsi="宋体"/>
          <w:b/>
          <w:bCs/>
          <w:sz w:val="24"/>
          <w:szCs w:val="24"/>
        </w:rPr>
        <w:br w:type="page"/>
      </w:r>
      <w:r>
        <w:rPr>
          <w:rFonts w:ascii="宋体" w:hAnsi="宋体"/>
          <w:b/>
          <w:bCs/>
          <w:sz w:val="24"/>
          <w:szCs w:val="24"/>
        </w:rPr>
        <w:t>附件</w:t>
      </w:r>
      <w:r>
        <w:rPr>
          <w:rFonts w:hint="eastAsia" w:ascii="宋体" w:hAnsi="宋体"/>
          <w:b/>
          <w:bCs/>
          <w:sz w:val="24"/>
          <w:szCs w:val="24"/>
          <w:lang w:val="en-US" w:eastAsia="zh-CN"/>
        </w:rPr>
        <w:t>3</w:t>
      </w:r>
      <w:r>
        <w:rPr>
          <w:rFonts w:ascii="宋体" w:hAnsi="宋体"/>
          <w:b/>
          <w:bCs/>
          <w:sz w:val="24"/>
          <w:szCs w:val="24"/>
        </w:rPr>
        <w:t>：</w:t>
      </w:r>
      <w:r>
        <w:rPr>
          <w:rFonts w:hint="eastAsia" w:ascii="宋体" w:hAnsi="宋体"/>
          <w:b/>
          <w:bCs/>
          <w:sz w:val="24"/>
          <w:szCs w:val="24"/>
        </w:rPr>
        <w:t xml:space="preserve"> </w:t>
      </w:r>
      <w:r>
        <w:rPr>
          <w:rFonts w:ascii="宋体" w:hAnsi="宋体"/>
          <w:b/>
          <w:bCs/>
          <w:sz w:val="24"/>
          <w:szCs w:val="24"/>
        </w:rPr>
        <w:t xml:space="preserve">                             </w:t>
      </w:r>
    </w:p>
    <w:p w14:paraId="373CD91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方正小标宋简体" w:hAnsi="黑体" w:eastAsia="方正小标宋简体"/>
          <w:b/>
          <w:color w:val="000000"/>
          <w:sz w:val="44"/>
          <w:szCs w:val="44"/>
        </w:rPr>
      </w:pPr>
      <w:r>
        <w:rPr>
          <w:rFonts w:hint="eastAsia" w:ascii="方正小标宋简体" w:hAnsi="黑体" w:eastAsia="方正小标宋简体"/>
          <w:b/>
          <w:color w:val="000000"/>
          <w:sz w:val="44"/>
          <w:szCs w:val="44"/>
        </w:rPr>
        <w:t>阳光合作协议</w:t>
      </w:r>
    </w:p>
    <w:p w14:paraId="267962DE">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ascii="宋体"/>
          <w:color w:val="000000"/>
        </w:rPr>
      </w:pPr>
      <w:r>
        <w:rPr>
          <w:rFonts w:hint="eastAsia" w:ascii="宋体" w:hAnsi="宋体"/>
          <w:color w:val="000000"/>
        </w:rPr>
        <w:t>甲方（采购方全称）：</w:t>
      </w:r>
      <w:r>
        <w:rPr>
          <w:rFonts w:hint="eastAsia" w:ascii="宋体" w:hAnsi="宋体"/>
          <w:color w:val="000000"/>
          <w:u w:val="single"/>
        </w:rPr>
        <w:t xml:space="preserve">                                                     </w:t>
      </w:r>
    </w:p>
    <w:p w14:paraId="0FE0E7FF">
      <w:pPr>
        <w:pStyle w:val="269"/>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textAlignment w:val="auto"/>
        <w:rPr>
          <w:rFonts w:ascii="微软雅黑" w:hAnsi="微软雅黑" w:eastAsia="微软雅黑"/>
          <w:sz w:val="24"/>
          <w:szCs w:val="24"/>
        </w:rPr>
      </w:pPr>
      <w:r>
        <w:rPr>
          <w:rFonts w:hint="eastAsia" w:ascii="宋体" w:hAnsi="宋体"/>
          <w:color w:val="000000"/>
          <w:sz w:val="24"/>
          <w:szCs w:val="24"/>
        </w:rPr>
        <w:t>乙方（供应方全称）：</w:t>
      </w:r>
      <w:r>
        <w:rPr>
          <w:rFonts w:hint="eastAsia" w:ascii="宋体" w:hAnsi="宋体"/>
          <w:color w:val="000000"/>
          <w:sz w:val="24"/>
          <w:szCs w:val="24"/>
          <w:u w:val="single"/>
        </w:rPr>
        <w:t xml:space="preserve">                                          </w:t>
      </w:r>
    </w:p>
    <w:p w14:paraId="1420F5FB">
      <w:pPr>
        <w:keepNext w:val="0"/>
        <w:keepLines w:val="0"/>
        <w:pageBreakBefore w:val="0"/>
        <w:widowControl w:val="0"/>
        <w:kinsoku/>
        <w:wordWrap/>
        <w:overflowPunct/>
        <w:topLinePunct w:val="0"/>
        <w:autoSpaceDE/>
        <w:autoSpaceDN/>
        <w:bidi w:val="0"/>
        <w:adjustRightInd w:val="0"/>
        <w:snapToGrid w:val="0"/>
        <w:spacing w:beforeLines="0" w:line="520" w:lineRule="exact"/>
        <w:contextualSpacing/>
        <w:textAlignment w:val="auto"/>
        <w:rPr>
          <w:rFonts w:ascii="宋体"/>
        </w:rPr>
      </w:pPr>
      <w:r>
        <w:rPr>
          <w:rFonts w:hint="eastAsia" w:ascii="宋体" w:hAnsi="宋体"/>
        </w:rPr>
        <w:t xml:space="preserve">    甲乙双方于      年    月   日签署了   </w:t>
      </w:r>
      <w:r>
        <w:rPr>
          <w:rFonts w:hint="eastAsia" w:ascii="宋体" w:hAnsi="宋体"/>
          <w:color w:val="000000"/>
        </w:rPr>
        <w:t xml:space="preserve">    合</w:t>
      </w:r>
      <w:r>
        <w:rPr>
          <w:rFonts w:hint="eastAsia" w:ascii="宋体" w:hAnsi="宋体"/>
        </w:rPr>
        <w:t>同（以下简称原合同），为加强双方阳光合作，保证职员职业安全，甲乙双方经协商签定本协议并作为双方共同遵守的阳光合作行为准则。</w:t>
      </w:r>
    </w:p>
    <w:p w14:paraId="05A3303E">
      <w:pPr>
        <w:keepNext w:val="0"/>
        <w:keepLines w:val="0"/>
        <w:pageBreakBefore w:val="0"/>
        <w:widowControl w:val="0"/>
        <w:kinsoku/>
        <w:wordWrap/>
        <w:overflowPunct/>
        <w:topLinePunct w:val="0"/>
        <w:autoSpaceDE/>
        <w:autoSpaceDN/>
        <w:bidi w:val="0"/>
        <w:adjustRightInd w:val="0"/>
        <w:snapToGrid w:val="0"/>
        <w:spacing w:beforeLines="0" w:line="520" w:lineRule="exact"/>
        <w:ind w:left="480" w:leftChars="200"/>
        <w:contextualSpacing/>
        <w:textAlignment w:val="auto"/>
        <w:rPr>
          <w:rFonts w:ascii="宋体" w:hAnsi="宋体"/>
          <w:b/>
          <w:kern w:val="0"/>
          <w:szCs w:val="21"/>
        </w:rPr>
      </w:pPr>
      <w:r>
        <w:rPr>
          <w:rFonts w:ascii="宋体" w:hAnsi="宋体"/>
          <w:b/>
        </w:rPr>
        <w:t>一、甲方责</w:t>
      </w:r>
      <w:r>
        <w:rPr>
          <w:rFonts w:hint="eastAsia" w:ascii="宋体" w:hAnsi="宋体" w:cs="宋体"/>
          <w:b/>
        </w:rPr>
        <w:t>任</w:t>
      </w:r>
    </w:p>
    <w:p w14:paraId="4BDC7DCF">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1.</w:t>
      </w:r>
      <w:r>
        <w:rPr>
          <w:rFonts w:ascii="宋体" w:hAnsi="宋体"/>
        </w:rPr>
        <w:t>甲方有责任向乙方介绍本单位有关采购管理通用原则和本协议的规定</w:t>
      </w:r>
      <w:r>
        <w:rPr>
          <w:rFonts w:hint="eastAsia" w:ascii="宋体" w:hAnsi="宋体" w:cs="宋体"/>
        </w:rPr>
        <w:t>。</w:t>
      </w:r>
    </w:p>
    <w:p w14:paraId="68A74018">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2.</w:t>
      </w:r>
      <w:r>
        <w:rPr>
          <w:rFonts w:ascii="宋体" w:hAnsi="宋体"/>
        </w:rPr>
        <w:t>甲方有责任对本单位相关人员进行阳光合作教育</w:t>
      </w:r>
      <w:r>
        <w:rPr>
          <w:rFonts w:hint="eastAsia" w:ascii="宋体" w:hAnsi="宋体" w:cs="宋体"/>
        </w:rPr>
        <w:t>。</w:t>
      </w:r>
    </w:p>
    <w:p w14:paraId="2A10CB01">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3.</w:t>
      </w:r>
      <w:r>
        <w:rPr>
          <w:rFonts w:ascii="宋体" w:hAnsi="宋体"/>
        </w:rPr>
        <w:t>甲方人员应严格遵守本单位有关阳光合作管理的规定，不得接受乙方任何形式的回扣、实物、现金、有价证券、礼券等有价物品，不得参加乙方提供的旅游或其他可能影响职务行为公正履行的活动。</w:t>
      </w:r>
      <w:r>
        <w:rPr>
          <w:rFonts w:hint="eastAsia" w:ascii="宋体" w:hAnsi="宋体"/>
        </w:rPr>
        <w:t xml:space="preserve"> </w:t>
      </w:r>
    </w:p>
    <w:p w14:paraId="5178B860">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4.</w:t>
      </w:r>
      <w:r>
        <w:rPr>
          <w:rFonts w:ascii="宋体" w:hAnsi="宋体"/>
        </w:rPr>
        <w:t>甲方人员如违反阳光合作管理制度及本协议规定，甲方视情节轻重、影响大小给予行政及经济处罚</w:t>
      </w:r>
      <w:r>
        <w:rPr>
          <w:rFonts w:hint="eastAsia" w:ascii="宋体" w:hAnsi="宋体" w:cs="宋体"/>
        </w:rPr>
        <w:t>。</w:t>
      </w:r>
    </w:p>
    <w:p w14:paraId="70E1ADD5">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5</w:t>
      </w:r>
      <w:r>
        <w:rPr>
          <w:rFonts w:ascii="宋体" w:hAnsi="宋体"/>
        </w:rPr>
        <w:t>．对于乙方举报甲方人员违反阳光合作规定的情况，甲方应及时进行调查，根据调查情况进行处理，并将调查结果向乙方反馈</w:t>
      </w:r>
      <w:r>
        <w:rPr>
          <w:rFonts w:hint="eastAsia" w:ascii="宋体" w:hAnsi="宋体" w:cs="宋体"/>
        </w:rPr>
        <w:t>。</w:t>
      </w:r>
    </w:p>
    <w:p w14:paraId="46679C5D">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6.</w:t>
      </w:r>
      <w:r>
        <w:rPr>
          <w:rFonts w:ascii="宋体" w:hAnsi="宋体"/>
        </w:rPr>
        <w:t>接受举报的一方应为举报方保密，不得对举报方进行报复，对举报属实和严格遵守《阳光合作协议》的合作方，在同等条件下给予后续合作的优先权</w:t>
      </w:r>
      <w:r>
        <w:rPr>
          <w:rFonts w:hint="eastAsia" w:ascii="宋体" w:hAnsi="宋体" w:cs="宋体"/>
        </w:rPr>
        <w:t>。</w:t>
      </w:r>
    </w:p>
    <w:p w14:paraId="540E822C">
      <w:pPr>
        <w:keepNext w:val="0"/>
        <w:keepLines w:val="0"/>
        <w:pageBreakBefore w:val="0"/>
        <w:widowControl w:val="0"/>
        <w:kinsoku/>
        <w:wordWrap/>
        <w:overflowPunct/>
        <w:topLinePunct w:val="0"/>
        <w:autoSpaceDE/>
        <w:autoSpaceDN/>
        <w:bidi w:val="0"/>
        <w:adjustRightInd w:val="0"/>
        <w:snapToGrid w:val="0"/>
        <w:spacing w:beforeLines="0" w:line="520" w:lineRule="exact"/>
        <w:ind w:left="480" w:leftChars="200"/>
        <w:contextualSpacing/>
        <w:textAlignment w:val="auto"/>
        <w:rPr>
          <w:rFonts w:hint="eastAsia" w:ascii="宋体" w:hAnsi="宋体"/>
          <w:b/>
        </w:rPr>
      </w:pPr>
      <w:r>
        <w:rPr>
          <w:rFonts w:ascii="宋体" w:hAnsi="宋体"/>
          <w:b/>
        </w:rPr>
        <w:t>二、乙方责</w:t>
      </w:r>
      <w:r>
        <w:rPr>
          <w:rFonts w:hint="eastAsia" w:ascii="宋体" w:hAnsi="宋体" w:cs="宋体"/>
          <w:b/>
        </w:rPr>
        <w:t>任</w:t>
      </w:r>
    </w:p>
    <w:p w14:paraId="0B8A24C7">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1.</w:t>
      </w:r>
      <w:r>
        <w:rPr>
          <w:rFonts w:ascii="宋体" w:hAnsi="宋体"/>
        </w:rPr>
        <w:t>乙方应保证乙方人员了解甲方有关采购管理通用原则和及本协议的规定，并遵照执行</w:t>
      </w:r>
      <w:r>
        <w:rPr>
          <w:rFonts w:hint="eastAsia" w:ascii="宋体" w:hAnsi="宋体" w:cs="宋体"/>
        </w:rPr>
        <w:t>。</w:t>
      </w:r>
    </w:p>
    <w:p w14:paraId="3A5557AB">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2.</w:t>
      </w:r>
      <w:r>
        <w:rPr>
          <w:rFonts w:ascii="宋体" w:hAnsi="宋体"/>
        </w:rPr>
        <w:t>乙方不得以任何形式给予甲方人员回扣、赠送实物、现金、有价证券、礼券等有价物品或提供旅游等其他可能影响职务行为公正履行的活动（以下统称“财物”）</w:t>
      </w:r>
      <w:r>
        <w:rPr>
          <w:rFonts w:hint="eastAsia" w:ascii="宋体" w:hAnsi="宋体" w:cs="宋体"/>
        </w:rPr>
        <w:t>。</w:t>
      </w:r>
    </w:p>
    <w:p w14:paraId="39ACD09C">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3.</w:t>
      </w:r>
      <w:r>
        <w:rPr>
          <w:rFonts w:ascii="宋体" w:hAnsi="宋体"/>
        </w:rPr>
        <w:t>乙方有责任接受甲方对乙方在合作期间阳光合作管理执行情况的监督，并对甲方相关调查工作主动配合</w:t>
      </w:r>
      <w:r>
        <w:rPr>
          <w:rFonts w:hint="eastAsia" w:ascii="宋体" w:hAnsi="宋体" w:cs="宋体"/>
        </w:rPr>
        <w:t>。</w:t>
      </w:r>
    </w:p>
    <w:p w14:paraId="321ADD54">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4.</w:t>
      </w:r>
      <w:r>
        <w:rPr>
          <w:rFonts w:ascii="宋体" w:hAnsi="宋体"/>
        </w:rPr>
        <w:t>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w:t>
      </w:r>
      <w:r>
        <w:rPr>
          <w:rFonts w:hint="eastAsia" w:ascii="宋体" w:hAnsi="宋体"/>
        </w:rPr>
        <w:t>10%</w:t>
      </w:r>
      <w:r>
        <w:rPr>
          <w:rFonts w:ascii="宋体" w:hAnsi="宋体"/>
        </w:rPr>
        <w:t>的违约金，并对乙方知情不报人员进行相应处罚；连续出现</w:t>
      </w:r>
      <w:r>
        <w:rPr>
          <w:rFonts w:hint="eastAsia" w:ascii="宋体" w:hAnsi="宋体"/>
        </w:rPr>
        <w:t>2</w:t>
      </w:r>
      <w:r>
        <w:rPr>
          <w:rFonts w:ascii="宋体" w:hAnsi="宋体"/>
        </w:rPr>
        <w:t>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r>
        <w:rPr>
          <w:rFonts w:hint="eastAsia" w:ascii="宋体" w:hAnsi="宋体" w:cs="宋体"/>
        </w:rPr>
        <w:t>。</w:t>
      </w:r>
    </w:p>
    <w:p w14:paraId="3FE8F4FA">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5</w:t>
      </w:r>
      <w:r>
        <w:rPr>
          <w:rFonts w:ascii="宋体" w:hAnsi="宋体"/>
        </w:rPr>
        <w:t>．甲方接受乙方实名或匿名举报，保证为举报者的信息保密，常设举报部门及电</w:t>
      </w:r>
      <w:r>
        <w:rPr>
          <w:rFonts w:hint="eastAsia" w:ascii="宋体" w:hAnsi="宋体"/>
        </w:rPr>
        <w:t>话</w:t>
      </w:r>
      <w:r>
        <w:rPr>
          <w:rFonts w:ascii="宋体" w:hAnsi="宋体"/>
        </w:rPr>
        <w:t>：</w:t>
      </w:r>
      <w:r>
        <w:rPr>
          <w:rFonts w:hint="eastAsia" w:ascii="宋体" w:hAnsi="宋体"/>
        </w:rPr>
        <w:t xml:space="preserve"> </w:t>
      </w:r>
    </w:p>
    <w:p w14:paraId="72B7B8A1">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ascii="宋体" w:hAnsi="宋体"/>
        </w:rPr>
        <w:t>举报受理部门：东莞实业投资控股集团有限公司法律合规</w:t>
      </w:r>
      <w:r>
        <w:rPr>
          <w:rFonts w:hint="eastAsia" w:ascii="宋体" w:hAnsi="宋体" w:cs="宋体"/>
        </w:rPr>
        <w:t>部</w:t>
      </w:r>
    </w:p>
    <w:p w14:paraId="465821F8">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ascii="宋体" w:hAnsi="宋体"/>
        </w:rPr>
        <w:t>东实集团举报邮箱：</w:t>
      </w:r>
      <w:r>
        <w:rPr>
          <w:rFonts w:hint="eastAsia" w:ascii="宋体" w:hAnsi="宋体"/>
        </w:rPr>
        <w:t>dgsyxf@163.com</w:t>
      </w:r>
    </w:p>
    <w:p w14:paraId="12BEB5BC">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ascii="宋体" w:hAnsi="宋体"/>
        </w:rPr>
        <w:t>东实集团举报电话：</w:t>
      </w:r>
      <w:r>
        <w:rPr>
          <w:rFonts w:hint="eastAsia" w:ascii="宋体" w:hAnsi="宋体"/>
        </w:rPr>
        <w:t>0769-28820703</w:t>
      </w:r>
      <w:r>
        <w:rPr>
          <w:rFonts w:ascii="宋体" w:hAnsi="宋体"/>
        </w:rPr>
        <w:t>（周一至周五</w:t>
      </w:r>
      <w:r>
        <w:rPr>
          <w:rFonts w:hint="eastAsia" w:ascii="宋体" w:hAnsi="宋体"/>
        </w:rPr>
        <w:t>9:00-12:00</w:t>
      </w:r>
      <w:r>
        <w:rPr>
          <w:rFonts w:ascii="宋体" w:hAnsi="宋体"/>
        </w:rPr>
        <w:t>和</w:t>
      </w:r>
      <w:r>
        <w:rPr>
          <w:rFonts w:hint="eastAsia" w:ascii="宋体" w:hAnsi="宋体"/>
        </w:rPr>
        <w:t>14:00-18:00</w:t>
      </w:r>
      <w:r>
        <w:rPr>
          <w:rFonts w:hint="eastAsia" w:ascii="宋体" w:hAnsi="宋体" w:cs="宋体"/>
        </w:rPr>
        <w:t>）</w:t>
      </w:r>
    </w:p>
    <w:p w14:paraId="74CC6A78">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ascii="宋体" w:hAnsi="宋体"/>
        </w:rPr>
        <w:t>邮寄地址：东莞市东城区八一路</w:t>
      </w:r>
      <w:r>
        <w:rPr>
          <w:rFonts w:hint="eastAsia" w:ascii="宋体" w:hAnsi="宋体"/>
        </w:rPr>
        <w:t>1</w:t>
      </w:r>
      <w:r>
        <w:rPr>
          <w:rFonts w:ascii="宋体" w:hAnsi="宋体"/>
        </w:rPr>
        <w:t>号机关二号大院</w:t>
      </w:r>
      <w:r>
        <w:rPr>
          <w:rFonts w:hint="eastAsia" w:ascii="宋体" w:hAnsi="宋体"/>
        </w:rPr>
        <w:t>9</w:t>
      </w:r>
      <w:r>
        <w:rPr>
          <w:rFonts w:ascii="宋体" w:hAnsi="宋体"/>
        </w:rPr>
        <w:t>号楼，东莞实业投资控股集团有限公司法律合规部收，邮编</w:t>
      </w:r>
      <w:r>
        <w:rPr>
          <w:rFonts w:hint="eastAsia" w:ascii="宋体" w:hAnsi="宋体"/>
        </w:rPr>
        <w:t>523000</w:t>
      </w:r>
      <w:r>
        <w:rPr>
          <w:rFonts w:hint="eastAsia" w:ascii="宋体" w:hAnsi="宋体" w:cs="宋体"/>
        </w:rPr>
        <w:t>。</w:t>
      </w:r>
    </w:p>
    <w:p w14:paraId="7EDD2953">
      <w:pPr>
        <w:keepNext w:val="0"/>
        <w:keepLines w:val="0"/>
        <w:pageBreakBefore w:val="0"/>
        <w:widowControl w:val="0"/>
        <w:kinsoku/>
        <w:wordWrap/>
        <w:overflowPunct/>
        <w:topLinePunct w:val="0"/>
        <w:autoSpaceDE/>
        <w:autoSpaceDN/>
        <w:bidi w:val="0"/>
        <w:adjustRightInd w:val="0"/>
        <w:snapToGrid w:val="0"/>
        <w:spacing w:beforeLines="0" w:line="520" w:lineRule="exact"/>
        <w:ind w:left="480" w:leftChars="200"/>
        <w:contextualSpacing/>
        <w:textAlignment w:val="auto"/>
        <w:rPr>
          <w:rFonts w:hint="eastAsia" w:ascii="宋体" w:hAnsi="宋体"/>
          <w:b/>
        </w:rPr>
      </w:pPr>
      <w:r>
        <w:rPr>
          <w:rFonts w:ascii="宋体" w:hAnsi="宋体"/>
          <w:b/>
        </w:rPr>
        <w:t>三、其</w:t>
      </w:r>
      <w:r>
        <w:rPr>
          <w:rFonts w:hint="eastAsia" w:ascii="宋体" w:hAnsi="宋体" w:cs="宋体"/>
          <w:b/>
        </w:rPr>
        <w:t>他</w:t>
      </w:r>
    </w:p>
    <w:p w14:paraId="5E55EEA1">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1.</w:t>
      </w:r>
      <w:r>
        <w:rPr>
          <w:rFonts w:ascii="宋体" w:hAnsi="宋体"/>
        </w:rPr>
        <w:t>本协议是原合同的补充协议，与原合同有同等法律效力</w:t>
      </w:r>
      <w:r>
        <w:rPr>
          <w:rFonts w:hint="eastAsia" w:ascii="宋体" w:hAnsi="宋体" w:cs="宋体"/>
        </w:rPr>
        <w:t>。</w:t>
      </w:r>
    </w:p>
    <w:p w14:paraId="4C48DD98">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2.</w:t>
      </w:r>
      <w:r>
        <w:rPr>
          <w:rFonts w:ascii="宋体" w:hAnsi="宋体"/>
        </w:rPr>
        <w:t>本协议一式四份，甲方执</w:t>
      </w:r>
      <w:r>
        <w:rPr>
          <w:rFonts w:hint="eastAsia" w:ascii="宋体" w:hAnsi="宋体"/>
        </w:rPr>
        <w:t>叁</w:t>
      </w:r>
      <w:r>
        <w:rPr>
          <w:rFonts w:ascii="宋体" w:hAnsi="宋体"/>
        </w:rPr>
        <w:t>份，乙方执</w:t>
      </w:r>
      <w:r>
        <w:rPr>
          <w:rFonts w:hint="eastAsia" w:ascii="宋体" w:hAnsi="宋体"/>
        </w:rPr>
        <w:t>壹</w:t>
      </w:r>
      <w:r>
        <w:rPr>
          <w:rFonts w:ascii="宋体" w:hAnsi="宋体"/>
        </w:rPr>
        <w:t>份</w:t>
      </w:r>
      <w:r>
        <w:rPr>
          <w:rFonts w:hint="eastAsia" w:ascii="宋体" w:hAnsi="宋体"/>
        </w:rPr>
        <w:t>,</w:t>
      </w:r>
      <w:r>
        <w:rPr>
          <w:rFonts w:ascii="宋体" w:hAnsi="宋体"/>
        </w:rPr>
        <w:t>具有同等法律效力</w:t>
      </w:r>
      <w:r>
        <w:rPr>
          <w:rFonts w:hint="eastAsia" w:ascii="宋体" w:hAnsi="宋体" w:cs="宋体"/>
        </w:rPr>
        <w:t>。</w:t>
      </w:r>
    </w:p>
    <w:p w14:paraId="1007392B">
      <w:pPr>
        <w:keepNext w:val="0"/>
        <w:keepLines w:val="0"/>
        <w:pageBreakBefore w:val="0"/>
        <w:widowControl w:val="0"/>
        <w:kinsoku/>
        <w:wordWrap/>
        <w:overflowPunct/>
        <w:topLinePunct w:val="0"/>
        <w:autoSpaceDE/>
        <w:autoSpaceDN/>
        <w:bidi w:val="0"/>
        <w:adjustRightInd w:val="0"/>
        <w:snapToGrid w:val="0"/>
        <w:spacing w:beforeLines="0" w:line="520" w:lineRule="exact"/>
        <w:ind w:left="120" w:leftChars="50" w:firstLine="480" w:firstLineChars="200"/>
        <w:contextualSpacing/>
        <w:textAlignment w:val="auto"/>
        <w:rPr>
          <w:rFonts w:hint="eastAsia" w:ascii="宋体" w:hAnsi="宋体"/>
        </w:rPr>
      </w:pPr>
      <w:r>
        <w:rPr>
          <w:rFonts w:hint="eastAsia" w:ascii="宋体" w:hAnsi="宋体"/>
        </w:rPr>
        <w:t>3.</w:t>
      </w:r>
      <w:r>
        <w:rPr>
          <w:rFonts w:ascii="宋体" w:hAnsi="宋体"/>
        </w:rPr>
        <w:t>本协议经双方签署后生效</w:t>
      </w:r>
      <w:r>
        <w:rPr>
          <w:rFonts w:hint="eastAsia" w:ascii="宋体" w:hAnsi="宋体" w:cs="宋体"/>
        </w:rPr>
        <w:t>。</w:t>
      </w:r>
    </w:p>
    <w:p w14:paraId="55F74DFB">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宋体"/>
        </w:rPr>
      </w:pPr>
    </w:p>
    <w:p w14:paraId="753FB473">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Arial"/>
        </w:rPr>
      </w:pPr>
      <w:r>
        <w:rPr>
          <w:rFonts w:ascii="宋体" w:hAnsi="宋体"/>
        </w:rPr>
        <w:t>甲方（盖章）：</w:t>
      </w:r>
      <w:r>
        <w:rPr>
          <w:rFonts w:hint="eastAsia" w:ascii="宋体" w:hAnsi="宋体"/>
        </w:rPr>
        <w:t xml:space="preserve">                      </w:t>
      </w:r>
      <w:r>
        <w:rPr>
          <w:rFonts w:ascii="宋体" w:hAnsi="宋体"/>
        </w:rPr>
        <w:t>乙方（盖章）：</w:t>
      </w:r>
      <w:r>
        <w:rPr>
          <w:rFonts w:hint="eastAsia" w:ascii="宋体"/>
        </w:rPr>
        <w:t xml:space="preserve"> </w:t>
      </w:r>
    </w:p>
    <w:p w14:paraId="5477691B">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宋体"/>
        </w:rPr>
      </w:pPr>
    </w:p>
    <w:p w14:paraId="57215244">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宋体" w:cs="宋体"/>
        </w:rPr>
      </w:pPr>
      <w:r>
        <w:rPr>
          <w:rFonts w:ascii="宋体" w:hAnsi="宋体"/>
        </w:rPr>
        <w:t>法定代表人（授权代表）：</w:t>
      </w:r>
      <w:r>
        <w:rPr>
          <w:rFonts w:hint="eastAsia" w:ascii="宋体"/>
        </w:rPr>
        <w:tab/>
      </w:r>
      <w:r>
        <w:rPr>
          <w:rFonts w:hint="eastAsia" w:ascii="宋体"/>
        </w:rPr>
        <w:tab/>
      </w:r>
      <w:r>
        <w:rPr>
          <w:rFonts w:hint="eastAsia" w:ascii="宋体"/>
        </w:rPr>
        <w:t xml:space="preserve">  </w:t>
      </w:r>
      <w:r>
        <w:rPr>
          <w:rFonts w:hint="eastAsia" w:ascii="宋体"/>
        </w:rPr>
        <w:tab/>
      </w:r>
      <w:r>
        <w:rPr>
          <w:rFonts w:hint="eastAsia" w:ascii="宋体"/>
        </w:rPr>
        <w:t xml:space="preserve">   </w:t>
      </w:r>
      <w:r>
        <w:rPr>
          <w:rFonts w:ascii="宋体" w:hAnsi="宋体"/>
        </w:rPr>
        <w:t>法定代表人（授权代表）</w:t>
      </w:r>
      <w:r>
        <w:rPr>
          <w:rFonts w:hint="eastAsia" w:ascii="宋体" w:hAnsi="宋体" w:cs="宋体"/>
        </w:rPr>
        <w:t>：</w:t>
      </w:r>
    </w:p>
    <w:p w14:paraId="050B20BB">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宋体" w:cs="宋体"/>
        </w:rPr>
      </w:pPr>
    </w:p>
    <w:p w14:paraId="5FA725CD">
      <w:pPr>
        <w:keepNext w:val="0"/>
        <w:keepLines w:val="0"/>
        <w:pageBreakBefore w:val="0"/>
        <w:widowControl w:val="0"/>
        <w:kinsoku/>
        <w:wordWrap/>
        <w:overflowPunct/>
        <w:topLinePunct w:val="0"/>
        <w:autoSpaceDE/>
        <w:autoSpaceDN/>
        <w:bidi w:val="0"/>
        <w:adjustRightInd w:val="0"/>
        <w:snapToGrid w:val="0"/>
        <w:spacing w:beforeLines="0" w:line="520" w:lineRule="exact"/>
        <w:ind w:firstLine="480" w:firstLineChars="200"/>
        <w:contextualSpacing/>
        <w:textAlignment w:val="auto"/>
        <w:rPr>
          <w:rFonts w:hint="eastAsia" w:ascii="宋体" w:hAnsi="宋体" w:eastAsia="宋体" w:cs="Times New Roman"/>
          <w:b/>
          <w:bCs/>
          <w:kern w:val="2"/>
          <w:sz w:val="24"/>
          <w:szCs w:val="24"/>
          <w:lang w:val="en-US" w:eastAsia="zh-CN" w:bidi="ar-SA"/>
        </w:rPr>
      </w:pPr>
      <w:r>
        <w:rPr>
          <w:rFonts w:ascii="宋体" w:hAnsi="宋体" w:eastAsia="宋体" w:cs="Times New Roman"/>
        </w:rPr>
        <w:t>签约日期：</w:t>
      </w:r>
      <w:r>
        <w:rPr>
          <w:rFonts w:hint="eastAsia" w:ascii="宋体" w:hAnsi="宋体" w:eastAsia="宋体" w:cs="Times New Roman"/>
        </w:rPr>
        <w:t xml:space="preserve">   </w:t>
      </w:r>
      <w:r>
        <w:rPr>
          <w:rFonts w:ascii="宋体" w:hAnsi="宋体" w:eastAsia="宋体" w:cs="Times New Roman"/>
        </w:rPr>
        <w:t>年</w:t>
      </w:r>
      <w:r>
        <w:rPr>
          <w:rFonts w:hint="eastAsia" w:ascii="宋体" w:hAnsi="宋体" w:eastAsia="宋体" w:cs="Times New Roman"/>
        </w:rPr>
        <w:t xml:space="preserve">   </w:t>
      </w:r>
      <w:r>
        <w:rPr>
          <w:rFonts w:ascii="宋体" w:hAnsi="宋体" w:eastAsia="宋体" w:cs="Times New Roman"/>
        </w:rPr>
        <w:t>月</w:t>
      </w:r>
      <w:r>
        <w:rPr>
          <w:rFonts w:hint="eastAsia" w:ascii="宋体" w:hAnsi="宋体" w:eastAsia="宋体" w:cs="Times New Roman"/>
        </w:rPr>
        <w:t xml:space="preserve">   </w:t>
      </w:r>
      <w:r>
        <w:rPr>
          <w:rFonts w:ascii="宋体" w:hAnsi="宋体" w:eastAsia="宋体" w:cs="Times New Roman"/>
        </w:rPr>
        <w:t xml:space="preserve">日  </w:t>
      </w:r>
      <w:r>
        <w:rPr>
          <w:rFonts w:hint="eastAsia" w:ascii="宋体" w:hAnsi="宋体" w:eastAsia="宋体" w:cs="Times New Roman"/>
          <w:lang w:val="en-US" w:eastAsia="zh-CN"/>
        </w:rPr>
        <w:t xml:space="preserve">        </w:t>
      </w:r>
      <w:r>
        <w:rPr>
          <w:rFonts w:ascii="宋体" w:hAnsi="宋体" w:eastAsia="宋体" w:cs="Times New Roman"/>
        </w:rPr>
        <w:t>签约日期：</w:t>
      </w:r>
      <w:r>
        <w:rPr>
          <w:rFonts w:hint="eastAsia" w:ascii="宋体" w:hAnsi="宋体" w:eastAsia="宋体" w:cs="Times New Roman"/>
        </w:rPr>
        <w:t xml:space="preserve">   </w:t>
      </w:r>
      <w:r>
        <w:rPr>
          <w:rFonts w:ascii="宋体" w:hAnsi="宋体" w:eastAsia="宋体" w:cs="Times New Roman"/>
        </w:rPr>
        <w:t>年</w:t>
      </w:r>
      <w:r>
        <w:rPr>
          <w:rFonts w:hint="eastAsia" w:ascii="宋体" w:hAnsi="宋体" w:eastAsia="宋体" w:cs="Times New Roman"/>
        </w:rPr>
        <w:t xml:space="preserve">   </w:t>
      </w:r>
      <w:r>
        <w:rPr>
          <w:rFonts w:ascii="宋体" w:hAnsi="宋体" w:eastAsia="宋体" w:cs="Times New Roman"/>
        </w:rPr>
        <w:t>月</w:t>
      </w:r>
      <w:r>
        <w:rPr>
          <w:rFonts w:hint="eastAsia" w:ascii="宋体" w:hAnsi="宋体" w:eastAsia="宋体" w:cs="Times New Roman"/>
        </w:rPr>
        <w:t xml:space="preserve">   日</w:t>
      </w:r>
      <w:r>
        <w:rPr>
          <w:rFonts w:hint="eastAsia" w:ascii="宋体" w:hAnsi="宋体" w:eastAsia="宋体" w:cs="Times New Roman"/>
        </w:rPr>
        <w:br w:type="page"/>
      </w:r>
      <w:r>
        <w:rPr>
          <w:rFonts w:hint="eastAsia" w:ascii="宋体" w:hAnsi="宋体" w:eastAsia="宋体" w:cs="Times New Roman"/>
          <w:b/>
          <w:bCs/>
          <w:kern w:val="2"/>
          <w:sz w:val="24"/>
          <w:szCs w:val="24"/>
          <w:lang w:val="en-US" w:eastAsia="zh-CN" w:bidi="ar-SA"/>
        </w:rPr>
        <w:t>附件4</w:t>
      </w:r>
    </w:p>
    <w:p w14:paraId="4133A05E">
      <w:pPr>
        <w:jc w:val="center"/>
        <w:rPr>
          <w:rFonts w:ascii="宋体" w:hAnsi="宋体" w:eastAsia="宋体"/>
          <w:b/>
          <w:bCs/>
          <w:sz w:val="30"/>
          <w:szCs w:val="30"/>
        </w:rPr>
      </w:pPr>
      <w:bookmarkStart w:id="13" w:name="现场签证通知单"/>
      <w:bookmarkEnd w:id="13"/>
      <w:bookmarkStart w:id="14" w:name="设计变更通知单"/>
      <w:bookmarkEnd w:id="14"/>
      <w:bookmarkStart w:id="15" w:name="_Toc6170"/>
      <w:r>
        <w:rPr>
          <w:rFonts w:hint="eastAsia" w:ascii="宋体" w:hAnsi="宋体" w:eastAsia="宋体"/>
          <w:b/>
          <w:bCs/>
          <w:sz w:val="30"/>
          <w:szCs w:val="30"/>
          <w:lang w:val="zh-CN"/>
        </w:rPr>
        <w:t>安全协议书</w:t>
      </w:r>
      <w:bookmarkEnd w:id="15"/>
    </w:p>
    <w:p w14:paraId="2D464F52">
      <w:pPr>
        <w:spacing w:line="560" w:lineRule="exact"/>
        <w:rPr>
          <w:rFonts w:ascii="宋体" w:hAnsi="宋体" w:eastAsia="宋体"/>
          <w:bCs/>
          <w:spacing w:val="-10"/>
          <w:sz w:val="24"/>
        </w:rPr>
      </w:pPr>
      <w:r>
        <w:rPr>
          <w:rFonts w:hint="eastAsia" w:ascii="宋体" w:hAnsi="宋体" w:eastAsia="宋体"/>
          <w:bCs/>
          <w:spacing w:val="-10"/>
          <w:sz w:val="24"/>
        </w:rPr>
        <w:t>发包单位：</w:t>
      </w:r>
      <w:r>
        <w:rPr>
          <w:rFonts w:hint="eastAsia" w:ascii="宋体" w:hAnsi="宋体" w:eastAsia="宋体"/>
          <w:bCs/>
          <w:spacing w:val="-10"/>
          <w:sz w:val="24"/>
          <w:u w:val="single"/>
        </w:rPr>
        <w:t xml:space="preserve"> 东莞市新东元环保投资有限公司 </w:t>
      </w:r>
      <w:r>
        <w:rPr>
          <w:rFonts w:hint="eastAsia" w:ascii="宋体" w:hAnsi="宋体" w:eastAsia="宋体"/>
          <w:bCs/>
          <w:spacing w:val="-10"/>
          <w:sz w:val="24"/>
        </w:rPr>
        <w:t xml:space="preserve">   （以下简称甲方）</w:t>
      </w:r>
    </w:p>
    <w:p w14:paraId="5AAF5D86">
      <w:pPr>
        <w:spacing w:line="560" w:lineRule="exact"/>
        <w:rPr>
          <w:rFonts w:ascii="宋体" w:hAnsi="宋体" w:eastAsia="宋体"/>
          <w:bCs/>
          <w:spacing w:val="-10"/>
          <w:sz w:val="24"/>
        </w:rPr>
      </w:pPr>
      <w:r>
        <w:rPr>
          <w:rFonts w:hint="eastAsia" w:ascii="宋体" w:hAnsi="宋体" w:eastAsia="宋体"/>
          <w:bCs/>
          <w:spacing w:val="-10"/>
          <w:sz w:val="24"/>
        </w:rPr>
        <w:t>承包单位：</w:t>
      </w:r>
      <w:r>
        <w:rPr>
          <w:rFonts w:hint="eastAsia" w:ascii="宋体" w:hAnsi="宋体" w:eastAsia="宋体"/>
          <w:bCs/>
          <w:spacing w:val="-10"/>
          <w:sz w:val="24"/>
          <w:u w:val="single"/>
        </w:rPr>
        <w:t xml:space="preserve"> </w:t>
      </w:r>
      <w:r>
        <w:rPr>
          <w:rFonts w:ascii="宋体" w:hAnsi="宋体" w:eastAsia="宋体"/>
          <w:bCs/>
          <w:spacing w:val="-10"/>
          <w:sz w:val="24"/>
          <w:u w:val="single"/>
        </w:rPr>
        <w:t xml:space="preserve">                              </w:t>
      </w:r>
      <w:r>
        <w:rPr>
          <w:rFonts w:hint="eastAsia" w:ascii="宋体" w:hAnsi="宋体" w:eastAsia="宋体"/>
          <w:bCs/>
          <w:spacing w:val="-10"/>
          <w:sz w:val="24"/>
          <w:u w:val="single"/>
        </w:rPr>
        <w:t xml:space="preserve"> </w:t>
      </w:r>
      <w:r>
        <w:rPr>
          <w:rFonts w:hint="eastAsia" w:ascii="宋体" w:hAnsi="宋体" w:eastAsia="宋体"/>
          <w:bCs/>
          <w:spacing w:val="-10"/>
          <w:sz w:val="24"/>
        </w:rPr>
        <w:t xml:space="preserve">   （以下简称乙方）</w:t>
      </w:r>
    </w:p>
    <w:p w14:paraId="6A7D57B7">
      <w:pPr>
        <w:spacing w:line="560" w:lineRule="exact"/>
        <w:jc w:val="left"/>
        <w:rPr>
          <w:rFonts w:ascii="宋体" w:hAnsi="宋体" w:eastAsia="宋体"/>
          <w:snapToGrid w:val="0"/>
          <w:color w:val="000000"/>
          <w:sz w:val="24"/>
          <w:szCs w:val="24"/>
        </w:rPr>
      </w:pPr>
      <w:r>
        <w:rPr>
          <w:rFonts w:hint="eastAsia" w:ascii="仿宋_GB2312" w:hAnsi="宋体" w:eastAsia="仿宋_GB2312" w:cs="宋体"/>
          <w:sz w:val="24"/>
        </w:rPr>
        <w:t xml:space="preserve">    </w:t>
      </w:r>
      <w:r>
        <w:rPr>
          <w:rFonts w:hint="eastAsia" w:ascii="宋体" w:hAnsi="宋体" w:eastAsia="宋体" w:cs="宋体"/>
          <w:sz w:val="24"/>
        </w:rPr>
        <w:t>根据甲方工作需要，</w:t>
      </w:r>
      <w:r>
        <w:rPr>
          <w:rFonts w:hint="eastAsia" w:ascii="宋体" w:hAnsi="宋体" w:eastAsia="宋体" w:cs="宋体"/>
          <w:sz w:val="24"/>
          <w:u w:val="single"/>
        </w:rPr>
        <w:t xml:space="preserve">现将    </w:t>
      </w:r>
      <w:r>
        <w:rPr>
          <w:rFonts w:ascii="宋体" w:hAnsi="宋体" w:eastAsia="宋体" w:cs="宋体"/>
          <w:sz w:val="24"/>
          <w:u w:val="single"/>
        </w:rPr>
        <w:t xml:space="preserve">        </w:t>
      </w:r>
      <w:r>
        <w:rPr>
          <w:rFonts w:hint="eastAsia" w:ascii="宋体" w:hAnsi="宋体" w:eastAsia="宋体" w:cs="宋体"/>
          <w:sz w:val="24"/>
          <w:u w:val="single"/>
        </w:rPr>
        <w:t xml:space="preserve">       项目（合同编号：          ）发包乙方</w:t>
      </w:r>
      <w:r>
        <w:rPr>
          <w:rFonts w:hint="eastAsia" w:ascii="宋体" w:hAnsi="宋体" w:eastAsia="宋体" w:cs="宋体"/>
          <w:sz w:val="24"/>
        </w:rPr>
        <w:t>，</w:t>
      </w:r>
      <w:r>
        <w:rPr>
          <w:rFonts w:hint="eastAsia" w:ascii="宋体" w:hAnsi="宋体" w:eastAsia="宋体"/>
          <w:snapToGrid w:val="0"/>
          <w:color w:val="000000"/>
          <w:sz w:val="24"/>
          <w:szCs w:val="24"/>
        </w:rPr>
        <w:t>为了确保实现甲方的安全生产目标，进一步明确双方的安全管理责任，加强安全生产管理工作的协调、管理力度，甲方与乙方依据国家安全生产相关的法律、法规、条例、标准、行业标准，双方同意签订该协议作为正式合同安全管理方面的补充规定，并承诺本协议具有与合同相同的法律效力。具体条款如下：</w:t>
      </w:r>
    </w:p>
    <w:p w14:paraId="39CC85F8">
      <w:pPr>
        <w:pStyle w:val="48"/>
        <w:spacing w:before="0" w:after="0" w:line="560" w:lineRule="exact"/>
        <w:jc w:val="left"/>
        <w:rPr>
          <w:rFonts w:ascii="宋体" w:hAnsi="宋体" w:eastAsia="宋体"/>
          <w:sz w:val="24"/>
          <w:szCs w:val="24"/>
        </w:rPr>
      </w:pPr>
      <w:r>
        <w:rPr>
          <w:rFonts w:hint="eastAsia" w:ascii="宋体" w:hAnsi="宋体" w:eastAsia="宋体"/>
          <w:sz w:val="24"/>
          <w:szCs w:val="24"/>
        </w:rPr>
        <w:t>一、协议有效期限</w:t>
      </w:r>
    </w:p>
    <w:p w14:paraId="4589F5A6">
      <w:pPr>
        <w:spacing w:line="560" w:lineRule="exact"/>
        <w:ind w:firstLine="480" w:firstLineChars="200"/>
        <w:rPr>
          <w:rFonts w:ascii="宋体" w:hAnsi="宋体" w:eastAsia="宋体"/>
          <w:snapToGrid w:val="0"/>
          <w:color w:val="000000"/>
          <w:sz w:val="24"/>
          <w:szCs w:val="24"/>
        </w:rPr>
      </w:pPr>
      <w:r>
        <w:rPr>
          <w:rFonts w:hint="eastAsia" w:ascii="宋体" w:hAnsi="宋体" w:eastAsia="宋体"/>
          <w:snapToGrid w:val="0"/>
          <w:color w:val="000000"/>
          <w:sz w:val="24"/>
          <w:szCs w:val="24"/>
        </w:rPr>
        <w:t>本协议中所涉及的安全管理责任自合同签订之日起开始生效，至合同终止之日。</w:t>
      </w:r>
    </w:p>
    <w:p w14:paraId="1DC27D53">
      <w:pPr>
        <w:pStyle w:val="48"/>
        <w:spacing w:before="0" w:after="0" w:line="560" w:lineRule="exact"/>
        <w:jc w:val="left"/>
        <w:rPr>
          <w:rFonts w:ascii="宋体" w:hAnsi="宋体" w:eastAsia="宋体"/>
          <w:sz w:val="24"/>
          <w:szCs w:val="24"/>
        </w:rPr>
      </w:pPr>
      <w:r>
        <w:rPr>
          <w:rFonts w:hint="eastAsia" w:ascii="宋体" w:hAnsi="宋体" w:eastAsia="宋体"/>
          <w:sz w:val="24"/>
          <w:szCs w:val="24"/>
        </w:rPr>
        <w:t>二、安全管理目标</w:t>
      </w:r>
    </w:p>
    <w:p w14:paraId="238D1604">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(一)乙方承诺履行和承担合同和甲方程序所规定的安全责任，并完成如下控制目标：</w:t>
      </w:r>
    </w:p>
    <w:p w14:paraId="60F031ED">
      <w:pPr>
        <w:pStyle w:val="253"/>
        <w:numPr>
          <w:ilvl w:val="0"/>
          <w:numId w:val="6"/>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不发生重伤及以上人身伤亡事故；</w:t>
      </w:r>
    </w:p>
    <w:p w14:paraId="798BAFCC">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不发生单项直接损失超过20万元以上的经济损失事故；</w:t>
      </w:r>
    </w:p>
    <w:p w14:paraId="06D074A2">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不发生造成20万元以上直接经济损失或致人重伤的火灾事故；</w:t>
      </w:r>
    </w:p>
    <w:p w14:paraId="085F3ACA">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不发生负同等及同等以上责任的且导致重伤1人或轻伤3人及以上，或财产损失3万元以上的交通事故；</w:t>
      </w:r>
    </w:p>
    <w:p w14:paraId="2FF3E018">
      <w:pPr>
        <w:pStyle w:val="253"/>
        <w:numPr>
          <w:ilvl w:val="0"/>
          <w:numId w:val="6"/>
        </w:numPr>
        <w:snapToGrid w:val="0"/>
        <w:spacing w:line="560" w:lineRule="exact"/>
        <w:ind w:firstLineChars="0"/>
        <w:rPr>
          <w:rFonts w:ascii="宋体" w:hAnsi="宋体" w:eastAsia="宋体"/>
          <w:snapToGrid w:val="0"/>
          <w:color w:val="000000"/>
          <w:sz w:val="24"/>
          <w:szCs w:val="24"/>
        </w:rPr>
      </w:pPr>
      <w:r>
        <w:rPr>
          <w:rFonts w:hint="eastAsia" w:ascii="宋体" w:hAnsi="宋体" w:eastAsia="宋体" w:cs="宋体"/>
          <w:sz w:val="24"/>
          <w:szCs w:val="24"/>
        </w:rPr>
        <w:t>不发生被生态环境部门挂网通报或行政处罚的环保事件；</w:t>
      </w:r>
    </w:p>
    <w:p w14:paraId="46D927E6">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snapToGrid w:val="0"/>
          <w:color w:val="000000"/>
          <w:sz w:val="24"/>
          <w:szCs w:val="24"/>
        </w:rPr>
        <w:t>不发生职业病病例；</w:t>
      </w:r>
    </w:p>
    <w:p w14:paraId="0751A032">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snapToGrid w:val="0"/>
          <w:color w:val="000000"/>
          <w:sz w:val="24"/>
          <w:szCs w:val="24"/>
        </w:rPr>
        <w:t>不发生乙方管理责任导致的治安案件、群体事件；</w:t>
      </w:r>
    </w:p>
    <w:p w14:paraId="40C628BA">
      <w:pPr>
        <w:pStyle w:val="253"/>
        <w:numPr>
          <w:ilvl w:val="0"/>
          <w:numId w:val="6"/>
        </w:numPr>
        <w:snapToGrid w:val="0"/>
        <w:spacing w:line="560" w:lineRule="exact"/>
        <w:ind w:firstLineChars="0"/>
        <w:rPr>
          <w:rFonts w:ascii="宋体" w:hAnsi="宋体" w:eastAsia="宋体" w:cs="宋体"/>
          <w:sz w:val="24"/>
          <w:szCs w:val="24"/>
        </w:rPr>
      </w:pPr>
      <w:r>
        <w:rPr>
          <w:rFonts w:hint="eastAsia" w:ascii="宋体" w:hAnsi="宋体" w:eastAsia="宋体" w:cs="宋体"/>
          <w:sz w:val="24"/>
          <w:szCs w:val="24"/>
        </w:rPr>
        <w:t>不发生</w:t>
      </w:r>
      <w:r>
        <w:rPr>
          <w:rFonts w:hint="eastAsia" w:ascii="宋体" w:hAnsi="宋体" w:eastAsia="宋体" w:cs="宋体"/>
          <w:color w:val="000000"/>
          <w:sz w:val="24"/>
          <w:szCs w:val="24"/>
          <w:shd w:val="clear" w:color="auto" w:fill="FFFFFF"/>
        </w:rPr>
        <w:t>安全事故隐瞒不报、谎报或严重迟报（指超过24h）行为。</w:t>
      </w:r>
    </w:p>
    <w:p w14:paraId="6CB412EB">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（二）乙方承诺在作业中控制以下安全事件（行为）的发生：</w:t>
      </w:r>
    </w:p>
    <w:p w14:paraId="6E899404">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人员轻伤事故；</w:t>
      </w:r>
    </w:p>
    <w:p w14:paraId="27EFF948">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未遂事故；</w:t>
      </w:r>
    </w:p>
    <w:p w14:paraId="3301FDD1">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恶性误操作；</w:t>
      </w:r>
    </w:p>
    <w:p w14:paraId="40443C3D">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无票作业；</w:t>
      </w:r>
    </w:p>
    <w:p w14:paraId="5AF217BF">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严重违章、群体违章；</w:t>
      </w:r>
    </w:p>
    <w:p w14:paraId="6D50A34A">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未经培训或培训不合格人员上岗；</w:t>
      </w:r>
    </w:p>
    <w:p w14:paraId="52284FF9">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特种作业人员无证上岗；</w:t>
      </w:r>
    </w:p>
    <w:p w14:paraId="104D5272">
      <w:pPr>
        <w:pStyle w:val="253"/>
        <w:numPr>
          <w:ilvl w:val="0"/>
          <w:numId w:val="7"/>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重大安全隐患。</w:t>
      </w:r>
    </w:p>
    <w:p w14:paraId="0FFB8E08">
      <w:pPr>
        <w:pStyle w:val="48"/>
        <w:spacing w:before="0" w:after="0" w:line="560" w:lineRule="exact"/>
        <w:jc w:val="left"/>
        <w:rPr>
          <w:rFonts w:ascii="宋体" w:hAnsi="宋体" w:eastAsia="宋体"/>
          <w:sz w:val="24"/>
          <w:szCs w:val="24"/>
        </w:rPr>
      </w:pPr>
      <w:r>
        <w:rPr>
          <w:rFonts w:hint="eastAsia" w:ascii="宋体" w:hAnsi="宋体" w:eastAsia="宋体"/>
          <w:sz w:val="24"/>
          <w:szCs w:val="24"/>
        </w:rPr>
        <w:t>三、安全责任</w:t>
      </w:r>
    </w:p>
    <w:p w14:paraId="2F8059E8">
      <w:pPr>
        <w:pStyle w:val="48"/>
        <w:spacing w:before="0" w:after="0" w:line="560" w:lineRule="exact"/>
        <w:jc w:val="left"/>
        <w:rPr>
          <w:rFonts w:ascii="宋体" w:hAnsi="宋体" w:eastAsia="宋体"/>
          <w:sz w:val="24"/>
          <w:szCs w:val="24"/>
        </w:rPr>
      </w:pPr>
      <w:r>
        <w:rPr>
          <w:rFonts w:hint="eastAsia" w:ascii="宋体" w:hAnsi="宋体" w:eastAsia="宋体"/>
          <w:sz w:val="24"/>
          <w:szCs w:val="24"/>
        </w:rPr>
        <w:t>（一）甲方安全责任</w:t>
      </w:r>
    </w:p>
    <w:p w14:paraId="758A9187">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对乙方的资质、条件进行审查，符合安全生产相关规定的要求。</w:t>
      </w:r>
    </w:p>
    <w:p w14:paraId="468CAEDF">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开工前，对乙方提供的人员名单进行入厂安全教育培训、考试。</w:t>
      </w:r>
    </w:p>
    <w:p w14:paraId="20F61B4F">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开工前甲方对乙方进行施工安全技术交底，并应有书面记录或资料。</w:t>
      </w:r>
    </w:p>
    <w:p w14:paraId="51FABB70">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甲方有权检查督促乙方执行有关安全生产方面的工作规定，对乙方不符合安全文明施工标准的行为进行制止、纠正并发出安全整改通知书。</w:t>
      </w:r>
    </w:p>
    <w:p w14:paraId="16E47A67">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甲方指派负责与乙方联系安全生产、质量控制、进度协调等方面的工作。</w:t>
      </w:r>
    </w:p>
    <w:p w14:paraId="691E34E4">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甲方有权对工作票所填写的安全措施是否正确完备进行监督。</w:t>
      </w:r>
    </w:p>
    <w:p w14:paraId="44A667C2">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甲方有权要求乙方制定确保施工安全的组织措施、安全措施和技术措施，并监督执行。</w:t>
      </w:r>
    </w:p>
    <w:p w14:paraId="0226E707">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甲方有权对乙方参与施工的人员进行安全技术知识和安全工作规程的抽考。</w:t>
      </w:r>
    </w:p>
    <w:p w14:paraId="3C1105F7">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发生如上第二项第（二）条所列不安全事件（或行为）的，甲方有权按照本协议考核条款进行考核；发生如上第二项第（一）条控制目标事故的，除依照本协议考核条款进行考核外，还要遵从地方政府对事故的处理决定；因乙方责任原因造成甲方重大损失或重大影响的，甲方保留追诉权。</w:t>
      </w:r>
    </w:p>
    <w:p w14:paraId="696D24BC">
      <w:pPr>
        <w:pStyle w:val="253"/>
        <w:numPr>
          <w:ilvl w:val="0"/>
          <w:numId w:val="8"/>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在有可能造成火灾、爆炸、中毒、窒息、坍塌、高空坠落、触电等容易引起人身伤害和设备事故的高风险区域内的作业，甲方要求乙方制定安全技术措施，经甲方审查后，监督实施。</w:t>
      </w:r>
    </w:p>
    <w:p w14:paraId="56DAF4FE">
      <w:pPr>
        <w:pStyle w:val="48"/>
        <w:spacing w:before="0" w:after="0" w:line="560" w:lineRule="exact"/>
        <w:jc w:val="left"/>
        <w:rPr>
          <w:rFonts w:ascii="宋体" w:hAnsi="宋体" w:eastAsia="宋体"/>
          <w:sz w:val="24"/>
          <w:szCs w:val="24"/>
        </w:rPr>
      </w:pPr>
      <w:r>
        <w:rPr>
          <w:rFonts w:hint="eastAsia" w:ascii="宋体" w:hAnsi="宋体" w:eastAsia="宋体"/>
          <w:sz w:val="24"/>
          <w:szCs w:val="24"/>
        </w:rPr>
        <w:t>（二）乙方安全责任</w:t>
      </w:r>
    </w:p>
    <w:p w14:paraId="37E05561">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乙方的法定代表人对本合同内容的安全管理负有全面领导责任。</w:t>
      </w:r>
    </w:p>
    <w:p w14:paraId="6596DD60">
      <w:pPr>
        <w:pStyle w:val="253"/>
        <w:numPr>
          <w:ilvl w:val="0"/>
          <w:numId w:val="9"/>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乙方项目经理对作业现场的安全工作负有直接领导责任。</w:t>
      </w:r>
    </w:p>
    <w:p w14:paraId="34FF3EE5">
      <w:pPr>
        <w:pStyle w:val="253"/>
        <w:numPr>
          <w:ilvl w:val="0"/>
          <w:numId w:val="9"/>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服从甲方对安全工作的统一协调和监管，遵守甲方安全管理相关规定，接受甲方安全监督人员的指导和监督。在所有的现场工作中，乙方人员必须严格遵守甲方职业健康、安全、环保相关的管理规定，并接受甲方的监督、落实甲方提出的整改要求。</w:t>
      </w:r>
    </w:p>
    <w:p w14:paraId="2968E062">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乙方保证对本项目安全生产条件及其管理资源的投入，保证安全资金的专款专用，并建立适用于本项目的《项目生产安全费用明细一览表》，如实填报，作为项目安全投入的技术性依据。</w:t>
      </w:r>
    </w:p>
    <w:p w14:paraId="4AD95A0B">
      <w:pPr>
        <w:pStyle w:val="253"/>
        <w:numPr>
          <w:ilvl w:val="0"/>
          <w:numId w:val="9"/>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乙方保证建立本项目的安全管理体系，项目安全管理大纲/手册报甲方审查批准后发布实施，安全奖惩制度等安全管理性的程序/制度文件须报甲方备案，相关文件如有升版，应及时分发甲方。</w:t>
      </w:r>
    </w:p>
    <w:p w14:paraId="4E25BD33">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乙方保证现场的项目经理、安全管理专职人员、特种作业人员必须持有符合规定的安全生产培训考核合格证书。</w:t>
      </w:r>
    </w:p>
    <w:p w14:paraId="66A052BA">
      <w:pPr>
        <w:pStyle w:val="253"/>
        <w:numPr>
          <w:ilvl w:val="0"/>
          <w:numId w:val="9"/>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乙方保证为现场所有工作人员配备符合国家标准的个人劳动保护用品。</w:t>
      </w:r>
    </w:p>
    <w:p w14:paraId="20BD902E">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乙方保证按照国家法律规定为所有从业人员办理意外伤害保险、工伤保险，保额不低于当地赔付标准。</w:t>
      </w:r>
    </w:p>
    <w:p w14:paraId="1E4D88BC">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乙方保证生活营地（包括自建的和租用的营地）满足消防、环保、安全用电、卫生防疫、防暴雨、防雷击、防台风等方面的安全标准。</w:t>
      </w:r>
    </w:p>
    <w:p w14:paraId="6A92F413">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乙方保证对入场大型施工机械、特种设备、工器具、大宗材料按照国家法规和标准进行检测、试验，并按规定持有法定部门出具的检验合格证书。</w:t>
      </w:r>
    </w:p>
    <w:p w14:paraId="052A5BFA">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开工前，乙方应组织人员对作业区域、作业环境及使用甲方提供的设施设备、工器具等进行检查，熟悉并确认符合安全要求。一经开工，就表示乙方已确认作业现场、作业环境、设施设备、工器具符合安全要求并处于安全状态。</w:t>
      </w:r>
    </w:p>
    <w:p w14:paraId="56272F40">
      <w:pPr>
        <w:pStyle w:val="253"/>
        <w:numPr>
          <w:ilvl w:val="0"/>
          <w:numId w:val="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保证作业现场符合甲方现场安全要求规范，保持作业现场的良好秩序和整洁的作业环境，作业现场的物料堆放要摆放整齐，安全标志和宣传标志要清楚醒目，废料、废物要按规定分类收集处置，安全通道要畅通。</w:t>
      </w:r>
    </w:p>
    <w:p w14:paraId="18A6B8A3">
      <w:pPr>
        <w:pStyle w:val="48"/>
        <w:spacing w:before="0" w:after="0" w:line="560" w:lineRule="exact"/>
        <w:jc w:val="left"/>
        <w:rPr>
          <w:rFonts w:ascii="宋体" w:hAnsi="宋体" w:eastAsia="宋体"/>
          <w:color w:val="000000"/>
          <w:sz w:val="24"/>
          <w:szCs w:val="24"/>
        </w:rPr>
      </w:pPr>
      <w:r>
        <w:rPr>
          <w:rFonts w:hint="eastAsia" w:ascii="宋体" w:hAnsi="宋体" w:eastAsia="宋体"/>
          <w:sz w:val="24"/>
          <w:szCs w:val="24"/>
        </w:rPr>
        <w:t>四、安全投入</w:t>
      </w:r>
    </w:p>
    <w:p w14:paraId="57351491">
      <w:pPr>
        <w:pStyle w:val="253"/>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乙方应按照法规要求对项目的安全投入做出合理、及时、足量的安排，保证有足够的资金用于建立、维护、改善作业安全环境条件和安全作业条件。</w:t>
      </w:r>
    </w:p>
    <w:p w14:paraId="6DF74832">
      <w:pPr>
        <w:pStyle w:val="253"/>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必须建立专项资金管理机制，保证安全投入专款专用，及时投入，满足现场的安全需求，禁止挪用安全资金。若甲方发现乙方挪用安全资金，则甲方有权在合同支付中扣除，并返作安全投入资金，同时对乙方实施考核。</w:t>
      </w:r>
    </w:p>
    <w:p w14:paraId="1C04737C">
      <w:pPr>
        <w:pStyle w:val="253"/>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乙方的安全投入项目清单如有遗漏，导致合同规定的安全投入专项资金不能满足“安全投入项目”资金需求时，乙方应从其他渠道安排资金，满足现场安全资金的需求。</w:t>
      </w:r>
    </w:p>
    <w:p w14:paraId="31C127DD">
      <w:pPr>
        <w:pStyle w:val="253"/>
        <w:numPr>
          <w:ilvl w:val="0"/>
          <w:numId w:val="10"/>
        </w:numPr>
        <w:snapToGrid w:val="0"/>
        <w:spacing w:line="560" w:lineRule="exact"/>
        <w:ind w:firstLineChars="0"/>
        <w:rPr>
          <w:rFonts w:ascii="宋体" w:hAnsi="宋体" w:eastAsia="宋体"/>
          <w:sz w:val="24"/>
          <w:szCs w:val="24"/>
        </w:rPr>
      </w:pPr>
      <w:r>
        <w:rPr>
          <w:rFonts w:hint="eastAsia" w:ascii="宋体" w:hAnsi="宋体" w:eastAsia="宋体"/>
          <w:snapToGrid w:val="0"/>
          <w:color w:val="000000"/>
          <w:sz w:val="24"/>
          <w:szCs w:val="24"/>
        </w:rPr>
        <w:t>甲方有权对安全投入的使用情况进行检查，乙方应予以配合。</w:t>
      </w:r>
    </w:p>
    <w:p w14:paraId="0168A6C0">
      <w:pPr>
        <w:pStyle w:val="48"/>
        <w:spacing w:before="0" w:after="0" w:line="560" w:lineRule="exact"/>
        <w:jc w:val="left"/>
        <w:rPr>
          <w:rFonts w:ascii="宋体" w:hAnsi="宋体" w:eastAsia="宋体"/>
          <w:sz w:val="24"/>
          <w:szCs w:val="24"/>
        </w:rPr>
      </w:pPr>
      <w:r>
        <w:rPr>
          <w:rFonts w:hint="eastAsia" w:ascii="宋体" w:hAnsi="宋体" w:eastAsia="宋体"/>
          <w:sz w:val="24"/>
          <w:szCs w:val="24"/>
        </w:rPr>
        <w:t>五、接口及协调</w:t>
      </w:r>
    </w:p>
    <w:p w14:paraId="7E42348D">
      <w:pPr>
        <w:pStyle w:val="253"/>
        <w:numPr>
          <w:ilvl w:val="0"/>
          <w:numId w:val="11"/>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乙方必须符合甲方的安全规范，人员、车辆的出入，带入现场的设备、机具、材料，在现场使用的或直接管理的办公、生活、生产性设施的安全管理须满足甲方现场管理的基本要求。</w:t>
      </w:r>
    </w:p>
    <w:p w14:paraId="6193B4FE">
      <w:pPr>
        <w:pStyle w:val="253"/>
        <w:numPr>
          <w:ilvl w:val="0"/>
          <w:numId w:val="1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乙方应指定专职（或兼职）安全管理人员与甲方接口，在业务上接受甲方的协调和指导，参与安全协调和管理。</w:t>
      </w:r>
    </w:p>
    <w:p w14:paraId="32833628">
      <w:pPr>
        <w:pStyle w:val="253"/>
        <w:numPr>
          <w:ilvl w:val="0"/>
          <w:numId w:val="11"/>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乙方的安全管理人员应具备协调安全工作的能力和授权。甲方有权对安全管理人员的能力和权力做出评价，对于不能胜任的安全管理人员，甲方有权要求乙方换人。</w:t>
      </w:r>
    </w:p>
    <w:p w14:paraId="22717AA0">
      <w:pPr>
        <w:pStyle w:val="253"/>
        <w:numPr>
          <w:ilvl w:val="0"/>
          <w:numId w:val="11"/>
        </w:numPr>
        <w:spacing w:line="560" w:lineRule="exact"/>
        <w:ind w:right="199" w:rightChars="83" w:firstLineChars="0"/>
        <w:rPr>
          <w:rFonts w:ascii="宋体" w:hAnsi="宋体" w:eastAsia="宋体"/>
          <w:b/>
          <w:color w:val="000000"/>
          <w:sz w:val="24"/>
          <w:szCs w:val="24"/>
        </w:rPr>
      </w:pPr>
      <w:r>
        <w:rPr>
          <w:rFonts w:hint="eastAsia" w:ascii="宋体" w:hAnsi="宋体" w:eastAsia="宋体"/>
          <w:snapToGrid w:val="0"/>
          <w:color w:val="000000"/>
          <w:sz w:val="24"/>
          <w:szCs w:val="24"/>
        </w:rPr>
        <w:t>如合同内容出现较大变更，本协议的有关条款也应做出相应的修改。</w:t>
      </w:r>
    </w:p>
    <w:p w14:paraId="739738A5">
      <w:pPr>
        <w:pStyle w:val="48"/>
        <w:spacing w:before="0" w:after="0" w:line="560" w:lineRule="exact"/>
        <w:jc w:val="left"/>
        <w:rPr>
          <w:rFonts w:ascii="宋体" w:hAnsi="宋体" w:eastAsia="宋体"/>
          <w:sz w:val="24"/>
          <w:szCs w:val="24"/>
        </w:rPr>
      </w:pPr>
      <w:r>
        <w:rPr>
          <w:rFonts w:hint="eastAsia" w:ascii="宋体" w:hAnsi="宋体" w:eastAsia="宋体"/>
          <w:sz w:val="24"/>
          <w:szCs w:val="24"/>
        </w:rPr>
        <w:t>六、安全资质审查</w:t>
      </w:r>
    </w:p>
    <w:p w14:paraId="08BCF923">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乙方在项目开工前5个工作日向甲方提供以下安全资质供审查和存档：</w:t>
      </w:r>
    </w:p>
    <w:p w14:paraId="051EC37E">
      <w:pPr>
        <w:pStyle w:val="253"/>
        <w:numPr>
          <w:ilvl w:val="0"/>
          <w:numId w:val="12"/>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项目经理及安全管理人员资质；</w:t>
      </w:r>
    </w:p>
    <w:p w14:paraId="44024EB2">
      <w:pPr>
        <w:pStyle w:val="253"/>
        <w:numPr>
          <w:ilvl w:val="0"/>
          <w:numId w:val="12"/>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特种作业人员资格证书；</w:t>
      </w:r>
    </w:p>
    <w:p w14:paraId="6A6433A4">
      <w:pPr>
        <w:pStyle w:val="253"/>
        <w:numPr>
          <w:ilvl w:val="0"/>
          <w:numId w:val="12"/>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适用于本项目的安全管理体系文件；</w:t>
      </w:r>
    </w:p>
    <w:p w14:paraId="512840A6">
      <w:pPr>
        <w:pStyle w:val="253"/>
        <w:numPr>
          <w:ilvl w:val="0"/>
          <w:numId w:val="12"/>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适用于本项目的《项目生产安全费用明细一览表》；</w:t>
      </w:r>
    </w:p>
    <w:p w14:paraId="42B440F9">
      <w:pPr>
        <w:pStyle w:val="253"/>
        <w:numPr>
          <w:ilvl w:val="0"/>
          <w:numId w:val="12"/>
        </w:numPr>
        <w:spacing w:line="560" w:lineRule="exact"/>
        <w:ind w:right="199" w:rightChars="83"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近三年的安全无事故证明（针对建设施工单位）。</w:t>
      </w:r>
    </w:p>
    <w:p w14:paraId="481E9C10">
      <w:pPr>
        <w:pStyle w:val="48"/>
        <w:spacing w:before="0" w:after="0" w:line="560" w:lineRule="exact"/>
        <w:jc w:val="left"/>
        <w:rPr>
          <w:rFonts w:ascii="宋体" w:hAnsi="宋体" w:eastAsia="宋体"/>
          <w:sz w:val="24"/>
          <w:szCs w:val="24"/>
        </w:rPr>
      </w:pPr>
      <w:r>
        <w:rPr>
          <w:rFonts w:hint="eastAsia" w:ascii="宋体" w:hAnsi="宋体" w:eastAsia="宋体"/>
          <w:sz w:val="24"/>
          <w:szCs w:val="24"/>
        </w:rPr>
        <w:t>七、人员基本素质</w:t>
      </w:r>
    </w:p>
    <w:p w14:paraId="0F9AF220">
      <w:pPr>
        <w:snapToGrid w:val="0"/>
        <w:spacing w:line="56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乙方提供的人员必须满足下列要求:</w:t>
      </w:r>
    </w:p>
    <w:p w14:paraId="73404265">
      <w:pPr>
        <w:pStyle w:val="253"/>
        <w:numPr>
          <w:ilvl w:val="0"/>
          <w:numId w:val="1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身体健康，无影响工作的高血压、心脏病、低血糖，无精神疾病、无传染病和其他重大疾病，年龄在</w:t>
      </w:r>
      <w:r>
        <w:rPr>
          <w:rFonts w:hint="eastAsia" w:ascii="宋体" w:hAnsi="宋体" w:eastAsia="宋体"/>
          <w:snapToGrid w:val="0"/>
          <w:color w:val="000000"/>
          <w:sz w:val="24"/>
          <w:szCs w:val="24"/>
          <w:u w:val="single"/>
        </w:rPr>
        <w:t>55</w:t>
      </w:r>
      <w:r>
        <w:rPr>
          <w:rFonts w:hint="eastAsia" w:ascii="宋体" w:hAnsi="宋体" w:eastAsia="宋体"/>
          <w:snapToGrid w:val="0"/>
          <w:color w:val="000000"/>
          <w:sz w:val="24"/>
          <w:szCs w:val="24"/>
        </w:rPr>
        <w:t>岁以下；在上岗前应提供符合甲方要求的体检报告以供审核评价，作为人员办理相应入场授权证件的必备材料；</w:t>
      </w:r>
    </w:p>
    <w:p w14:paraId="555E476F">
      <w:pPr>
        <w:pStyle w:val="253"/>
        <w:numPr>
          <w:ilvl w:val="0"/>
          <w:numId w:val="1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无刑事案件牵连；</w:t>
      </w:r>
    </w:p>
    <w:p w14:paraId="13CD2CC7">
      <w:pPr>
        <w:pStyle w:val="253"/>
        <w:numPr>
          <w:ilvl w:val="0"/>
          <w:numId w:val="1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无吸毒、酗酒、赌博、嫖娼等恶习及违法行为；</w:t>
      </w:r>
    </w:p>
    <w:p w14:paraId="3B1C2B39">
      <w:pPr>
        <w:pStyle w:val="253"/>
        <w:numPr>
          <w:ilvl w:val="0"/>
          <w:numId w:val="1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甲方有权对乙方员工的基本素质情况进行检查，对不能满足要求的人员有权进行清理，对乙方则予以考核。</w:t>
      </w:r>
    </w:p>
    <w:p w14:paraId="192D8B94">
      <w:pPr>
        <w:pStyle w:val="48"/>
        <w:spacing w:before="0" w:after="0" w:line="560" w:lineRule="exact"/>
        <w:jc w:val="left"/>
        <w:rPr>
          <w:rFonts w:ascii="宋体" w:hAnsi="宋体" w:eastAsia="宋体"/>
          <w:color w:val="000000"/>
          <w:sz w:val="24"/>
          <w:szCs w:val="24"/>
        </w:rPr>
      </w:pPr>
      <w:r>
        <w:rPr>
          <w:rFonts w:hint="eastAsia" w:ascii="宋体" w:hAnsi="宋体" w:eastAsia="宋体"/>
          <w:sz w:val="24"/>
          <w:szCs w:val="24"/>
        </w:rPr>
        <w:t>八、劳动保护</w:t>
      </w:r>
    </w:p>
    <w:p w14:paraId="4327444E">
      <w:pPr>
        <w:pStyle w:val="253"/>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乙方须为其从业人员提供符合国家标准的劳动保护用品，包括安全鞋、工作服和安全帽、安全带、防酸碱服和防酸碱手套、呼吸保护器、口罩、护目镜等。</w:t>
      </w:r>
    </w:p>
    <w:p w14:paraId="040E476D">
      <w:pPr>
        <w:pStyle w:val="253"/>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乙方入场前将个人劳动保护用品配用标准交甲方审核。</w:t>
      </w:r>
    </w:p>
    <w:p w14:paraId="42D01FC2">
      <w:pPr>
        <w:pStyle w:val="253"/>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乙方应为其从事射线探伤人员配备个人剂量计。</w:t>
      </w:r>
    </w:p>
    <w:p w14:paraId="0E480C64">
      <w:pPr>
        <w:pStyle w:val="253"/>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乙方的劳动保护必须满足甲方的劳动保护要求；甲方对乙方安全实施的情况进行检查，乙方应予以配合,不满足安全条件的，甲方有权中止现场活动，由此产生的工期和成本的影响,由乙方自行负责。</w:t>
      </w:r>
    </w:p>
    <w:p w14:paraId="72746F13">
      <w:pPr>
        <w:pStyle w:val="253"/>
        <w:numPr>
          <w:ilvl w:val="0"/>
          <w:numId w:val="14"/>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开工前应组织全体施工人员认真学习《中华人民共和国安全生产法》、《电力安全工作规程》、《电力建设安全工作规程》、甲方安健环管理规章制度等规定中的相关部分，经考试合格方可进行工作，并将考试成绩书面报甲方项目公司审核备案。若发生人员变更，在进入现场前，保证遵照以上程序办理报备。</w:t>
      </w:r>
    </w:p>
    <w:p w14:paraId="794A1576">
      <w:pPr>
        <w:pStyle w:val="253"/>
        <w:numPr>
          <w:ilvl w:val="0"/>
          <w:numId w:val="14"/>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乙方负责所属工作人员着装整齐，符合《电力安全工作规程》着装规定，佩戴《出入证》和反光马甲。乙方保证不使用未成年工和不适应现场安全施工的老、弱、病、残等人员进行施工。</w:t>
      </w:r>
    </w:p>
    <w:p w14:paraId="143A61A7">
      <w:pPr>
        <w:pStyle w:val="48"/>
        <w:spacing w:before="0" w:after="0" w:line="560" w:lineRule="exact"/>
        <w:jc w:val="left"/>
        <w:rPr>
          <w:rFonts w:ascii="宋体" w:hAnsi="宋体" w:eastAsia="宋体"/>
          <w:sz w:val="24"/>
          <w:szCs w:val="24"/>
        </w:rPr>
      </w:pPr>
      <w:r>
        <w:rPr>
          <w:rFonts w:hint="eastAsia" w:ascii="宋体" w:hAnsi="宋体" w:eastAsia="宋体"/>
          <w:sz w:val="24"/>
          <w:szCs w:val="24"/>
        </w:rPr>
        <w:t>九、作业机具与材料</w:t>
      </w:r>
    </w:p>
    <w:p w14:paraId="457CF99B">
      <w:pPr>
        <w:pStyle w:val="253"/>
        <w:numPr>
          <w:ilvl w:val="0"/>
          <w:numId w:val="15"/>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乙方对带入现场的作业机械和工器具的安全可靠性负责。</w:t>
      </w:r>
    </w:p>
    <w:p w14:paraId="46861E18">
      <w:pPr>
        <w:pStyle w:val="253"/>
        <w:numPr>
          <w:ilvl w:val="0"/>
          <w:numId w:val="15"/>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对于乙方带入现场的特殊工器具、设备，如起重设备、索具、机动车辆、压缩气瓶等，乙方必须按国家法规和标准进行检测、试验，并按规定持有法定部门出具的检验合格证书。</w:t>
      </w:r>
    </w:p>
    <w:p w14:paraId="4F4C3533">
      <w:pPr>
        <w:pStyle w:val="253"/>
        <w:numPr>
          <w:ilvl w:val="0"/>
          <w:numId w:val="15"/>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对于不属于法定检测的工器具，乙方也必须建立相应的管理、检测制度。</w:t>
      </w:r>
    </w:p>
    <w:p w14:paraId="3B4C4D04">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十、安全监督</w:t>
      </w:r>
    </w:p>
    <w:p w14:paraId="3B4AC32E">
      <w:pPr>
        <w:pStyle w:val="253"/>
        <w:numPr>
          <w:ilvl w:val="0"/>
          <w:numId w:val="16"/>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乙方应设安全监督机构，建立、健全安全、消防、应急、环保、职业健康等管理体系。配备有满足项目安全管理需要的安全管理人员，并持证上岗。</w:t>
      </w:r>
    </w:p>
    <w:p w14:paraId="2E1AB3FC">
      <w:pPr>
        <w:pStyle w:val="253"/>
        <w:numPr>
          <w:ilvl w:val="0"/>
          <w:numId w:val="16"/>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乙方的安全管理专职人员必须经过甲方考核，且常驻现场；乙方的专职安全监督人员在业务上接受甲方的协调和指导。</w:t>
      </w:r>
    </w:p>
    <w:p w14:paraId="554E2610">
      <w:pPr>
        <w:pStyle w:val="253"/>
        <w:numPr>
          <w:ilvl w:val="0"/>
          <w:numId w:val="16"/>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乙方应定期开展安全生产自我评估，开展经验反馈活动和日常安全宣传教育，传达甲方的安全要求和信息、对本单位的风险和安全指标趋势进行分析和预测，提出安全工作重点，并向甲方提供评估报告。</w:t>
      </w:r>
    </w:p>
    <w:p w14:paraId="290FB1F3">
      <w:pPr>
        <w:pStyle w:val="253"/>
        <w:numPr>
          <w:ilvl w:val="0"/>
          <w:numId w:val="16"/>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乙方应接受和配合甲方的监督与安全评估。</w:t>
      </w:r>
    </w:p>
    <w:p w14:paraId="49636BA6">
      <w:pPr>
        <w:pStyle w:val="253"/>
        <w:numPr>
          <w:ilvl w:val="0"/>
          <w:numId w:val="16"/>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甲方有权对乙方履行安全条款的情况进行监督，并有权对违章行为进行考核。</w:t>
      </w:r>
    </w:p>
    <w:p w14:paraId="4352A54A">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十一、安全培训与授权</w:t>
      </w:r>
    </w:p>
    <w:p w14:paraId="0B10BEF7">
      <w:pPr>
        <w:pStyle w:val="253"/>
        <w:numPr>
          <w:ilvl w:val="0"/>
          <w:numId w:val="17"/>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乙方所有特种作业人员必须持证上岗，甲方有权对其进行抽查。乙方要建立特种作业定期培训和检查计划，这些工种包括但不限于：高压焊工、起重工、电工、架子工等。</w:t>
      </w:r>
    </w:p>
    <w:p w14:paraId="6E6C0783">
      <w:pPr>
        <w:pStyle w:val="253"/>
        <w:numPr>
          <w:ilvl w:val="0"/>
          <w:numId w:val="17"/>
        </w:numPr>
        <w:spacing w:line="560" w:lineRule="exact"/>
        <w:ind w:firstLineChars="0"/>
        <w:rPr>
          <w:rFonts w:ascii="宋体" w:hAnsi="宋体" w:eastAsia="宋体"/>
          <w:b/>
          <w:color w:val="000000"/>
          <w:sz w:val="24"/>
          <w:szCs w:val="24"/>
        </w:rPr>
      </w:pPr>
      <w:r>
        <w:rPr>
          <w:rFonts w:hint="eastAsia" w:ascii="宋体" w:hAnsi="宋体" w:eastAsia="宋体"/>
          <w:snapToGrid w:val="0"/>
          <w:color w:val="000000"/>
          <w:sz w:val="24"/>
          <w:szCs w:val="24"/>
        </w:rPr>
        <w:t>由乙方负责其员工安全、消防、应急、环保、职业健康培训和授权的，其培训大纲、教材内容、教员资格等提交甲方审核。甲方有权对乙方培训质量进行检查，对不符合要求的人员，将不能进入现场工作。</w:t>
      </w:r>
    </w:p>
    <w:p w14:paraId="25665E0B">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十二、入场控制</w:t>
      </w:r>
    </w:p>
    <w:p w14:paraId="722AC364">
      <w:pPr>
        <w:pStyle w:val="253"/>
        <w:numPr>
          <w:ilvl w:val="0"/>
          <w:numId w:val="18"/>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甲方对乙方安全准备的情况进行检查。不满足开工安全条件的，乙方不得入场，由此产生的工期和成本的影响，由乙方自行负责。</w:t>
      </w:r>
    </w:p>
    <w:p w14:paraId="6C8E0AF9">
      <w:pPr>
        <w:pStyle w:val="253"/>
        <w:numPr>
          <w:ilvl w:val="0"/>
          <w:numId w:val="18"/>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入场前安全检查的基本内容包括：安全责任制建设、安全投入、危险源识别和风险分析、施工机械的安全状况、安全工器具和材料、安全培训教材和教员、专职安全人员的到岗情况、培训的有效性、流动人员控制、个人劳动保护用品的发放等内容。</w:t>
      </w:r>
    </w:p>
    <w:p w14:paraId="5BADE63B">
      <w:pPr>
        <w:pStyle w:val="48"/>
        <w:spacing w:before="0" w:after="0" w:line="560" w:lineRule="exact"/>
        <w:jc w:val="both"/>
        <w:rPr>
          <w:rFonts w:ascii="宋体" w:hAnsi="宋体" w:eastAsia="宋体"/>
          <w:sz w:val="24"/>
          <w:szCs w:val="24"/>
        </w:rPr>
      </w:pPr>
      <w:r>
        <w:rPr>
          <w:rFonts w:hint="eastAsia" w:ascii="宋体" w:hAnsi="宋体" w:eastAsia="宋体"/>
          <w:sz w:val="24"/>
          <w:szCs w:val="24"/>
        </w:rPr>
        <w:t>十三、职业健康与卫生防疫</w:t>
      </w:r>
    </w:p>
    <w:p w14:paraId="6FCFF3F4">
      <w:pPr>
        <w:pStyle w:val="253"/>
        <w:numPr>
          <w:ilvl w:val="0"/>
          <w:numId w:val="19"/>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乙方应有特殊健康检查制度，预防有禁忌症患者从事有关职业，如恐高症患者不得从事高空作业，特种作业人员的体检应符合国家的规定。杜绝体检不合格或犯职业禁忌症人员上岗。</w:t>
      </w:r>
    </w:p>
    <w:p w14:paraId="088ECDD9">
      <w:pPr>
        <w:pStyle w:val="253"/>
        <w:numPr>
          <w:ilvl w:val="0"/>
          <w:numId w:val="1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乙方应保证卫生防疫基本设施的投入，以满足医疗、急救的要求。</w:t>
      </w:r>
    </w:p>
    <w:p w14:paraId="61B87207">
      <w:pPr>
        <w:pStyle w:val="253"/>
        <w:numPr>
          <w:ilvl w:val="0"/>
          <w:numId w:val="19"/>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卫生防疫措施计划，做好生活区和作业区的卫生防疫工作；制定和执行保证饮水卫生、饮食卫生、环境卫生和预防集体食物中毒的措施；有灭蚊、灭鼠和消毒的专项工作计划；有针对性地制订预防SARS、冠状病毒肺炎、禽流感、疟疾、霍乱、肠道传染病、肝炎等疾病的措施。</w:t>
      </w:r>
    </w:p>
    <w:p w14:paraId="3DFD3AEB">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十四、项目风险管理与事故预防</w:t>
      </w:r>
    </w:p>
    <w:p w14:paraId="49C9DC83">
      <w:pPr>
        <w:pStyle w:val="253"/>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乙方应对作业过程进行全面、深入的危险源识别和风险分析。在作业安全组织设计中提供危险源及重要危险源清单、作业风险分析报告，该报告应包括（但不限于）如下信息：</w:t>
      </w:r>
    </w:p>
    <w:p w14:paraId="446A1676">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高风险作业和工种清单：作业名称、这些作业工种的类别和数量、主要事故风险。</w:t>
      </w:r>
    </w:p>
    <w:p w14:paraId="381A14CB">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作业机械的种类、数量和主要事故风险。</w:t>
      </w:r>
    </w:p>
    <w:p w14:paraId="510CD4CD">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作业条件的类型和主要事故风险。</w:t>
      </w:r>
    </w:p>
    <w:p w14:paraId="67CA7838">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主要工艺过程（或作业活动）的类别及其相关的事故风险。</w:t>
      </w:r>
    </w:p>
    <w:p w14:paraId="7464EC8C">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主要火灾危险（可燃物、点火源）。</w:t>
      </w:r>
    </w:p>
    <w:p w14:paraId="44D52ADE">
      <w:pPr>
        <w:pStyle w:val="253"/>
        <w:numPr>
          <w:ilvl w:val="0"/>
          <w:numId w:val="21"/>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其他。</w:t>
      </w:r>
    </w:p>
    <w:p w14:paraId="0AB53EF3">
      <w:pPr>
        <w:pStyle w:val="253"/>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乙方应针对识别出的危险源制定有针对性的事故预防措施并确保在作业中得到有效落实。</w:t>
      </w:r>
    </w:p>
    <w:p w14:paraId="53CC6B76">
      <w:pPr>
        <w:pStyle w:val="253"/>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乙方应建立日常作业活动的动态作业风险分析和安全交底制度。该制度应明确规定风险分析的方法、责任和交底的内容、时间及记录。</w:t>
      </w:r>
    </w:p>
    <w:p w14:paraId="03CFD96F">
      <w:pPr>
        <w:pStyle w:val="253"/>
        <w:numPr>
          <w:ilvl w:val="0"/>
          <w:numId w:val="20"/>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对于危险性较大的施工、维修作业，乙方必须专门制定施工安全方案，并报甲方备案。甲方认为不合格的方案，有权要求乙方重新进行制定，新方案批准前不得开工。开工前，对作业组成员开展安全技术交底。</w:t>
      </w:r>
    </w:p>
    <w:p w14:paraId="58FD4D3F">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十五、事故报告与应急救援</w:t>
      </w:r>
    </w:p>
    <w:p w14:paraId="78BC18EB">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乙方应建立安全事故统计记录、医学处置事件统计记录、未遂事件统计记录、违章统计记录，并根据统计情况进行分析，并就分析结果制定相应的预防措施。</w:t>
      </w:r>
    </w:p>
    <w:p w14:paraId="0C70A5BE">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乙方应根据《电力安全隐患监督管理暂行规定》等规定要求建立安全隐患统计记录，并根据统计情况进行分析，并就分析结果制定相应的预防措施。</w:t>
      </w:r>
    </w:p>
    <w:p w14:paraId="16498378">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建立生产安全事件报告准则；对于未遂事件及以上级别的安全事件和事故，应建立事故快速报告制度，即在事件、事故发生后，立即口头报告甲方。在事件发生后的24小时以内，向甲方发出书面安全事件通告。</w:t>
      </w:r>
    </w:p>
    <w:p w14:paraId="32ACB877">
      <w:pPr>
        <w:pStyle w:val="253"/>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乙方应制定安全生产事故/事件管理程序，发生事故/事件后要及时向甲方报告，不得瞒报、漏报、谎报和迟报。</w:t>
      </w:r>
    </w:p>
    <w:p w14:paraId="40920D96">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应根据国家相关法规、文件规定和甲方相关管理程序要求，建立应急管理体系和应急救援机制，制定本单位突发事件应急预案和核事故应急撤离计划，准备并保障相应的应急物资，严格按照甲方的要求及时报送应急值班信息和本单位人员、资源等信息，在事故情况下及时启动应急响应机制，及时报告相关信息，并采取措施限制事故扩大,必要时接受甲方的统一协调和指挥。</w:t>
      </w:r>
    </w:p>
    <w:p w14:paraId="75F37A84">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在现场其他单位发生重大事故时，乙方应无条件立即配合、支持事故抢险。</w:t>
      </w:r>
    </w:p>
    <w:p w14:paraId="157E3F9F">
      <w:pPr>
        <w:pStyle w:val="253"/>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乙方必须为事故处置支付各项费用，包括受伤者的抚恤、补偿等费用，对甲方造成损失的，造价赔偿。</w:t>
      </w:r>
    </w:p>
    <w:p w14:paraId="0E932155">
      <w:pPr>
        <w:pStyle w:val="253"/>
        <w:numPr>
          <w:ilvl w:val="0"/>
          <w:numId w:val="22"/>
        </w:numPr>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涉及乙方员工的伤害事故，乙方除要报告甲方外，还应负责按照国家、行业和本单位上级公司的要求，上报事故。</w:t>
      </w:r>
    </w:p>
    <w:p w14:paraId="4B4DA457">
      <w:pPr>
        <w:pStyle w:val="253"/>
        <w:numPr>
          <w:ilvl w:val="0"/>
          <w:numId w:val="22"/>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乙方负责组织事件调查的，甲方有权参与。</w:t>
      </w:r>
    </w:p>
    <w:p w14:paraId="7D847380">
      <w:pPr>
        <w:pStyle w:val="48"/>
        <w:spacing w:before="0" w:after="0" w:line="560" w:lineRule="exact"/>
        <w:jc w:val="left"/>
        <w:rPr>
          <w:rFonts w:ascii="宋体" w:hAnsi="宋体" w:eastAsia="宋体"/>
          <w:sz w:val="24"/>
          <w:szCs w:val="24"/>
        </w:rPr>
      </w:pPr>
      <w:r>
        <w:rPr>
          <w:rFonts w:hint="eastAsia" w:ascii="宋体" w:hAnsi="宋体" w:eastAsia="宋体"/>
          <w:sz w:val="24"/>
          <w:szCs w:val="24"/>
        </w:rPr>
        <w:t>十六、协议条款的修订</w:t>
      </w:r>
    </w:p>
    <w:p w14:paraId="48B5DA7F">
      <w:pPr>
        <w:pStyle w:val="253"/>
        <w:numPr>
          <w:ilvl w:val="0"/>
          <w:numId w:val="2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在项目实施过程中，经双方友好协商，本协议的有关条款也可做出相应的修改。</w:t>
      </w:r>
    </w:p>
    <w:p w14:paraId="002CC4C0">
      <w:pPr>
        <w:pStyle w:val="253"/>
        <w:numPr>
          <w:ilvl w:val="0"/>
          <w:numId w:val="23"/>
        </w:numPr>
        <w:snapToGrid w:val="0"/>
        <w:spacing w:line="56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本协议自合同生效日起实施，甲方保留最终解释权。</w:t>
      </w:r>
    </w:p>
    <w:p w14:paraId="5352A5BD">
      <w:pPr>
        <w:pStyle w:val="48"/>
        <w:spacing w:before="0" w:after="0" w:line="560" w:lineRule="exact"/>
        <w:jc w:val="left"/>
        <w:rPr>
          <w:rFonts w:ascii="宋体" w:hAnsi="宋体" w:eastAsia="宋体"/>
          <w:sz w:val="24"/>
          <w:szCs w:val="24"/>
        </w:rPr>
      </w:pPr>
      <w:r>
        <w:rPr>
          <w:rFonts w:hint="eastAsia" w:ascii="宋体" w:hAnsi="宋体" w:eastAsia="宋体"/>
          <w:sz w:val="24"/>
          <w:szCs w:val="24"/>
        </w:rPr>
        <w:t>十七、附件</w:t>
      </w:r>
    </w:p>
    <w:p w14:paraId="6F472A2E">
      <w:pPr>
        <w:pStyle w:val="48"/>
        <w:spacing w:before="0" w:after="0" w:line="560" w:lineRule="exact"/>
        <w:jc w:val="left"/>
        <w:rPr>
          <w:rFonts w:ascii="宋体" w:hAnsi="宋体" w:eastAsia="宋体"/>
          <w:b w:val="0"/>
          <w:bCs w:val="0"/>
          <w:sz w:val="24"/>
          <w:szCs w:val="24"/>
        </w:rPr>
      </w:pPr>
      <w:r>
        <w:rPr>
          <w:rFonts w:hint="eastAsia" w:ascii="宋体" w:hAnsi="宋体" w:eastAsia="宋体"/>
          <w:b w:val="0"/>
          <w:bCs w:val="0"/>
          <w:sz w:val="24"/>
          <w:szCs w:val="24"/>
        </w:rPr>
        <w:t>附件1：考核指标定义</w:t>
      </w:r>
    </w:p>
    <w:p w14:paraId="76A5D35E">
      <w:pPr>
        <w:pStyle w:val="48"/>
        <w:spacing w:before="0" w:after="0" w:line="560" w:lineRule="exact"/>
        <w:jc w:val="left"/>
        <w:rPr>
          <w:rFonts w:ascii="宋体" w:hAnsi="宋体" w:eastAsia="宋体"/>
          <w:b w:val="0"/>
          <w:bCs w:val="0"/>
          <w:sz w:val="24"/>
          <w:szCs w:val="24"/>
        </w:rPr>
      </w:pPr>
      <w:r>
        <w:rPr>
          <w:rFonts w:hint="eastAsia" w:ascii="宋体" w:hAnsi="宋体" w:eastAsia="宋体"/>
          <w:b w:val="0"/>
          <w:bCs w:val="0"/>
          <w:sz w:val="24"/>
          <w:szCs w:val="24"/>
        </w:rPr>
        <w:t>附件2：考核条款</w:t>
      </w:r>
    </w:p>
    <w:p w14:paraId="232F3387">
      <w:pPr>
        <w:tabs>
          <w:tab w:val="center" w:pos="4433"/>
        </w:tabs>
        <w:spacing w:line="560" w:lineRule="exact"/>
        <w:ind w:firstLine="480" w:firstLineChars="200"/>
        <w:rPr>
          <w:rFonts w:ascii="宋体" w:hAnsi="宋体" w:eastAsia="宋体" w:cs="宋体"/>
          <w:sz w:val="24"/>
        </w:rPr>
      </w:pPr>
      <w:r>
        <w:rPr>
          <w:rFonts w:hint="eastAsia" w:ascii="宋体" w:hAnsi="宋体" w:eastAsia="宋体" w:cs="宋体"/>
          <w:sz w:val="24"/>
        </w:rPr>
        <w:t>本协议一式二份，经双方法定代表人或委托代理人签字、盖章后生效，与合同（合同编号：        ）具有同等法律效率。本协议一式两份，甲、乙双方各执一份。</w:t>
      </w:r>
    </w:p>
    <w:p w14:paraId="18313355">
      <w:pPr>
        <w:tabs>
          <w:tab w:val="center" w:pos="4433"/>
        </w:tabs>
        <w:spacing w:line="560" w:lineRule="exact"/>
        <w:rPr>
          <w:rFonts w:ascii="仿宋_GB2312" w:eastAsia="仿宋_GB2312"/>
          <w:sz w:val="24"/>
        </w:rPr>
      </w:pPr>
    </w:p>
    <w:p w14:paraId="32199ECE">
      <w:pPr>
        <w:spacing w:line="560" w:lineRule="exact"/>
        <w:rPr>
          <w:rFonts w:ascii="宋体" w:hAnsi="宋体" w:eastAsia="宋体" w:cs="宋体"/>
          <w:bCs/>
          <w:color w:val="FFFFFF"/>
          <w:sz w:val="24"/>
        </w:rPr>
      </w:pPr>
      <w:r>
        <w:rPr>
          <w:rFonts w:hint="eastAsia" w:ascii="宋体" w:hAnsi="宋体" w:eastAsia="宋体" w:cs="宋体"/>
          <w:bCs/>
          <w:sz w:val="24"/>
        </w:rPr>
        <w:t>发包单位：</w:t>
      </w:r>
      <w:r>
        <w:rPr>
          <w:rFonts w:hint="eastAsia" w:ascii="宋体" w:hAnsi="宋体" w:eastAsia="宋体"/>
          <w:bCs/>
          <w:spacing w:val="-10"/>
          <w:sz w:val="24"/>
          <w:u w:val="single"/>
        </w:rPr>
        <w:t>东莞市新东元环保投资有限公司</w:t>
      </w:r>
      <w:r>
        <w:rPr>
          <w:rFonts w:hint="eastAsia" w:ascii="宋体" w:hAnsi="宋体" w:eastAsia="宋体" w:cs="宋体"/>
          <w:bCs/>
          <w:spacing w:val="-10"/>
          <w:sz w:val="24"/>
        </w:rPr>
        <w:t xml:space="preserve">  </w:t>
      </w:r>
      <w:r>
        <w:rPr>
          <w:rFonts w:hint="eastAsia" w:ascii="宋体" w:hAnsi="宋体" w:eastAsia="宋体" w:cs="宋体"/>
          <w:bCs/>
          <w:sz w:val="24"/>
        </w:rPr>
        <w:t xml:space="preserve">  承包单位：</w:t>
      </w:r>
      <w:r>
        <w:rPr>
          <w:rFonts w:hint="eastAsia" w:ascii="宋体" w:hAnsi="宋体" w:eastAsia="宋体" w:cs="宋体"/>
          <w:bCs/>
          <w:color w:val="FFFFFF"/>
          <w:sz w:val="24"/>
        </w:rPr>
        <w:t xml:space="preserve"> </w:t>
      </w:r>
    </w:p>
    <w:p w14:paraId="4CB6199E">
      <w:pPr>
        <w:pStyle w:val="2"/>
        <w:tabs>
          <w:tab w:val="left" w:pos="930"/>
        </w:tabs>
        <w:rPr>
          <w:rFonts w:hint="eastAsia"/>
        </w:rPr>
      </w:pPr>
    </w:p>
    <w:p w14:paraId="511B1F34">
      <w:pPr>
        <w:spacing w:line="560" w:lineRule="exact"/>
        <w:rPr>
          <w:rFonts w:ascii="宋体" w:hAnsi="宋体" w:eastAsia="宋体" w:cs="宋体"/>
          <w:bCs/>
          <w:sz w:val="24"/>
        </w:rPr>
      </w:pPr>
      <w:r>
        <w:rPr>
          <w:rFonts w:hint="eastAsia" w:ascii="宋体" w:hAnsi="宋体" w:eastAsia="宋体" w:cs="宋体"/>
          <w:bCs/>
          <w:sz w:val="24"/>
        </w:rPr>
        <w:t>（盖章）                              （盖章）</w:t>
      </w:r>
    </w:p>
    <w:p w14:paraId="7B7F961A">
      <w:pPr>
        <w:spacing w:line="560" w:lineRule="exact"/>
        <w:rPr>
          <w:rFonts w:ascii="宋体" w:hAnsi="宋体" w:eastAsia="宋体" w:cs="宋体"/>
          <w:bCs/>
          <w:sz w:val="24"/>
        </w:rPr>
      </w:pPr>
      <w:r>
        <w:rPr>
          <w:rFonts w:hint="eastAsia" w:ascii="宋体" w:hAnsi="宋体" w:eastAsia="宋体" w:cs="宋体"/>
          <w:bCs/>
          <w:sz w:val="24"/>
        </w:rPr>
        <w:t>法定代表人或                           法定代表人或</w:t>
      </w:r>
    </w:p>
    <w:p w14:paraId="0D73ABF3">
      <w:pPr>
        <w:spacing w:line="560" w:lineRule="exact"/>
        <w:rPr>
          <w:rFonts w:ascii="宋体" w:hAnsi="宋体" w:eastAsia="宋体" w:cs="宋体"/>
          <w:bCs/>
          <w:sz w:val="24"/>
        </w:rPr>
      </w:pPr>
      <w:r>
        <w:rPr>
          <w:rFonts w:hint="eastAsia" w:ascii="宋体" w:hAnsi="宋体" w:eastAsia="宋体" w:cs="宋体"/>
          <w:bCs/>
          <w:sz w:val="24"/>
        </w:rPr>
        <w:t>代表人：                               代表人：</w:t>
      </w:r>
    </w:p>
    <w:p w14:paraId="2A665539">
      <w:pPr>
        <w:spacing w:line="560" w:lineRule="exact"/>
        <w:rPr>
          <w:rFonts w:ascii="宋体" w:hAnsi="宋体" w:eastAsia="宋体" w:cs="宋体"/>
          <w:snapToGrid w:val="0"/>
          <w:color w:val="000000"/>
          <w:sz w:val="24"/>
          <w:szCs w:val="24"/>
        </w:rPr>
      </w:pPr>
      <w:r>
        <w:rPr>
          <w:rFonts w:hint="eastAsia" w:ascii="宋体" w:hAnsi="宋体" w:eastAsia="宋体" w:cs="宋体"/>
          <w:bCs/>
          <w:sz w:val="24"/>
        </w:rPr>
        <w:t>日  期：  年  月   日                  日  期：  年    月   日</w:t>
      </w:r>
    </w:p>
    <w:p w14:paraId="60DAFF5E">
      <w:pPr>
        <w:snapToGrid w:val="0"/>
        <w:spacing w:line="560" w:lineRule="exact"/>
        <w:rPr>
          <w:rFonts w:ascii="宋体" w:hAnsi="宋体" w:eastAsia="宋体" w:cs="宋体"/>
          <w:snapToGrid w:val="0"/>
          <w:color w:val="000000"/>
          <w:sz w:val="24"/>
          <w:szCs w:val="24"/>
        </w:rPr>
        <w:sectPr>
          <w:pgSz w:w="11906" w:h="16838"/>
          <w:pgMar w:top="2098" w:right="1474" w:bottom="1985" w:left="1588" w:header="851" w:footer="992" w:gutter="0"/>
          <w:cols w:space="425" w:num="1"/>
          <w:docGrid w:type="lines" w:linePitch="579" w:charSpace="17613"/>
        </w:sectPr>
      </w:pPr>
    </w:p>
    <w:p w14:paraId="38455D86">
      <w:pPr>
        <w:spacing w:line="560" w:lineRule="exact"/>
        <w:jc w:val="left"/>
        <w:rPr>
          <w:rFonts w:ascii="宋体" w:hAnsi="宋体" w:eastAsia="宋体"/>
          <w:bCs/>
          <w:snapToGrid w:val="0"/>
          <w:color w:val="000000"/>
          <w:sz w:val="24"/>
          <w:szCs w:val="24"/>
        </w:rPr>
      </w:pPr>
      <w:r>
        <w:rPr>
          <w:rFonts w:hint="eastAsia" w:ascii="宋体" w:hAnsi="宋体" w:eastAsia="宋体"/>
          <w:bCs/>
          <w:snapToGrid w:val="0"/>
          <w:color w:val="000000"/>
          <w:sz w:val="24"/>
          <w:szCs w:val="24"/>
        </w:rPr>
        <w:t>附件1 考核指标定义</w:t>
      </w:r>
    </w:p>
    <w:p w14:paraId="7264A808">
      <w:pPr>
        <w:spacing w:line="560" w:lineRule="exact"/>
        <w:jc w:val="center"/>
        <w:rPr>
          <w:rFonts w:ascii="宋体" w:hAnsi="宋体" w:eastAsia="宋体"/>
          <w:b/>
          <w:snapToGrid w:val="0"/>
          <w:color w:val="000000"/>
          <w:sz w:val="24"/>
          <w:szCs w:val="24"/>
        </w:rPr>
      </w:pPr>
      <w:r>
        <w:rPr>
          <w:rFonts w:hint="eastAsia" w:ascii="宋体" w:hAnsi="宋体" w:eastAsia="宋体"/>
          <w:b/>
          <w:snapToGrid w:val="0"/>
          <w:color w:val="000000"/>
          <w:sz w:val="24"/>
          <w:szCs w:val="24"/>
        </w:rPr>
        <w:t>考核指标定义</w:t>
      </w:r>
    </w:p>
    <w:p w14:paraId="761C7C90">
      <w:pPr>
        <w:pStyle w:val="253"/>
        <w:numPr>
          <w:ilvl w:val="0"/>
          <w:numId w:val="24"/>
        </w:numPr>
        <w:spacing w:line="540" w:lineRule="exact"/>
        <w:ind w:firstLineChars="0"/>
        <w:rPr>
          <w:rStyle w:val="54"/>
          <w:rFonts w:ascii="新宋体" w:hAnsi="新宋体" w:eastAsia="新宋体" w:cs="新宋体"/>
          <w:b w:val="0"/>
          <w:bCs w:val="0"/>
          <w:sz w:val="24"/>
          <w:szCs w:val="24"/>
        </w:rPr>
      </w:pPr>
      <w:r>
        <w:rPr>
          <w:rFonts w:hint="eastAsia" w:ascii="新宋体" w:hAnsi="新宋体" w:eastAsia="新宋体" w:cs="新宋体"/>
          <w:snapToGrid w:val="0"/>
          <w:color w:val="000000"/>
          <w:sz w:val="24"/>
          <w:szCs w:val="24"/>
        </w:rPr>
        <w:t>死亡及以上事故：见</w:t>
      </w:r>
      <w:r>
        <w:rPr>
          <w:rFonts w:hint="eastAsia" w:ascii="新宋体" w:hAnsi="新宋体" w:eastAsia="新宋体" w:cs="新宋体"/>
          <w:sz w:val="24"/>
          <w:szCs w:val="24"/>
        </w:rPr>
        <w:t>中华人民共和国《生产安全事故报告和调查处理条例》（国务院令第493号）事故标准。</w:t>
      </w:r>
    </w:p>
    <w:p w14:paraId="0B1E8021">
      <w:pPr>
        <w:pStyle w:val="253"/>
        <w:numPr>
          <w:ilvl w:val="0"/>
          <w:numId w:val="24"/>
        </w:numPr>
        <w:spacing w:line="540" w:lineRule="exact"/>
        <w:ind w:firstLineChars="0"/>
        <w:rPr>
          <w:rFonts w:ascii="新宋体" w:hAnsi="新宋体" w:eastAsia="新宋体" w:cs="新宋体"/>
          <w:snapToGrid w:val="0"/>
          <w:color w:val="000000"/>
          <w:sz w:val="24"/>
          <w:szCs w:val="24"/>
        </w:rPr>
      </w:pPr>
      <w:r>
        <w:rPr>
          <w:rFonts w:hint="eastAsia" w:ascii="新宋体" w:hAnsi="新宋体" w:eastAsia="新宋体" w:cs="新宋体"/>
          <w:sz w:val="24"/>
          <w:szCs w:val="24"/>
        </w:rPr>
        <w:t>重伤事故：（1）</w:t>
      </w:r>
      <w:r>
        <w:rPr>
          <w:rStyle w:val="54"/>
          <w:rFonts w:hint="eastAsia" w:ascii="新宋体" w:hAnsi="新宋体" w:eastAsia="新宋体" w:cs="新宋体"/>
          <w:b w:val="0"/>
          <w:bCs w:val="0"/>
          <w:sz w:val="24"/>
          <w:szCs w:val="24"/>
        </w:rPr>
        <w:t>指造成人员肢体残废、毁人容貌、丧失听觉、丧失视觉、丧失其他器官功能或者其他对于人身健康有重大伤害的事故，包括重伤一级和重伤二级，具体以劳动能力鉴定委员会的最终评定结果为准。（2）</w:t>
      </w:r>
      <w:r>
        <w:rPr>
          <w:rStyle w:val="54"/>
          <w:rFonts w:hint="eastAsia" w:ascii="新宋体" w:hAnsi="新宋体" w:eastAsia="新宋体" w:cs="新宋体"/>
          <w:b w:val="0"/>
          <w:sz w:val="24"/>
          <w:szCs w:val="24"/>
        </w:rPr>
        <w:t>造成20万元以上100万元以下直接经济损失的，与重伤事故同等级别认定。</w:t>
      </w:r>
    </w:p>
    <w:p w14:paraId="4EBF9819">
      <w:pPr>
        <w:pStyle w:val="253"/>
        <w:numPr>
          <w:ilvl w:val="0"/>
          <w:numId w:val="24"/>
        </w:numPr>
        <w:spacing w:line="540" w:lineRule="exact"/>
        <w:ind w:firstLineChars="0"/>
        <w:rPr>
          <w:rFonts w:ascii="宋体" w:hAnsi="宋体" w:eastAsia="宋体"/>
          <w:snapToGrid w:val="0"/>
          <w:color w:val="000000"/>
          <w:sz w:val="24"/>
          <w:szCs w:val="24"/>
        </w:rPr>
      </w:pPr>
      <w:r>
        <w:rPr>
          <w:rStyle w:val="54"/>
          <w:rFonts w:hint="eastAsia" w:ascii="新宋体" w:hAnsi="新宋体" w:eastAsia="新宋体" w:cs="新宋体"/>
          <w:b w:val="0"/>
          <w:sz w:val="24"/>
          <w:szCs w:val="24"/>
        </w:rPr>
        <w:t>轻伤事故：（1）造成1人肢体或者容貌损害，听觉、视觉或者其他器官功能部分障碍或者其他对于人身健康有中度伤害的事故，</w:t>
      </w:r>
      <w:r>
        <w:rPr>
          <w:rStyle w:val="54"/>
          <w:rFonts w:hint="eastAsia" w:ascii="新宋体" w:hAnsi="新宋体" w:eastAsia="新宋体" w:cs="新宋体"/>
          <w:b w:val="0"/>
          <w:bCs w:val="0"/>
          <w:sz w:val="24"/>
          <w:szCs w:val="24"/>
        </w:rPr>
        <w:t>包括轻伤一级和轻伤二级，具体</w:t>
      </w:r>
      <w:r>
        <w:rPr>
          <w:rStyle w:val="54"/>
          <w:rFonts w:hint="eastAsia" w:ascii="新宋体" w:hAnsi="新宋体" w:eastAsia="新宋体" w:cs="新宋体"/>
          <w:b w:val="0"/>
          <w:sz w:val="24"/>
          <w:szCs w:val="24"/>
        </w:rPr>
        <w:t>以劳动能力鉴定委员会的最终评定结果为准。（2）造成3万元以上20万元以下直接经济损失的，与重伤事故同等级别认定。</w:t>
      </w:r>
    </w:p>
    <w:p w14:paraId="63A9182F">
      <w:pPr>
        <w:pStyle w:val="253"/>
        <w:numPr>
          <w:ilvl w:val="0"/>
          <w:numId w:val="24"/>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损失工时事故（LWC）：造成员工离开工作岗位一天或一天以上（不含事故当天）；</w:t>
      </w:r>
    </w:p>
    <w:p w14:paraId="6E921C2E">
      <w:pPr>
        <w:pStyle w:val="253"/>
        <w:numPr>
          <w:ilvl w:val="0"/>
          <w:numId w:val="24"/>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限制工时事故（RWC）：造成员工工作受限制一天或一天以上（不含事故当天）；限制性工业事故由职业医疗根据员工的实际情况和医疗部门给出的休息建议确定；</w:t>
      </w:r>
    </w:p>
    <w:p w14:paraId="0E1C1532">
      <w:pPr>
        <w:pStyle w:val="253"/>
        <w:numPr>
          <w:ilvl w:val="0"/>
          <w:numId w:val="24"/>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医学处置事件（MTC）：该事故需要医疗处置但又没有LWC和RWC的后果；医疗处置事件分为医护处置事件、急救箱处置事件；</w:t>
      </w:r>
    </w:p>
    <w:p w14:paraId="065ABA20">
      <w:pPr>
        <w:pStyle w:val="253"/>
        <w:numPr>
          <w:ilvl w:val="0"/>
          <w:numId w:val="24"/>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医护处置事件：需要专业医护人员进行一般医学处理的事件。</w:t>
      </w:r>
    </w:p>
    <w:p w14:paraId="75A4D26A">
      <w:pPr>
        <w:pStyle w:val="253"/>
        <w:numPr>
          <w:ilvl w:val="0"/>
          <w:numId w:val="24"/>
        </w:numPr>
        <w:spacing w:line="540" w:lineRule="exact"/>
        <w:ind w:firstLineChars="0"/>
        <w:rPr>
          <w:rFonts w:ascii="宋体" w:hAnsi="宋体" w:eastAsia="宋体"/>
          <w:snapToGrid w:val="0"/>
          <w:color w:val="000000"/>
          <w:sz w:val="24"/>
          <w:szCs w:val="24"/>
        </w:rPr>
      </w:pPr>
      <w:r>
        <w:rPr>
          <w:rFonts w:hint="eastAsia" w:ascii="宋体" w:hAnsi="宋体" w:eastAsia="宋体"/>
          <w:snapToGrid w:val="0"/>
          <w:color w:val="000000"/>
          <w:sz w:val="24"/>
          <w:szCs w:val="24"/>
        </w:rPr>
        <w:t>急救箱处置事件：需要专业医护人员进行简单医学处理的事件，或可自行处理的伤害事件，例如：</w:t>
      </w:r>
    </w:p>
    <w:p w14:paraId="17024D06">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使用创可贴、纱布及绷带对伤口包扎，不影响工作活动；</w:t>
      </w:r>
    </w:p>
    <w:p w14:paraId="1F24651D">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轻微挫伤，皮肤没有破损，只需冷敷或理疗处理；</w:t>
      </w:r>
    </w:p>
    <w:p w14:paraId="0A594AFE">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推拿治疗；</w:t>
      </w:r>
    </w:p>
    <w:p w14:paraId="1E89BDC7">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只使用冲洗或棉签来清除眼中的异物；</w:t>
      </w:r>
    </w:p>
    <w:p w14:paraId="7C9C2A23">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使用非刚性的方法进行支撑，例如弹性绷带、护套、非刚性的腰背带等；</w:t>
      </w:r>
    </w:p>
    <w:p w14:paraId="1FDFB7C1">
      <w:pPr>
        <w:numPr>
          <w:ilvl w:val="3"/>
          <w:numId w:val="25"/>
        </w:numPr>
        <w:tabs>
          <w:tab w:val="clear" w:pos="226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使用手指防护装置等。</w:t>
      </w:r>
    </w:p>
    <w:p w14:paraId="4C6C74F2">
      <w:pPr>
        <w:numPr>
          <w:ilvl w:val="0"/>
          <w:numId w:val="26"/>
        </w:num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未遂事件：</w:t>
      </w:r>
    </w:p>
    <w:p w14:paraId="71E51266">
      <w:pPr>
        <w:spacing w:line="540" w:lineRule="exact"/>
        <w:ind w:firstLine="540" w:firstLineChars="225"/>
        <w:rPr>
          <w:rFonts w:ascii="宋体" w:hAnsi="宋体" w:eastAsia="宋体"/>
          <w:snapToGrid w:val="0"/>
          <w:sz w:val="24"/>
          <w:szCs w:val="24"/>
        </w:rPr>
      </w:pPr>
      <w:r>
        <w:rPr>
          <w:rFonts w:hint="eastAsia" w:ascii="宋体" w:hAnsi="宋体" w:eastAsia="宋体"/>
          <w:snapToGrid w:val="0"/>
          <w:sz w:val="24"/>
          <w:szCs w:val="24"/>
        </w:rPr>
        <w:t>未造成人员伤害但是可能会导致工业事故的事件，未遂事件分为严重未遂事件、普通未遂事件。</w:t>
      </w:r>
    </w:p>
    <w:p w14:paraId="20A9949C">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严重未遂事件：指已经发生，未构成事故，潜在后果严重，可能导致人员死亡、重伤的意外事件。满足下列条件的可确定为严重未遂（举例）：</w:t>
      </w:r>
    </w:p>
    <w:p w14:paraId="55674767">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脚手架坍塌时人员及时撤离、躲避或不在现场；</w:t>
      </w:r>
    </w:p>
    <w:p w14:paraId="6903FB99">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吊运物品过程中挂碰周围设备（施），造成周围设备（施）划痕、变形、不可用但未造成人员受伤的；</w:t>
      </w:r>
    </w:p>
    <w:p w14:paraId="37269EC2">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车辆倾翻但未造成人员受伤的；</w:t>
      </w:r>
    </w:p>
    <w:p w14:paraId="2162E766">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物品运输、装卸过程中坠落倾翻，但未造成人员受伤的；</w:t>
      </w:r>
    </w:p>
    <w:p w14:paraId="694ED291">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较重物体从高处落下或突然弹射出，未砸到人，或人员不在场但落在人行通道上；</w:t>
      </w:r>
    </w:p>
    <w:p w14:paraId="6BBFFC14">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无证作业、作业中发现隔离边界不完整，误操作（如误合刀闸、误开或误关重要阀门）或操作严重漏项，且有较大人身伤害或主要设备损坏风险；</w:t>
      </w:r>
    </w:p>
    <w:p w14:paraId="27CA48AC">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人员高处坠落（2m及以上），但因保护设施起作用或缓冲等因素避免人员受伤的；</w:t>
      </w:r>
    </w:p>
    <w:p w14:paraId="7D83A70B">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作业过程中安全防护装置发生故障（如起重机电梯限位、紧急制动失效）；</w:t>
      </w:r>
    </w:p>
    <w:p w14:paraId="51A74CAC">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高温（</w:t>
      </w:r>
      <w:r>
        <w:rPr>
          <w:rFonts w:ascii="宋体" w:hAnsi="宋体" w:eastAsia="宋体"/>
          <w:snapToGrid w:val="0"/>
          <w:color w:val="000000"/>
          <w:sz w:val="24"/>
          <w:szCs w:val="24"/>
        </w:rPr>
        <w:t>≥</w:t>
      </w:r>
      <w:r>
        <w:rPr>
          <w:rFonts w:hint="eastAsia" w:ascii="宋体" w:hAnsi="宋体" w:eastAsia="宋体"/>
          <w:snapToGrid w:val="0"/>
          <w:color w:val="000000"/>
          <w:sz w:val="24"/>
          <w:szCs w:val="24"/>
        </w:rPr>
        <w:t>70</w:t>
      </w:r>
      <w:r>
        <w:rPr>
          <w:rFonts w:ascii="宋体" w:hAnsi="宋体" w:eastAsia="宋体"/>
          <w:snapToGrid w:val="0"/>
          <w:color w:val="000000"/>
          <w:sz w:val="24"/>
          <w:szCs w:val="24"/>
        </w:rPr>
        <w:t>℃</w:t>
      </w:r>
      <w:r>
        <w:rPr>
          <w:rFonts w:hint="eastAsia" w:ascii="宋体" w:hAnsi="宋体" w:eastAsia="宋体"/>
          <w:snapToGrid w:val="0"/>
          <w:color w:val="000000"/>
          <w:sz w:val="24"/>
          <w:szCs w:val="24"/>
        </w:rPr>
        <w:t>）、高压水（水蒸气、绝对压力＞1bar）、低温液体（液N2）等危险品突然泄漏喷射，没有造成在场人员的受伤的；</w:t>
      </w:r>
    </w:p>
    <w:p w14:paraId="4ADEFB6F">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设备、设施的专设安全保护装置在非控情况下被拆除，如格栅、盖板、围栏、转动机械防护装置，给人员带来较大伤害风险；</w:t>
      </w:r>
    </w:p>
    <w:p w14:paraId="7DE3F668">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可导致人员窒息、中毒、触电、淹溺的作业，未采取有效措施且已出现较大伤害风险；</w:t>
      </w:r>
    </w:p>
    <w:p w14:paraId="393FF8E5">
      <w:pPr>
        <w:numPr>
          <w:ilvl w:val="0"/>
          <w:numId w:val="27"/>
        </w:numPr>
        <w:tabs>
          <w:tab w:val="clear" w:pos="1848"/>
        </w:tabs>
        <w:spacing w:line="540" w:lineRule="exact"/>
        <w:ind w:left="420"/>
        <w:rPr>
          <w:rFonts w:ascii="宋体" w:hAnsi="宋体" w:eastAsia="宋体"/>
          <w:snapToGrid w:val="0"/>
          <w:color w:val="000000"/>
          <w:sz w:val="24"/>
          <w:szCs w:val="24"/>
        </w:rPr>
      </w:pPr>
      <w:r>
        <w:rPr>
          <w:rFonts w:hint="eastAsia" w:ascii="宋体" w:hAnsi="宋体" w:eastAsia="宋体"/>
          <w:snapToGrid w:val="0"/>
          <w:color w:val="000000"/>
          <w:sz w:val="24"/>
          <w:szCs w:val="24"/>
        </w:rPr>
        <w:t>经甲方认定的对人身有重大伤害风险的事件。</w:t>
      </w:r>
    </w:p>
    <w:p w14:paraId="0DD543AC">
      <w:pPr>
        <w:numPr>
          <w:ilvl w:val="0"/>
          <w:numId w:val="28"/>
        </w:numPr>
        <w:tabs>
          <w:tab w:val="left" w:pos="90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普通未遂事件：指已经发生未构成事件，潜在后果一般的意外事件。满足下列条件的可确定为普通未遂（举例）：</w:t>
      </w:r>
    </w:p>
    <w:p w14:paraId="11033ABF">
      <w:pPr>
        <w:numPr>
          <w:ilvl w:val="0"/>
          <w:numId w:val="29"/>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较轻物体（如手电、小工具）高处坠落未砸（击）到人；</w:t>
      </w:r>
    </w:p>
    <w:p w14:paraId="337CFB18">
      <w:pPr>
        <w:numPr>
          <w:ilvl w:val="0"/>
          <w:numId w:val="29"/>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走错间隔，有人身伤害风险，但未造成后果；</w:t>
      </w:r>
    </w:p>
    <w:p w14:paraId="30CFB861">
      <w:pPr>
        <w:numPr>
          <w:ilvl w:val="0"/>
          <w:numId w:val="29"/>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错用工作票作业，工作开始前被发现且潜在后果存在人身伤害风险；</w:t>
      </w:r>
    </w:p>
    <w:p w14:paraId="4DE58B6B">
      <w:pPr>
        <w:numPr>
          <w:ilvl w:val="0"/>
          <w:numId w:val="29"/>
        </w:numPr>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造成人员失足、失手、身体不适的作业条件（如孔洞、照明、通风），并已给人员带来普通风险。</w:t>
      </w:r>
    </w:p>
    <w:p w14:paraId="61527366">
      <w:pPr>
        <w:numPr>
          <w:ilvl w:val="0"/>
          <w:numId w:val="30"/>
        </w:num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 xml:space="preserve"> 异常事件：任何未构成未遂事故的不安全的条件、设备/设施缺陷违章行为、不良工作习惯等不构成未遂事故的事件；或</w:t>
      </w:r>
      <w:r>
        <w:rPr>
          <w:rStyle w:val="54"/>
          <w:rFonts w:hint="eastAsia" w:ascii="新宋体" w:hAnsi="新宋体" w:eastAsia="新宋体" w:cs="新宋体"/>
          <w:b w:val="0"/>
          <w:bCs w:val="0"/>
          <w:sz w:val="24"/>
          <w:szCs w:val="24"/>
        </w:rPr>
        <w:t>主设备被迫停运12h以内、火灾一次损失0.2万以下等生产安全事件。</w:t>
      </w:r>
    </w:p>
    <w:p w14:paraId="1D490BF9">
      <w:pPr>
        <w:tabs>
          <w:tab w:val="left" w:pos="360"/>
        </w:tabs>
        <w:spacing w:line="540" w:lineRule="exact"/>
        <w:rPr>
          <w:rStyle w:val="54"/>
          <w:rFonts w:ascii="新宋体" w:hAnsi="新宋体" w:eastAsia="新宋体" w:cs="新宋体"/>
          <w:b w:val="0"/>
          <w:bCs w:val="0"/>
          <w:sz w:val="24"/>
          <w:szCs w:val="24"/>
        </w:rPr>
      </w:pPr>
      <w:r>
        <w:rPr>
          <w:rFonts w:hint="eastAsia" w:ascii="宋体" w:hAnsi="宋体" w:eastAsia="宋体"/>
          <w:snapToGrid w:val="0"/>
          <w:color w:val="000000"/>
          <w:sz w:val="24"/>
          <w:szCs w:val="24"/>
        </w:rPr>
        <w:t>12.一类障碍：</w:t>
      </w:r>
      <w:r>
        <w:rPr>
          <w:rFonts w:hint="eastAsia" w:ascii="新宋体" w:hAnsi="新宋体" w:eastAsia="新宋体" w:cs="新宋体"/>
          <w:sz w:val="24"/>
          <w:szCs w:val="24"/>
          <w:shd w:val="clear" w:color="auto" w:fill="FFFFFF"/>
        </w:rPr>
        <w:t>主设备被迫停运超过48h低于96小于、火灾一次损失0.5万—1万元、恶性电气误操作（如带负荷拉、合隔离刀闸等）等安全生产事件。</w:t>
      </w:r>
    </w:p>
    <w:p w14:paraId="288592ED">
      <w:pPr>
        <w:tabs>
          <w:tab w:val="left" w:pos="360"/>
        </w:tabs>
        <w:spacing w:line="540" w:lineRule="exact"/>
        <w:rPr>
          <w:rStyle w:val="54"/>
          <w:rFonts w:ascii="新宋体" w:hAnsi="新宋体" w:eastAsia="新宋体" w:cs="新宋体"/>
          <w:b w:val="0"/>
          <w:bCs w:val="0"/>
          <w:sz w:val="24"/>
          <w:szCs w:val="24"/>
        </w:rPr>
      </w:pPr>
      <w:r>
        <w:rPr>
          <w:rStyle w:val="54"/>
          <w:rFonts w:hint="eastAsia" w:ascii="新宋体" w:hAnsi="新宋体" w:eastAsia="新宋体" w:cs="新宋体"/>
          <w:b w:val="0"/>
          <w:bCs w:val="0"/>
          <w:sz w:val="24"/>
          <w:szCs w:val="24"/>
        </w:rPr>
        <w:t>13.二类障碍：主设备被迫停运超过12h低于48h、火灾一次损失0.2万—0.5万、误操作引起主设备被迫停运等安全生产事件。</w:t>
      </w:r>
    </w:p>
    <w:p w14:paraId="04691924">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14.一类设备缺陷：严重威胁系统主设备安全运行及人身安全的或已造成发电出力降低和影响对外输送电力的重大缺陷。</w:t>
      </w:r>
    </w:p>
    <w:p w14:paraId="17DD0074">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15.二类设备缺陷：暂时不影响机组继续运行，但对设备安全经济运行和人身安全有一定的威胁，继续发展将导致设备停止运行，或损坏设备，需机组停运或降低出力才能消除的缺陷。</w:t>
      </w:r>
    </w:p>
    <w:p w14:paraId="6AE1F57C">
      <w:pPr>
        <w:tabs>
          <w:tab w:val="left" w:pos="360"/>
        </w:tabs>
        <w:spacing w:line="540" w:lineRule="exact"/>
        <w:rPr>
          <w:rFonts w:ascii="宋体" w:hAnsi="宋体" w:eastAsia="宋体"/>
          <w:snapToGrid w:val="0"/>
          <w:color w:val="000000"/>
          <w:sz w:val="24"/>
          <w:szCs w:val="24"/>
        </w:rPr>
      </w:pPr>
      <w:r>
        <w:rPr>
          <w:rFonts w:hint="eastAsia" w:ascii="宋体" w:hAnsi="宋体" w:eastAsia="宋体"/>
          <w:snapToGrid w:val="0"/>
          <w:color w:val="000000"/>
          <w:sz w:val="24"/>
          <w:szCs w:val="24"/>
        </w:rPr>
        <w:t>16.三类设备缺陷：不需要停用主设备或降低出力可随时消除的设备缺陷，以及不影响主设备正常运行，可结合检修或停机备用期间进行消除的缺陷。</w:t>
      </w:r>
    </w:p>
    <w:p w14:paraId="62B20990">
      <w:pPr>
        <w:numPr>
          <w:ilvl w:val="0"/>
          <w:numId w:val="31"/>
        </w:numPr>
        <w:spacing w:line="560" w:lineRule="exact"/>
        <w:rPr>
          <w:rFonts w:ascii="宋体" w:hAnsi="宋体" w:eastAsia="宋体"/>
          <w:snapToGrid w:val="0"/>
          <w:color w:val="000000"/>
          <w:sz w:val="24"/>
          <w:szCs w:val="24"/>
        </w:rPr>
        <w:sectPr>
          <w:pgSz w:w="11906" w:h="16838"/>
          <w:pgMar w:top="2098" w:right="1138" w:bottom="1985" w:left="1588" w:header="851" w:footer="992" w:gutter="0"/>
          <w:cols w:space="425" w:num="1"/>
          <w:docGrid w:type="lines" w:linePitch="579" w:charSpace="17613"/>
        </w:sectPr>
      </w:pPr>
    </w:p>
    <w:p w14:paraId="5D4B6D4A">
      <w:pPr>
        <w:rPr>
          <w:rFonts w:ascii="仿宋" w:hAnsi="仿宋" w:eastAsia="仿宋"/>
          <w:snapToGrid w:val="0"/>
          <w:sz w:val="24"/>
          <w:szCs w:val="28"/>
        </w:rPr>
      </w:pPr>
      <w:r>
        <w:rPr>
          <w:rFonts w:hint="eastAsia" w:ascii="仿宋" w:hAnsi="仿宋" w:eastAsia="仿宋"/>
          <w:snapToGrid w:val="0"/>
          <w:sz w:val="24"/>
          <w:szCs w:val="28"/>
        </w:rPr>
        <w:t>附件2：考核条款</w:t>
      </w:r>
    </w:p>
    <w:p w14:paraId="0F14A421">
      <w:pPr>
        <w:jc w:val="center"/>
        <w:rPr>
          <w:rFonts w:ascii="宋体" w:hAnsi="宋体" w:eastAsia="宋体"/>
          <w:b/>
          <w:bCs/>
          <w:snapToGrid w:val="0"/>
          <w:sz w:val="28"/>
          <w:szCs w:val="28"/>
        </w:rPr>
      </w:pPr>
      <w:r>
        <w:rPr>
          <w:rFonts w:hint="eastAsia" w:ascii="宋体" w:hAnsi="宋体" w:eastAsia="宋体"/>
          <w:b/>
          <w:bCs/>
          <w:snapToGrid w:val="0"/>
          <w:sz w:val="28"/>
          <w:szCs w:val="28"/>
        </w:rPr>
        <w:t>考核条款</w:t>
      </w:r>
    </w:p>
    <w:tbl>
      <w:tblPr>
        <w:tblStyle w:val="51"/>
        <w:tblW w:w="9466" w:type="dxa"/>
        <w:jc w:val="center"/>
        <w:tblLayout w:type="autofit"/>
        <w:tblCellMar>
          <w:top w:w="0" w:type="dxa"/>
          <w:left w:w="108" w:type="dxa"/>
          <w:bottom w:w="0" w:type="dxa"/>
          <w:right w:w="108" w:type="dxa"/>
        </w:tblCellMar>
      </w:tblPr>
      <w:tblGrid>
        <w:gridCol w:w="716"/>
        <w:gridCol w:w="5030"/>
        <w:gridCol w:w="3720"/>
      </w:tblGrid>
      <w:tr w14:paraId="60D3E9FC">
        <w:tblPrEx>
          <w:tblCellMar>
            <w:top w:w="0" w:type="dxa"/>
            <w:left w:w="108" w:type="dxa"/>
            <w:bottom w:w="0" w:type="dxa"/>
            <w:right w:w="108" w:type="dxa"/>
          </w:tblCellMar>
        </w:tblPrEx>
        <w:trPr>
          <w:trHeight w:val="285" w:hRule="atLeast"/>
          <w:tblHeader/>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14:paraId="43C91B2B">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5030" w:type="dxa"/>
            <w:tcBorders>
              <w:top w:val="single" w:color="auto" w:sz="4" w:space="0"/>
              <w:left w:val="nil"/>
              <w:bottom w:val="single" w:color="auto" w:sz="4" w:space="0"/>
              <w:right w:val="single" w:color="auto" w:sz="4" w:space="0"/>
            </w:tcBorders>
            <w:shd w:val="clear" w:color="auto" w:fill="auto"/>
            <w:vAlign w:val="center"/>
          </w:tcPr>
          <w:p w14:paraId="529FE790">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考核项目</w:t>
            </w:r>
          </w:p>
        </w:tc>
        <w:tc>
          <w:tcPr>
            <w:tcW w:w="3720" w:type="dxa"/>
            <w:tcBorders>
              <w:top w:val="single" w:color="auto" w:sz="4" w:space="0"/>
              <w:left w:val="nil"/>
              <w:bottom w:val="single" w:color="auto" w:sz="4" w:space="0"/>
              <w:right w:val="single" w:color="auto" w:sz="4" w:space="0"/>
            </w:tcBorders>
            <w:shd w:val="clear" w:color="auto" w:fill="auto"/>
            <w:vAlign w:val="center"/>
          </w:tcPr>
          <w:p w14:paraId="34467CDE">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考核标准</w:t>
            </w:r>
          </w:p>
        </w:tc>
      </w:tr>
      <w:tr w14:paraId="205FD698">
        <w:tblPrEx>
          <w:tblCellMar>
            <w:top w:w="0" w:type="dxa"/>
            <w:left w:w="108" w:type="dxa"/>
            <w:bottom w:w="0" w:type="dxa"/>
            <w:right w:w="108" w:type="dxa"/>
          </w:tblCellMar>
        </w:tblPrEx>
        <w:trPr>
          <w:trHeight w:val="45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663366E">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一</w:t>
            </w:r>
          </w:p>
        </w:tc>
        <w:tc>
          <w:tcPr>
            <w:tcW w:w="8750" w:type="dxa"/>
            <w:gridSpan w:val="2"/>
            <w:tcBorders>
              <w:top w:val="nil"/>
              <w:left w:val="nil"/>
              <w:bottom w:val="single" w:color="auto" w:sz="4" w:space="0"/>
              <w:right w:val="single" w:color="auto" w:sz="4" w:space="0"/>
            </w:tcBorders>
            <w:shd w:val="clear" w:color="auto" w:fill="auto"/>
            <w:vAlign w:val="center"/>
          </w:tcPr>
          <w:p w14:paraId="0ADB82CC">
            <w:pPr>
              <w:widowControl/>
              <w:spacing w:line="360" w:lineRule="exact"/>
              <w:jc w:val="left"/>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安全目标考核</w:t>
            </w:r>
          </w:p>
        </w:tc>
      </w:tr>
      <w:tr w14:paraId="625772E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AB67FB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5030" w:type="dxa"/>
            <w:tcBorders>
              <w:top w:val="nil"/>
              <w:left w:val="nil"/>
              <w:bottom w:val="single" w:color="auto" w:sz="4" w:space="0"/>
              <w:right w:val="single" w:color="auto" w:sz="4" w:space="0"/>
            </w:tcBorders>
            <w:shd w:val="clear" w:color="auto" w:fill="auto"/>
            <w:vAlign w:val="center"/>
          </w:tcPr>
          <w:p w14:paraId="2067D1E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乙方发生责任性人身死亡事件</w:t>
            </w:r>
          </w:p>
        </w:tc>
        <w:tc>
          <w:tcPr>
            <w:tcW w:w="3720" w:type="dxa"/>
            <w:tcBorders>
              <w:top w:val="nil"/>
              <w:left w:val="nil"/>
              <w:bottom w:val="single" w:color="auto" w:sz="4" w:space="0"/>
              <w:right w:val="single" w:color="auto" w:sz="4" w:space="0"/>
            </w:tcBorders>
            <w:shd w:val="clear" w:color="auto" w:fill="auto"/>
            <w:vAlign w:val="center"/>
          </w:tcPr>
          <w:p w14:paraId="12048E8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乙方除接受政府主管部门的处罚和承担死者善后费用外，甲方对乙方另按每死亡一人不低于</w:t>
            </w:r>
            <w:r>
              <w:rPr>
                <w:rFonts w:ascii="宋体" w:hAnsi="宋体" w:eastAsia="宋体" w:cs="宋体"/>
                <w:color w:val="000000"/>
                <w:kern w:val="0"/>
                <w:sz w:val="24"/>
                <w:szCs w:val="24"/>
              </w:rPr>
              <w:t>10</w:t>
            </w:r>
            <w:r>
              <w:rPr>
                <w:rFonts w:hint="eastAsia" w:ascii="宋体" w:hAnsi="宋体" w:eastAsia="宋体" w:cs="宋体"/>
                <w:color w:val="000000"/>
                <w:kern w:val="0"/>
                <w:sz w:val="24"/>
                <w:szCs w:val="24"/>
              </w:rPr>
              <w:t>万元的标准进行考核。</w:t>
            </w:r>
          </w:p>
        </w:tc>
      </w:tr>
      <w:tr w14:paraId="20956376">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A244853">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5030" w:type="dxa"/>
            <w:tcBorders>
              <w:top w:val="nil"/>
              <w:left w:val="nil"/>
              <w:bottom w:val="single" w:color="auto" w:sz="4" w:space="0"/>
              <w:right w:val="single" w:color="auto" w:sz="4" w:space="0"/>
            </w:tcBorders>
            <w:shd w:val="clear" w:color="auto" w:fill="auto"/>
            <w:vAlign w:val="center"/>
          </w:tcPr>
          <w:p w14:paraId="60B0408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乙方发生责任性人身重伤事件</w:t>
            </w:r>
          </w:p>
        </w:tc>
        <w:tc>
          <w:tcPr>
            <w:tcW w:w="3720" w:type="dxa"/>
            <w:tcBorders>
              <w:top w:val="nil"/>
              <w:left w:val="nil"/>
              <w:bottom w:val="single" w:color="auto" w:sz="4" w:space="0"/>
              <w:right w:val="single" w:color="auto" w:sz="4" w:space="0"/>
            </w:tcBorders>
            <w:shd w:val="clear" w:color="auto" w:fill="auto"/>
            <w:vAlign w:val="center"/>
          </w:tcPr>
          <w:p w14:paraId="1CF27AE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考核3万-5万元/人·次</w:t>
            </w:r>
          </w:p>
        </w:tc>
      </w:tr>
      <w:tr w14:paraId="24E64D0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841170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5030" w:type="dxa"/>
            <w:tcBorders>
              <w:top w:val="nil"/>
              <w:left w:val="nil"/>
              <w:bottom w:val="single" w:color="auto" w:sz="4" w:space="0"/>
              <w:right w:val="single" w:color="auto" w:sz="4" w:space="0"/>
            </w:tcBorders>
            <w:shd w:val="clear" w:color="auto" w:fill="auto"/>
            <w:vAlign w:val="center"/>
          </w:tcPr>
          <w:p w14:paraId="09B8CB0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乙方发生责任性人身轻伤事件</w:t>
            </w:r>
          </w:p>
        </w:tc>
        <w:tc>
          <w:tcPr>
            <w:tcW w:w="3720" w:type="dxa"/>
            <w:tcBorders>
              <w:top w:val="nil"/>
              <w:left w:val="nil"/>
              <w:bottom w:val="single" w:color="auto" w:sz="4" w:space="0"/>
              <w:right w:val="single" w:color="auto" w:sz="4" w:space="0"/>
            </w:tcBorders>
            <w:shd w:val="clear" w:color="auto" w:fill="auto"/>
            <w:vAlign w:val="center"/>
          </w:tcPr>
          <w:p w14:paraId="3664E35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考核1万-2万元/人·次</w:t>
            </w:r>
          </w:p>
        </w:tc>
      </w:tr>
      <w:tr w14:paraId="3ED7FD0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056F03D">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5030" w:type="dxa"/>
            <w:tcBorders>
              <w:top w:val="nil"/>
              <w:left w:val="nil"/>
              <w:bottom w:val="single" w:color="auto" w:sz="4" w:space="0"/>
              <w:right w:val="single" w:color="auto" w:sz="4" w:space="0"/>
            </w:tcBorders>
            <w:shd w:val="clear" w:color="auto" w:fill="auto"/>
            <w:vAlign w:val="center"/>
          </w:tcPr>
          <w:p w14:paraId="40105F0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乙方发生责任性人身未遂事件</w:t>
            </w:r>
          </w:p>
        </w:tc>
        <w:tc>
          <w:tcPr>
            <w:tcW w:w="3720" w:type="dxa"/>
            <w:tcBorders>
              <w:top w:val="nil"/>
              <w:left w:val="nil"/>
              <w:bottom w:val="single" w:color="auto" w:sz="4" w:space="0"/>
              <w:right w:val="single" w:color="auto" w:sz="4" w:space="0"/>
            </w:tcBorders>
            <w:shd w:val="clear" w:color="auto" w:fill="auto"/>
            <w:vAlign w:val="center"/>
          </w:tcPr>
          <w:p w14:paraId="0DA7957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3万元-0.5万元/次</w:t>
            </w:r>
          </w:p>
        </w:tc>
      </w:tr>
      <w:tr w14:paraId="6515AE36">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D9716C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5030" w:type="dxa"/>
            <w:tcBorders>
              <w:top w:val="nil"/>
              <w:left w:val="nil"/>
              <w:bottom w:val="single" w:color="auto" w:sz="4" w:space="0"/>
              <w:right w:val="single" w:color="auto" w:sz="4" w:space="0"/>
            </w:tcBorders>
            <w:shd w:val="clear" w:color="auto" w:fill="auto"/>
            <w:vAlign w:val="center"/>
          </w:tcPr>
          <w:p w14:paraId="20A2C6A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发生乙方责任导致的经济损失事故</w:t>
            </w:r>
          </w:p>
        </w:tc>
        <w:tc>
          <w:tcPr>
            <w:tcW w:w="3720" w:type="dxa"/>
            <w:tcBorders>
              <w:top w:val="nil"/>
              <w:left w:val="nil"/>
              <w:bottom w:val="single" w:color="auto" w:sz="4" w:space="0"/>
              <w:right w:val="single" w:color="auto" w:sz="4" w:space="0"/>
            </w:tcBorders>
            <w:shd w:val="clear" w:color="auto" w:fill="auto"/>
            <w:vAlign w:val="center"/>
          </w:tcPr>
          <w:p w14:paraId="58CA54E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承担相应经济损失并按损失金额的10%进行考核。</w:t>
            </w:r>
          </w:p>
        </w:tc>
      </w:tr>
      <w:tr w14:paraId="6D1C386D">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99332B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5030" w:type="dxa"/>
            <w:tcBorders>
              <w:top w:val="nil"/>
              <w:left w:val="nil"/>
              <w:bottom w:val="single" w:color="auto" w:sz="4" w:space="0"/>
              <w:right w:val="single" w:color="auto" w:sz="4" w:space="0"/>
            </w:tcBorders>
            <w:shd w:val="clear" w:color="auto" w:fill="auto"/>
            <w:vAlign w:val="center"/>
          </w:tcPr>
          <w:p w14:paraId="17A6BAD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乙方发生管辖范围内（含检修厂房、生活区域和运输车辆等）责任性火灾事故。</w:t>
            </w:r>
          </w:p>
        </w:tc>
        <w:tc>
          <w:tcPr>
            <w:tcW w:w="3720" w:type="dxa"/>
            <w:tcBorders>
              <w:top w:val="nil"/>
              <w:left w:val="nil"/>
              <w:bottom w:val="single" w:color="auto" w:sz="4" w:space="0"/>
              <w:right w:val="single" w:color="auto" w:sz="4" w:space="0"/>
            </w:tcBorders>
            <w:shd w:val="clear" w:color="auto" w:fill="auto"/>
            <w:vAlign w:val="center"/>
          </w:tcPr>
          <w:p w14:paraId="7DCA45E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根据人员伤害及财产损失情况，参照以上标准分别考核。</w:t>
            </w:r>
          </w:p>
        </w:tc>
      </w:tr>
      <w:tr w14:paraId="6365FCD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ECA1A6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5030" w:type="dxa"/>
            <w:tcBorders>
              <w:top w:val="nil"/>
              <w:left w:val="nil"/>
              <w:bottom w:val="single" w:color="auto" w:sz="4" w:space="0"/>
              <w:right w:val="single" w:color="auto" w:sz="4" w:space="0"/>
            </w:tcBorders>
            <w:shd w:val="clear" w:color="auto" w:fill="auto"/>
            <w:vAlign w:val="center"/>
          </w:tcPr>
          <w:p w14:paraId="06FB37E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乙方因管理疏忽、员工违章等原因导致工作期间或管辖范围内发生火灾险情。</w:t>
            </w:r>
          </w:p>
        </w:tc>
        <w:tc>
          <w:tcPr>
            <w:tcW w:w="3720" w:type="dxa"/>
            <w:tcBorders>
              <w:top w:val="nil"/>
              <w:left w:val="nil"/>
              <w:bottom w:val="single" w:color="auto" w:sz="4" w:space="0"/>
              <w:right w:val="single" w:color="auto" w:sz="4" w:space="0"/>
            </w:tcBorders>
            <w:shd w:val="clear" w:color="auto" w:fill="auto"/>
            <w:vAlign w:val="center"/>
          </w:tcPr>
          <w:p w14:paraId="1DC4334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4万-1万元/次，并包赔甲方损失。</w:t>
            </w:r>
          </w:p>
        </w:tc>
      </w:tr>
      <w:tr w14:paraId="262B4C68">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B21CC7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5030" w:type="dxa"/>
            <w:tcBorders>
              <w:top w:val="nil"/>
              <w:left w:val="nil"/>
              <w:bottom w:val="single" w:color="auto" w:sz="4" w:space="0"/>
              <w:right w:val="single" w:color="auto" w:sz="4" w:space="0"/>
            </w:tcBorders>
            <w:shd w:val="clear" w:color="auto" w:fill="auto"/>
            <w:vAlign w:val="center"/>
          </w:tcPr>
          <w:p w14:paraId="607C3B1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乙方在甲方范围内发生责任性交通事故</w:t>
            </w:r>
          </w:p>
        </w:tc>
        <w:tc>
          <w:tcPr>
            <w:tcW w:w="3720" w:type="dxa"/>
            <w:tcBorders>
              <w:top w:val="nil"/>
              <w:left w:val="nil"/>
              <w:bottom w:val="single" w:color="auto" w:sz="4" w:space="0"/>
              <w:right w:val="single" w:color="auto" w:sz="4" w:space="0"/>
            </w:tcBorders>
            <w:shd w:val="clear" w:color="auto" w:fill="auto"/>
            <w:vAlign w:val="center"/>
          </w:tcPr>
          <w:p w14:paraId="1EEB5A0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按人身伤亡、经济损失类事故考核标准执行，并包赔甲方损失。</w:t>
            </w:r>
          </w:p>
        </w:tc>
      </w:tr>
      <w:tr w14:paraId="72D468A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A03FE1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5030" w:type="dxa"/>
            <w:tcBorders>
              <w:top w:val="nil"/>
              <w:left w:val="nil"/>
              <w:bottom w:val="single" w:color="auto" w:sz="4" w:space="0"/>
              <w:right w:val="single" w:color="auto" w:sz="4" w:space="0"/>
            </w:tcBorders>
            <w:shd w:val="clear" w:color="auto" w:fill="auto"/>
            <w:vAlign w:val="center"/>
          </w:tcPr>
          <w:p w14:paraId="5E7072A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乙方管理责任导致发生、发现职业病病例。</w:t>
            </w:r>
          </w:p>
        </w:tc>
        <w:tc>
          <w:tcPr>
            <w:tcW w:w="3720" w:type="dxa"/>
            <w:tcBorders>
              <w:top w:val="nil"/>
              <w:left w:val="nil"/>
              <w:bottom w:val="single" w:color="auto" w:sz="4" w:space="0"/>
              <w:right w:val="single" w:color="auto" w:sz="4" w:space="0"/>
            </w:tcBorders>
            <w:shd w:val="clear" w:color="auto" w:fill="auto"/>
            <w:vAlign w:val="center"/>
          </w:tcPr>
          <w:p w14:paraId="32BDFD0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参照重伤考核标准</w:t>
            </w:r>
          </w:p>
        </w:tc>
      </w:tr>
      <w:tr w14:paraId="7BA1F430">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2BAAE8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5030" w:type="dxa"/>
            <w:tcBorders>
              <w:top w:val="nil"/>
              <w:left w:val="nil"/>
              <w:bottom w:val="single" w:color="auto" w:sz="4" w:space="0"/>
              <w:right w:val="single" w:color="auto" w:sz="4" w:space="0"/>
            </w:tcBorders>
            <w:shd w:val="clear" w:color="auto" w:fill="auto"/>
            <w:vAlign w:val="center"/>
          </w:tcPr>
          <w:p w14:paraId="27E20F9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乙方原因导致被环保主管部门通报、考核的环保事件。</w:t>
            </w:r>
          </w:p>
        </w:tc>
        <w:tc>
          <w:tcPr>
            <w:tcW w:w="3720" w:type="dxa"/>
            <w:tcBorders>
              <w:top w:val="nil"/>
              <w:left w:val="nil"/>
              <w:bottom w:val="single" w:color="auto" w:sz="4" w:space="0"/>
              <w:right w:val="single" w:color="auto" w:sz="4" w:space="0"/>
            </w:tcBorders>
            <w:shd w:val="clear" w:color="auto" w:fill="auto"/>
            <w:vAlign w:val="center"/>
          </w:tcPr>
          <w:p w14:paraId="44FB8D8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考核1万－5万元/次，并按责任定性承担主管部门的考核或罚款，并包赔甲方损失。</w:t>
            </w:r>
          </w:p>
        </w:tc>
      </w:tr>
      <w:tr w14:paraId="4E841BF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C3EBC1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5030" w:type="dxa"/>
            <w:tcBorders>
              <w:top w:val="nil"/>
              <w:left w:val="nil"/>
              <w:bottom w:val="single" w:color="auto" w:sz="4" w:space="0"/>
              <w:right w:val="single" w:color="auto" w:sz="4" w:space="0"/>
            </w:tcBorders>
            <w:shd w:val="clear" w:color="auto" w:fill="auto"/>
            <w:vAlign w:val="center"/>
          </w:tcPr>
          <w:p w14:paraId="33CFE44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乙方在甲方范围内发生性质恶劣的治安事件，或乙方员工组织或参与盗窃的事件。</w:t>
            </w:r>
          </w:p>
        </w:tc>
        <w:tc>
          <w:tcPr>
            <w:tcW w:w="3720" w:type="dxa"/>
            <w:tcBorders>
              <w:top w:val="nil"/>
              <w:left w:val="nil"/>
              <w:bottom w:val="single" w:color="auto" w:sz="4" w:space="0"/>
              <w:right w:val="single" w:color="auto" w:sz="4" w:space="0"/>
            </w:tcBorders>
            <w:shd w:val="clear" w:color="auto" w:fill="auto"/>
            <w:vAlign w:val="center"/>
          </w:tcPr>
          <w:p w14:paraId="1A0267A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3－3万元/次，并负责赔偿损失；情节特别严重的按国家法律处理。</w:t>
            </w:r>
          </w:p>
        </w:tc>
      </w:tr>
      <w:tr w14:paraId="573E021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8D5C15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5030" w:type="dxa"/>
            <w:tcBorders>
              <w:top w:val="nil"/>
              <w:left w:val="nil"/>
              <w:bottom w:val="single" w:color="auto" w:sz="4" w:space="0"/>
              <w:right w:val="single" w:color="auto" w:sz="4" w:space="0"/>
            </w:tcBorders>
            <w:shd w:val="clear" w:color="auto" w:fill="auto"/>
            <w:vAlign w:val="center"/>
          </w:tcPr>
          <w:p w14:paraId="592A39A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乙方3个月内重复发生同样性质的人身伤亡、治安事件、违法事件或火灾事故、环保事件、交通事故。</w:t>
            </w:r>
          </w:p>
        </w:tc>
        <w:tc>
          <w:tcPr>
            <w:tcW w:w="3720" w:type="dxa"/>
            <w:tcBorders>
              <w:top w:val="nil"/>
              <w:left w:val="nil"/>
              <w:bottom w:val="single" w:color="auto" w:sz="4" w:space="0"/>
              <w:right w:val="single" w:color="auto" w:sz="4" w:space="0"/>
            </w:tcBorders>
            <w:shd w:val="clear" w:color="auto" w:fill="auto"/>
            <w:vAlign w:val="center"/>
          </w:tcPr>
          <w:p w14:paraId="0FBD6BB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对应上述款项加倍处罚。</w:t>
            </w:r>
          </w:p>
        </w:tc>
      </w:tr>
      <w:tr w14:paraId="6BE5763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470825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5030" w:type="dxa"/>
            <w:tcBorders>
              <w:top w:val="nil"/>
              <w:left w:val="nil"/>
              <w:bottom w:val="single" w:color="auto" w:sz="4" w:space="0"/>
              <w:right w:val="single" w:color="auto" w:sz="4" w:space="0"/>
            </w:tcBorders>
            <w:shd w:val="clear" w:color="auto" w:fill="auto"/>
            <w:vAlign w:val="center"/>
          </w:tcPr>
          <w:p w14:paraId="2BC29EE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发生乙方原因导致的责任性一类障碍</w:t>
            </w:r>
          </w:p>
        </w:tc>
        <w:tc>
          <w:tcPr>
            <w:tcW w:w="3720" w:type="dxa"/>
            <w:tcBorders>
              <w:top w:val="nil"/>
              <w:left w:val="nil"/>
              <w:bottom w:val="single" w:color="auto" w:sz="4" w:space="0"/>
              <w:right w:val="single" w:color="auto" w:sz="4" w:space="0"/>
            </w:tcBorders>
            <w:shd w:val="clear" w:color="auto" w:fill="auto"/>
            <w:vAlign w:val="center"/>
          </w:tcPr>
          <w:p w14:paraId="118B9EE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考核1万-3万元/次，视具体情况追加考核同期电量损失。</w:t>
            </w:r>
          </w:p>
        </w:tc>
      </w:tr>
      <w:tr w14:paraId="4BD145C7">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6781E63">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5030" w:type="dxa"/>
            <w:tcBorders>
              <w:top w:val="nil"/>
              <w:left w:val="nil"/>
              <w:bottom w:val="single" w:color="auto" w:sz="4" w:space="0"/>
              <w:right w:val="single" w:color="auto" w:sz="4" w:space="0"/>
            </w:tcBorders>
            <w:shd w:val="clear" w:color="auto" w:fill="auto"/>
            <w:vAlign w:val="center"/>
          </w:tcPr>
          <w:p w14:paraId="2803F09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发生乙方原因导致的责任性二类障碍</w:t>
            </w:r>
          </w:p>
        </w:tc>
        <w:tc>
          <w:tcPr>
            <w:tcW w:w="3720" w:type="dxa"/>
            <w:tcBorders>
              <w:top w:val="nil"/>
              <w:left w:val="nil"/>
              <w:bottom w:val="single" w:color="auto" w:sz="4" w:space="0"/>
              <w:right w:val="single" w:color="auto" w:sz="4" w:space="0"/>
            </w:tcBorders>
            <w:shd w:val="clear" w:color="auto" w:fill="auto"/>
            <w:vAlign w:val="center"/>
          </w:tcPr>
          <w:p w14:paraId="1DAF930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4万-1万元/次，视具体情况追加考核同期电量损失。</w:t>
            </w:r>
          </w:p>
        </w:tc>
      </w:tr>
      <w:tr w14:paraId="3A2E21F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DEC57A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5030" w:type="dxa"/>
            <w:tcBorders>
              <w:top w:val="nil"/>
              <w:left w:val="nil"/>
              <w:bottom w:val="single" w:color="auto" w:sz="4" w:space="0"/>
              <w:right w:val="single" w:color="auto" w:sz="4" w:space="0"/>
            </w:tcBorders>
            <w:shd w:val="clear" w:color="auto" w:fill="auto"/>
            <w:vAlign w:val="center"/>
          </w:tcPr>
          <w:p w14:paraId="1C503E3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乙方发生责任性异常事件</w:t>
            </w:r>
          </w:p>
        </w:tc>
        <w:tc>
          <w:tcPr>
            <w:tcW w:w="3720" w:type="dxa"/>
            <w:tcBorders>
              <w:top w:val="nil"/>
              <w:left w:val="nil"/>
              <w:bottom w:val="single" w:color="auto" w:sz="4" w:space="0"/>
              <w:right w:val="single" w:color="auto" w:sz="4" w:space="0"/>
            </w:tcBorders>
            <w:shd w:val="clear" w:color="auto" w:fill="auto"/>
            <w:vAlign w:val="center"/>
          </w:tcPr>
          <w:p w14:paraId="63D2F06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4万元/次，视具体情况追加考核同期电量损失。</w:t>
            </w:r>
          </w:p>
        </w:tc>
      </w:tr>
      <w:tr w14:paraId="5D669F3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D34582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5030" w:type="dxa"/>
            <w:tcBorders>
              <w:top w:val="nil"/>
              <w:left w:val="nil"/>
              <w:bottom w:val="single" w:color="auto" w:sz="4" w:space="0"/>
              <w:right w:val="single" w:color="auto" w:sz="4" w:space="0"/>
            </w:tcBorders>
            <w:shd w:val="clear" w:color="auto" w:fill="auto"/>
            <w:vAlign w:val="center"/>
          </w:tcPr>
          <w:p w14:paraId="43D6A17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乙方发生误操作事件</w:t>
            </w:r>
          </w:p>
        </w:tc>
        <w:tc>
          <w:tcPr>
            <w:tcW w:w="3720" w:type="dxa"/>
            <w:tcBorders>
              <w:top w:val="nil"/>
              <w:left w:val="nil"/>
              <w:bottom w:val="single" w:color="auto" w:sz="4" w:space="0"/>
              <w:right w:val="single" w:color="auto" w:sz="4" w:space="0"/>
            </w:tcBorders>
            <w:shd w:val="clear" w:color="auto" w:fill="auto"/>
            <w:vAlign w:val="center"/>
          </w:tcPr>
          <w:p w14:paraId="223FB86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一般误操作考核0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4万－1万元/次，恶性误操作按一类障碍考核，造成后果的按责任定性另外考核。</w:t>
            </w:r>
          </w:p>
        </w:tc>
      </w:tr>
      <w:tr w14:paraId="313A5E8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36CA5E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5030" w:type="dxa"/>
            <w:tcBorders>
              <w:top w:val="nil"/>
              <w:left w:val="nil"/>
              <w:bottom w:val="single" w:color="auto" w:sz="4" w:space="0"/>
              <w:right w:val="single" w:color="auto" w:sz="4" w:space="0"/>
            </w:tcBorders>
            <w:shd w:val="clear" w:color="auto" w:fill="auto"/>
            <w:vAlign w:val="center"/>
          </w:tcPr>
          <w:p w14:paraId="25760DD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乙方发生安全事故不及时汇报（超过24h），或谎报、瞒报，逃避责任等行为。</w:t>
            </w:r>
          </w:p>
        </w:tc>
        <w:tc>
          <w:tcPr>
            <w:tcW w:w="3720" w:type="dxa"/>
            <w:tcBorders>
              <w:top w:val="nil"/>
              <w:left w:val="nil"/>
              <w:bottom w:val="single" w:color="auto" w:sz="4" w:space="0"/>
              <w:right w:val="single" w:color="auto" w:sz="4" w:space="0"/>
            </w:tcBorders>
            <w:shd w:val="clear" w:color="auto" w:fill="auto"/>
            <w:vAlign w:val="center"/>
          </w:tcPr>
          <w:p w14:paraId="066E228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按事故事件的级别给予不超过2万元/次的考核（事故责任另计）</w:t>
            </w:r>
          </w:p>
        </w:tc>
      </w:tr>
      <w:tr w14:paraId="08D2FB1C">
        <w:tblPrEx>
          <w:tblCellMar>
            <w:top w:w="0" w:type="dxa"/>
            <w:left w:w="108" w:type="dxa"/>
            <w:bottom w:w="0" w:type="dxa"/>
            <w:right w:w="108" w:type="dxa"/>
          </w:tblCellMar>
        </w:tblPrEx>
        <w:trPr>
          <w:trHeight w:val="372"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99050B5">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二</w:t>
            </w:r>
          </w:p>
        </w:tc>
        <w:tc>
          <w:tcPr>
            <w:tcW w:w="5030" w:type="dxa"/>
            <w:tcBorders>
              <w:top w:val="nil"/>
              <w:left w:val="nil"/>
              <w:bottom w:val="single" w:color="auto" w:sz="4" w:space="0"/>
              <w:right w:val="single" w:color="auto" w:sz="4" w:space="0"/>
            </w:tcBorders>
            <w:shd w:val="clear" w:color="auto" w:fill="auto"/>
            <w:vAlign w:val="center"/>
          </w:tcPr>
          <w:p w14:paraId="7EF32F3B">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安全管理考核</w:t>
            </w:r>
          </w:p>
        </w:tc>
        <w:tc>
          <w:tcPr>
            <w:tcW w:w="3720" w:type="dxa"/>
            <w:tcBorders>
              <w:top w:val="nil"/>
              <w:left w:val="nil"/>
              <w:bottom w:val="single" w:color="auto" w:sz="4" w:space="0"/>
              <w:right w:val="single" w:color="auto" w:sz="4" w:space="0"/>
            </w:tcBorders>
            <w:shd w:val="clear" w:color="auto" w:fill="auto"/>
            <w:vAlign w:val="center"/>
          </w:tcPr>
          <w:p w14:paraId="46E111AA">
            <w:pPr>
              <w:widowControl/>
              <w:spacing w:line="360" w:lineRule="exact"/>
              <w:jc w:val="left"/>
              <w:rPr>
                <w:rFonts w:ascii="宋体" w:hAnsi="宋体" w:eastAsia="宋体" w:cs="宋体"/>
                <w:color w:val="000000"/>
                <w:kern w:val="0"/>
                <w:sz w:val="24"/>
                <w:szCs w:val="24"/>
              </w:rPr>
            </w:pPr>
          </w:p>
        </w:tc>
      </w:tr>
      <w:tr w14:paraId="20C52EB4">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DA2A4A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5030" w:type="dxa"/>
            <w:tcBorders>
              <w:top w:val="nil"/>
              <w:left w:val="nil"/>
              <w:bottom w:val="single" w:color="auto" w:sz="4" w:space="0"/>
              <w:right w:val="single" w:color="auto" w:sz="4" w:space="0"/>
            </w:tcBorders>
            <w:shd w:val="clear" w:color="auto" w:fill="auto"/>
            <w:vAlign w:val="center"/>
          </w:tcPr>
          <w:p w14:paraId="2B7BE03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乙方不设立现场安全组织管理机构，不按要求设置安全员，项目经理或专职安全人员不具备国家要求的相应安全资格。</w:t>
            </w:r>
          </w:p>
        </w:tc>
        <w:tc>
          <w:tcPr>
            <w:tcW w:w="3720" w:type="dxa"/>
            <w:tcBorders>
              <w:top w:val="nil"/>
              <w:left w:val="nil"/>
              <w:bottom w:val="single" w:color="auto" w:sz="4" w:space="0"/>
              <w:right w:val="single" w:color="auto" w:sz="4" w:space="0"/>
            </w:tcBorders>
            <w:shd w:val="clear" w:color="auto" w:fill="auto"/>
            <w:vAlign w:val="center"/>
          </w:tcPr>
          <w:p w14:paraId="7364D70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1万－0.5万元/人·次</w:t>
            </w:r>
          </w:p>
        </w:tc>
      </w:tr>
      <w:tr w14:paraId="2644A50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DDB447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5030" w:type="dxa"/>
            <w:tcBorders>
              <w:top w:val="nil"/>
              <w:left w:val="nil"/>
              <w:bottom w:val="single" w:color="auto" w:sz="4" w:space="0"/>
              <w:right w:val="single" w:color="auto" w:sz="4" w:space="0"/>
            </w:tcBorders>
            <w:shd w:val="clear" w:color="auto" w:fill="auto"/>
            <w:vAlign w:val="center"/>
          </w:tcPr>
          <w:p w14:paraId="71AEDA5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乙方新人员未经安全教育或考试不合格上岗</w:t>
            </w:r>
          </w:p>
        </w:tc>
        <w:tc>
          <w:tcPr>
            <w:tcW w:w="3720" w:type="dxa"/>
            <w:tcBorders>
              <w:top w:val="nil"/>
              <w:left w:val="nil"/>
              <w:bottom w:val="single" w:color="auto" w:sz="4" w:space="0"/>
              <w:right w:val="single" w:color="auto" w:sz="4" w:space="0"/>
            </w:tcBorders>
            <w:shd w:val="clear" w:color="auto" w:fill="auto"/>
            <w:vAlign w:val="center"/>
          </w:tcPr>
          <w:p w14:paraId="668905A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考核500－1000元/人，屡教不改或形成普遍现象的加倍考核.</w:t>
            </w:r>
          </w:p>
        </w:tc>
      </w:tr>
      <w:tr w14:paraId="50C1836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95D6DCC">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5030" w:type="dxa"/>
            <w:tcBorders>
              <w:top w:val="nil"/>
              <w:left w:val="nil"/>
              <w:bottom w:val="single" w:color="auto" w:sz="4" w:space="0"/>
              <w:right w:val="single" w:color="auto" w:sz="4" w:space="0"/>
            </w:tcBorders>
            <w:shd w:val="clear" w:color="auto" w:fill="auto"/>
            <w:vAlign w:val="center"/>
          </w:tcPr>
          <w:p w14:paraId="51309E4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乙方人员变更未及时向甲方或监理方申报、备案的。</w:t>
            </w:r>
          </w:p>
        </w:tc>
        <w:tc>
          <w:tcPr>
            <w:tcW w:w="3720" w:type="dxa"/>
            <w:tcBorders>
              <w:top w:val="nil"/>
              <w:left w:val="nil"/>
              <w:bottom w:val="single" w:color="auto" w:sz="4" w:space="0"/>
              <w:right w:val="single" w:color="auto" w:sz="4" w:space="0"/>
            </w:tcBorders>
            <w:shd w:val="clear" w:color="auto" w:fill="auto"/>
            <w:vAlign w:val="center"/>
          </w:tcPr>
          <w:p w14:paraId="7BCF6DB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考核500元－1000元/人·次</w:t>
            </w:r>
          </w:p>
        </w:tc>
      </w:tr>
      <w:tr w14:paraId="726E819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44F45E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5030" w:type="dxa"/>
            <w:tcBorders>
              <w:top w:val="nil"/>
              <w:left w:val="nil"/>
              <w:bottom w:val="single" w:color="auto" w:sz="4" w:space="0"/>
              <w:right w:val="single" w:color="auto" w:sz="4" w:space="0"/>
            </w:tcBorders>
            <w:shd w:val="clear" w:color="auto" w:fill="auto"/>
            <w:vAlign w:val="center"/>
          </w:tcPr>
          <w:p w14:paraId="7855F0C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乙方施工过程中特种作业人员没有特种作业证，或不随身携带特种作业证。</w:t>
            </w:r>
          </w:p>
        </w:tc>
        <w:tc>
          <w:tcPr>
            <w:tcW w:w="3720" w:type="dxa"/>
            <w:tcBorders>
              <w:top w:val="nil"/>
              <w:left w:val="nil"/>
              <w:bottom w:val="single" w:color="auto" w:sz="4" w:space="0"/>
              <w:right w:val="single" w:color="auto" w:sz="4" w:space="0"/>
            </w:tcBorders>
            <w:shd w:val="clear" w:color="auto" w:fill="auto"/>
            <w:vAlign w:val="center"/>
          </w:tcPr>
          <w:p w14:paraId="55B2B0B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特种作业人员无证上岗考核0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5万元/人.次，特种作业证未随身携带考核500元/人次</w:t>
            </w:r>
          </w:p>
        </w:tc>
      </w:tr>
      <w:tr w14:paraId="1B14D01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6D5142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5030" w:type="dxa"/>
            <w:tcBorders>
              <w:top w:val="nil"/>
              <w:left w:val="nil"/>
              <w:bottom w:val="single" w:color="auto" w:sz="4" w:space="0"/>
              <w:right w:val="single" w:color="auto" w:sz="4" w:space="0"/>
            </w:tcBorders>
            <w:shd w:val="clear" w:color="auto" w:fill="auto"/>
            <w:vAlign w:val="center"/>
          </w:tcPr>
          <w:p w14:paraId="296F6F2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乙方不按规定开展安全培训、安全交底、风险分析、隐患排查、事故应急等安全活动，或安全活动查无实据、或弄虚作假。</w:t>
            </w:r>
          </w:p>
        </w:tc>
        <w:tc>
          <w:tcPr>
            <w:tcW w:w="3720" w:type="dxa"/>
            <w:tcBorders>
              <w:top w:val="nil"/>
              <w:left w:val="nil"/>
              <w:bottom w:val="single" w:color="auto" w:sz="4" w:space="0"/>
              <w:right w:val="single" w:color="auto" w:sz="4" w:space="0"/>
            </w:tcBorders>
            <w:shd w:val="clear" w:color="auto" w:fill="auto"/>
            <w:vAlign w:val="center"/>
          </w:tcPr>
          <w:p w14:paraId="290113D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0.3</w:t>
            </w:r>
            <w:r>
              <w:rPr>
                <w:rFonts w:hint="eastAsia" w:ascii="宋体" w:hAnsi="宋体" w:eastAsia="宋体" w:cs="宋体"/>
                <w:color w:val="000000"/>
                <w:kern w:val="0"/>
                <w:sz w:val="24"/>
                <w:szCs w:val="24"/>
              </w:rPr>
              <w:t>万元/项</w:t>
            </w:r>
          </w:p>
        </w:tc>
      </w:tr>
      <w:tr w14:paraId="1CFA919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1CEB96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5030" w:type="dxa"/>
            <w:tcBorders>
              <w:top w:val="nil"/>
              <w:left w:val="nil"/>
              <w:bottom w:val="single" w:color="auto" w:sz="4" w:space="0"/>
              <w:right w:val="single" w:color="auto" w:sz="4" w:space="0"/>
            </w:tcBorders>
            <w:shd w:val="clear" w:color="auto" w:fill="auto"/>
            <w:vAlign w:val="center"/>
          </w:tcPr>
          <w:p w14:paraId="41562FB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乙方不按要求落实甲方反事故措施或重大安全事故隐患整改措施。</w:t>
            </w:r>
          </w:p>
        </w:tc>
        <w:tc>
          <w:tcPr>
            <w:tcW w:w="3720" w:type="dxa"/>
            <w:tcBorders>
              <w:top w:val="nil"/>
              <w:left w:val="nil"/>
              <w:bottom w:val="single" w:color="auto" w:sz="4" w:space="0"/>
              <w:right w:val="single" w:color="auto" w:sz="4" w:space="0"/>
            </w:tcBorders>
            <w:shd w:val="clear" w:color="auto" w:fill="auto"/>
            <w:vAlign w:val="center"/>
          </w:tcPr>
          <w:p w14:paraId="6BA4613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5万元/项</w:t>
            </w:r>
          </w:p>
        </w:tc>
      </w:tr>
      <w:tr w14:paraId="0193F8B8">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D1FA59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5030" w:type="dxa"/>
            <w:tcBorders>
              <w:top w:val="nil"/>
              <w:left w:val="nil"/>
              <w:bottom w:val="single" w:color="auto" w:sz="4" w:space="0"/>
              <w:right w:val="single" w:color="auto" w:sz="4" w:space="0"/>
            </w:tcBorders>
            <w:shd w:val="clear" w:color="auto" w:fill="auto"/>
            <w:vAlign w:val="center"/>
          </w:tcPr>
          <w:p w14:paraId="0D36C1B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乙方对甲方提出的安全整改意见无特殊原因未安排整改的。</w:t>
            </w:r>
          </w:p>
        </w:tc>
        <w:tc>
          <w:tcPr>
            <w:tcW w:w="3720" w:type="dxa"/>
            <w:tcBorders>
              <w:top w:val="nil"/>
              <w:left w:val="nil"/>
              <w:bottom w:val="single" w:color="auto" w:sz="4" w:space="0"/>
              <w:right w:val="single" w:color="auto" w:sz="4" w:space="0"/>
            </w:tcBorders>
            <w:shd w:val="clear" w:color="auto" w:fill="auto"/>
            <w:vAlign w:val="center"/>
          </w:tcPr>
          <w:p w14:paraId="388C168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每逾期1天考核500元</w:t>
            </w:r>
          </w:p>
        </w:tc>
      </w:tr>
      <w:tr w14:paraId="189A63C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1125A4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w:t>
            </w:r>
          </w:p>
        </w:tc>
        <w:tc>
          <w:tcPr>
            <w:tcW w:w="5030" w:type="dxa"/>
            <w:tcBorders>
              <w:top w:val="nil"/>
              <w:left w:val="nil"/>
              <w:bottom w:val="single" w:color="auto" w:sz="4" w:space="0"/>
              <w:right w:val="single" w:color="auto" w:sz="4" w:space="0"/>
            </w:tcBorders>
            <w:shd w:val="clear" w:color="auto" w:fill="auto"/>
            <w:vAlign w:val="center"/>
          </w:tcPr>
          <w:p w14:paraId="4AAA921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乙方在甲方厂区内未经许可，未履行完申请报批手续，违规建设。</w:t>
            </w:r>
          </w:p>
        </w:tc>
        <w:tc>
          <w:tcPr>
            <w:tcW w:w="3720" w:type="dxa"/>
            <w:tcBorders>
              <w:top w:val="nil"/>
              <w:left w:val="nil"/>
              <w:bottom w:val="single" w:color="auto" w:sz="4" w:space="0"/>
              <w:right w:val="single" w:color="auto" w:sz="4" w:space="0"/>
            </w:tcBorders>
            <w:shd w:val="clear" w:color="auto" w:fill="auto"/>
            <w:vAlign w:val="center"/>
          </w:tcPr>
          <w:p w14:paraId="6282053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5万－1万元/次，并恢复原貌。</w:t>
            </w:r>
          </w:p>
        </w:tc>
      </w:tr>
      <w:tr w14:paraId="2DD88D00">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29F5E4C">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5030" w:type="dxa"/>
            <w:tcBorders>
              <w:top w:val="nil"/>
              <w:left w:val="nil"/>
              <w:bottom w:val="single" w:color="auto" w:sz="4" w:space="0"/>
              <w:right w:val="single" w:color="auto" w:sz="4" w:space="0"/>
            </w:tcBorders>
            <w:shd w:val="clear" w:color="auto" w:fill="auto"/>
            <w:vAlign w:val="center"/>
          </w:tcPr>
          <w:p w14:paraId="5D22BA5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乙方未落实审批程序擅自开工</w:t>
            </w:r>
          </w:p>
        </w:tc>
        <w:tc>
          <w:tcPr>
            <w:tcW w:w="3720" w:type="dxa"/>
            <w:tcBorders>
              <w:top w:val="nil"/>
              <w:left w:val="nil"/>
              <w:bottom w:val="single" w:color="auto" w:sz="4" w:space="0"/>
              <w:right w:val="single" w:color="auto" w:sz="4" w:space="0"/>
            </w:tcBorders>
            <w:shd w:val="clear" w:color="auto" w:fill="auto"/>
            <w:vAlign w:val="center"/>
          </w:tcPr>
          <w:p w14:paraId="27270D1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2万－0.5万元/次，并立即停工整改。</w:t>
            </w:r>
          </w:p>
        </w:tc>
      </w:tr>
      <w:tr w14:paraId="27AD1B6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03A49E7">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26</w:t>
            </w:r>
          </w:p>
        </w:tc>
        <w:tc>
          <w:tcPr>
            <w:tcW w:w="5030" w:type="dxa"/>
            <w:tcBorders>
              <w:top w:val="nil"/>
              <w:left w:val="nil"/>
              <w:bottom w:val="single" w:color="auto" w:sz="4" w:space="0"/>
              <w:right w:val="single" w:color="auto" w:sz="4" w:space="0"/>
            </w:tcBorders>
            <w:shd w:val="clear" w:color="auto" w:fill="auto"/>
            <w:vAlign w:val="center"/>
          </w:tcPr>
          <w:p w14:paraId="39E6388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乙方施工现场在用的特种设备未经法定检验或未及时备案，或超检验期使用。</w:t>
            </w:r>
          </w:p>
        </w:tc>
        <w:tc>
          <w:tcPr>
            <w:tcW w:w="3720" w:type="dxa"/>
            <w:tcBorders>
              <w:top w:val="nil"/>
              <w:left w:val="nil"/>
              <w:bottom w:val="single" w:color="auto" w:sz="4" w:space="0"/>
              <w:right w:val="single" w:color="auto" w:sz="4" w:space="0"/>
            </w:tcBorders>
            <w:shd w:val="clear" w:color="auto" w:fill="auto"/>
            <w:vAlign w:val="center"/>
          </w:tcPr>
          <w:p w14:paraId="7B00663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5万－1万元/次</w:t>
            </w:r>
          </w:p>
        </w:tc>
      </w:tr>
      <w:tr w14:paraId="467CE75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6DB96D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27</w:t>
            </w:r>
          </w:p>
        </w:tc>
        <w:tc>
          <w:tcPr>
            <w:tcW w:w="5030" w:type="dxa"/>
            <w:tcBorders>
              <w:top w:val="nil"/>
              <w:left w:val="nil"/>
              <w:bottom w:val="single" w:color="auto" w:sz="4" w:space="0"/>
              <w:right w:val="single" w:color="auto" w:sz="4" w:space="0"/>
            </w:tcBorders>
            <w:shd w:val="clear" w:color="auto" w:fill="auto"/>
            <w:vAlign w:val="center"/>
          </w:tcPr>
          <w:p w14:paraId="6E4B916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乙方使用未经检验或超过检验期的安全工器具</w:t>
            </w:r>
          </w:p>
        </w:tc>
        <w:tc>
          <w:tcPr>
            <w:tcW w:w="3720" w:type="dxa"/>
            <w:tcBorders>
              <w:top w:val="nil"/>
              <w:left w:val="nil"/>
              <w:bottom w:val="single" w:color="auto" w:sz="4" w:space="0"/>
              <w:right w:val="single" w:color="auto" w:sz="4" w:space="0"/>
            </w:tcBorders>
            <w:shd w:val="clear" w:color="auto" w:fill="auto"/>
            <w:vAlign w:val="center"/>
          </w:tcPr>
          <w:p w14:paraId="75EC132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2万元/项</w:t>
            </w:r>
          </w:p>
        </w:tc>
      </w:tr>
      <w:tr w14:paraId="4A2E45EE">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7B78CD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28</w:t>
            </w:r>
          </w:p>
        </w:tc>
        <w:tc>
          <w:tcPr>
            <w:tcW w:w="5030" w:type="dxa"/>
            <w:tcBorders>
              <w:top w:val="nil"/>
              <w:left w:val="nil"/>
              <w:bottom w:val="single" w:color="auto" w:sz="4" w:space="0"/>
              <w:right w:val="single" w:color="auto" w:sz="4" w:space="0"/>
            </w:tcBorders>
            <w:shd w:val="clear" w:color="auto" w:fill="auto"/>
            <w:vAlign w:val="center"/>
          </w:tcPr>
          <w:p w14:paraId="6AD78C2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乙方不按规定投入安全资金或虚报、瞒报安全设施投入情况。</w:t>
            </w:r>
          </w:p>
        </w:tc>
        <w:tc>
          <w:tcPr>
            <w:tcW w:w="3720" w:type="dxa"/>
            <w:tcBorders>
              <w:top w:val="nil"/>
              <w:left w:val="nil"/>
              <w:bottom w:val="single" w:color="auto" w:sz="4" w:space="0"/>
              <w:right w:val="single" w:color="auto" w:sz="4" w:space="0"/>
            </w:tcBorders>
            <w:shd w:val="clear" w:color="auto" w:fill="auto"/>
            <w:vAlign w:val="center"/>
          </w:tcPr>
          <w:p w14:paraId="08C8559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5万－2万元/次，并责令按规定投入足额安全资金。</w:t>
            </w:r>
          </w:p>
        </w:tc>
      </w:tr>
      <w:tr w14:paraId="2610FDB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63D373A">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29</w:t>
            </w:r>
          </w:p>
        </w:tc>
        <w:tc>
          <w:tcPr>
            <w:tcW w:w="5030" w:type="dxa"/>
            <w:tcBorders>
              <w:top w:val="nil"/>
              <w:left w:val="nil"/>
              <w:bottom w:val="single" w:color="auto" w:sz="4" w:space="0"/>
              <w:right w:val="single" w:color="auto" w:sz="4" w:space="0"/>
            </w:tcBorders>
            <w:shd w:val="clear" w:color="auto" w:fill="auto"/>
            <w:vAlign w:val="center"/>
          </w:tcPr>
          <w:p w14:paraId="764E3E7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乙方不服从甲方对口管理部门、管理人员指挥，且态度恶劣、拒不整改的。</w:t>
            </w:r>
          </w:p>
        </w:tc>
        <w:tc>
          <w:tcPr>
            <w:tcW w:w="3720" w:type="dxa"/>
            <w:tcBorders>
              <w:top w:val="nil"/>
              <w:left w:val="nil"/>
              <w:bottom w:val="single" w:color="auto" w:sz="4" w:space="0"/>
              <w:right w:val="single" w:color="auto" w:sz="4" w:space="0"/>
            </w:tcBorders>
            <w:shd w:val="clear" w:color="auto" w:fill="auto"/>
            <w:vAlign w:val="center"/>
          </w:tcPr>
          <w:p w14:paraId="26411AE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1万－0.3万元/次，情节严重者驱逐出厂。</w:t>
            </w:r>
          </w:p>
        </w:tc>
      </w:tr>
      <w:tr w14:paraId="40025A65">
        <w:tblPrEx>
          <w:tblCellMar>
            <w:top w:w="0" w:type="dxa"/>
            <w:left w:w="108" w:type="dxa"/>
            <w:bottom w:w="0" w:type="dxa"/>
            <w:right w:w="108" w:type="dxa"/>
          </w:tblCellMar>
        </w:tblPrEx>
        <w:trPr>
          <w:trHeight w:val="457"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8051F43">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三</w:t>
            </w:r>
          </w:p>
        </w:tc>
        <w:tc>
          <w:tcPr>
            <w:tcW w:w="5030" w:type="dxa"/>
            <w:tcBorders>
              <w:top w:val="nil"/>
              <w:left w:val="nil"/>
              <w:bottom w:val="single" w:color="auto" w:sz="4" w:space="0"/>
              <w:right w:val="single" w:color="auto" w:sz="4" w:space="0"/>
            </w:tcBorders>
            <w:shd w:val="clear" w:color="auto" w:fill="auto"/>
            <w:vAlign w:val="center"/>
          </w:tcPr>
          <w:p w14:paraId="72CDAAE0">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违章考核</w:t>
            </w:r>
          </w:p>
        </w:tc>
        <w:tc>
          <w:tcPr>
            <w:tcW w:w="3720" w:type="dxa"/>
            <w:tcBorders>
              <w:top w:val="nil"/>
              <w:left w:val="nil"/>
              <w:bottom w:val="single" w:color="auto" w:sz="4" w:space="0"/>
              <w:right w:val="single" w:color="auto" w:sz="4" w:space="0"/>
            </w:tcBorders>
            <w:shd w:val="clear" w:color="auto" w:fill="auto"/>
            <w:vAlign w:val="center"/>
          </w:tcPr>
          <w:p w14:paraId="2C236B95">
            <w:pPr>
              <w:widowControl/>
              <w:spacing w:line="360" w:lineRule="exact"/>
              <w:jc w:val="left"/>
              <w:rPr>
                <w:rFonts w:ascii="宋体" w:hAnsi="宋体" w:eastAsia="宋体" w:cs="宋体"/>
                <w:color w:val="000000"/>
                <w:kern w:val="0"/>
                <w:sz w:val="24"/>
                <w:szCs w:val="24"/>
              </w:rPr>
            </w:pPr>
          </w:p>
        </w:tc>
      </w:tr>
      <w:tr w14:paraId="67482F1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662316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30</w:t>
            </w:r>
          </w:p>
        </w:tc>
        <w:tc>
          <w:tcPr>
            <w:tcW w:w="5030" w:type="dxa"/>
            <w:tcBorders>
              <w:top w:val="nil"/>
              <w:left w:val="nil"/>
              <w:bottom w:val="single" w:color="auto" w:sz="4" w:space="0"/>
              <w:right w:val="single" w:color="auto" w:sz="4" w:space="0"/>
            </w:tcBorders>
            <w:shd w:val="clear" w:color="auto" w:fill="auto"/>
            <w:vAlign w:val="center"/>
          </w:tcPr>
          <w:p w14:paraId="7710F2C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乙方违反甲方两票管理制度</w:t>
            </w:r>
          </w:p>
        </w:tc>
        <w:tc>
          <w:tcPr>
            <w:tcW w:w="3720" w:type="dxa"/>
            <w:tcBorders>
              <w:top w:val="nil"/>
              <w:left w:val="nil"/>
              <w:bottom w:val="single" w:color="auto" w:sz="4" w:space="0"/>
              <w:right w:val="single" w:color="auto" w:sz="4" w:space="0"/>
            </w:tcBorders>
            <w:shd w:val="clear" w:color="auto" w:fill="auto"/>
            <w:vAlign w:val="center"/>
          </w:tcPr>
          <w:p w14:paraId="252318E2">
            <w:pPr>
              <w:widowControl/>
              <w:spacing w:line="30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无票作业考核0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3万－1万元/次，工作票不合格或未按安措执行的每次考核500元－0.2万元</w:t>
            </w:r>
          </w:p>
        </w:tc>
      </w:tr>
      <w:tr w14:paraId="6EA2EA0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45C494C">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w:t>
            </w:r>
          </w:p>
        </w:tc>
        <w:tc>
          <w:tcPr>
            <w:tcW w:w="5030" w:type="dxa"/>
            <w:tcBorders>
              <w:top w:val="nil"/>
              <w:left w:val="nil"/>
              <w:bottom w:val="single" w:color="auto" w:sz="4" w:space="0"/>
              <w:right w:val="single" w:color="auto" w:sz="4" w:space="0"/>
            </w:tcBorders>
            <w:shd w:val="clear" w:color="auto" w:fill="auto"/>
            <w:vAlign w:val="center"/>
          </w:tcPr>
          <w:p w14:paraId="662FC02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乙方人员未经许可擅动甲方的生产设备、设施</w:t>
            </w:r>
          </w:p>
        </w:tc>
        <w:tc>
          <w:tcPr>
            <w:tcW w:w="3720" w:type="dxa"/>
            <w:tcBorders>
              <w:top w:val="nil"/>
              <w:left w:val="nil"/>
              <w:bottom w:val="single" w:color="auto" w:sz="4" w:space="0"/>
              <w:right w:val="single" w:color="auto" w:sz="4" w:space="0"/>
            </w:tcBorders>
            <w:shd w:val="clear" w:color="auto" w:fill="auto"/>
            <w:vAlign w:val="center"/>
          </w:tcPr>
          <w:p w14:paraId="7CED5C0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考核0.2万元-0.5万元/次，造成后果的视损失另行考核。</w:t>
            </w:r>
          </w:p>
        </w:tc>
      </w:tr>
      <w:tr w14:paraId="24ADCA2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BEE0EB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32</w:t>
            </w:r>
          </w:p>
        </w:tc>
        <w:tc>
          <w:tcPr>
            <w:tcW w:w="5030" w:type="dxa"/>
            <w:tcBorders>
              <w:top w:val="nil"/>
              <w:left w:val="nil"/>
              <w:bottom w:val="single" w:color="auto" w:sz="4" w:space="0"/>
              <w:right w:val="single" w:color="auto" w:sz="4" w:space="0"/>
            </w:tcBorders>
            <w:shd w:val="clear" w:color="auto" w:fill="auto"/>
            <w:vAlign w:val="center"/>
          </w:tcPr>
          <w:p w14:paraId="676F8DA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乙方不经批准在甲方设备、结构、建筑物上开孔或焊接临时构件，变更设备设施用途。</w:t>
            </w:r>
          </w:p>
        </w:tc>
        <w:tc>
          <w:tcPr>
            <w:tcW w:w="3720" w:type="dxa"/>
            <w:tcBorders>
              <w:top w:val="nil"/>
              <w:left w:val="nil"/>
              <w:bottom w:val="single" w:color="auto" w:sz="4" w:space="0"/>
              <w:right w:val="single" w:color="auto" w:sz="4" w:space="0"/>
            </w:tcBorders>
            <w:shd w:val="clear" w:color="auto" w:fill="auto"/>
            <w:vAlign w:val="center"/>
          </w:tcPr>
          <w:p w14:paraId="2897D2C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考核0.2万元-0.5万元/次，造成后果的视损失另行考核。</w:t>
            </w:r>
          </w:p>
        </w:tc>
      </w:tr>
      <w:tr w14:paraId="1F0F1F3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50A0EF1E">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w:t>
            </w:r>
          </w:p>
        </w:tc>
        <w:tc>
          <w:tcPr>
            <w:tcW w:w="5030" w:type="dxa"/>
            <w:tcBorders>
              <w:top w:val="nil"/>
              <w:left w:val="nil"/>
              <w:bottom w:val="single" w:color="auto" w:sz="4" w:space="0"/>
              <w:right w:val="single" w:color="auto" w:sz="4" w:space="0"/>
            </w:tcBorders>
            <w:shd w:val="clear" w:color="auto" w:fill="auto"/>
            <w:vAlign w:val="center"/>
          </w:tcPr>
          <w:p w14:paraId="25FB8D1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乙方违规搭设脚手架或无票随意搭设脚手架，脚手架未验收或无验收合格证投入使用。</w:t>
            </w:r>
          </w:p>
        </w:tc>
        <w:tc>
          <w:tcPr>
            <w:tcW w:w="3720" w:type="dxa"/>
            <w:tcBorders>
              <w:top w:val="nil"/>
              <w:left w:val="nil"/>
              <w:bottom w:val="single" w:color="auto" w:sz="4" w:space="0"/>
              <w:right w:val="single" w:color="auto" w:sz="4" w:space="0"/>
            </w:tcBorders>
            <w:shd w:val="clear" w:color="auto" w:fill="auto"/>
            <w:vAlign w:val="center"/>
          </w:tcPr>
          <w:p w14:paraId="5F2F612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脚手架存在较大安全隐患考核0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1万－0.5万元/项，未经验收投入使用考核0.5万元-1万元/处。</w:t>
            </w:r>
          </w:p>
        </w:tc>
      </w:tr>
      <w:tr w14:paraId="08960B7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562B8D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33</w:t>
            </w:r>
          </w:p>
        </w:tc>
        <w:tc>
          <w:tcPr>
            <w:tcW w:w="5030" w:type="dxa"/>
            <w:tcBorders>
              <w:top w:val="nil"/>
              <w:left w:val="nil"/>
              <w:bottom w:val="single" w:color="auto" w:sz="4" w:space="0"/>
              <w:right w:val="single" w:color="auto" w:sz="4" w:space="0"/>
            </w:tcBorders>
            <w:shd w:val="clear" w:color="auto" w:fill="auto"/>
            <w:vAlign w:val="center"/>
          </w:tcPr>
          <w:p w14:paraId="313ED56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乙方违反《电力安全工作规程》高处、临边、起重等作业有关规定，隔离、防护设施不到位。</w:t>
            </w:r>
          </w:p>
        </w:tc>
        <w:tc>
          <w:tcPr>
            <w:tcW w:w="3720" w:type="dxa"/>
            <w:tcBorders>
              <w:top w:val="nil"/>
              <w:left w:val="nil"/>
              <w:bottom w:val="single" w:color="auto" w:sz="4" w:space="0"/>
              <w:right w:val="single" w:color="auto" w:sz="4" w:space="0"/>
            </w:tcBorders>
            <w:shd w:val="clear" w:color="auto" w:fill="auto"/>
            <w:vAlign w:val="center"/>
          </w:tcPr>
          <w:p w14:paraId="0DF309C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0.5</w:t>
            </w:r>
            <w:r>
              <w:rPr>
                <w:rFonts w:hint="eastAsia" w:ascii="宋体" w:hAnsi="宋体" w:eastAsia="宋体" w:cs="宋体"/>
                <w:color w:val="000000"/>
                <w:kern w:val="0"/>
                <w:sz w:val="24"/>
                <w:szCs w:val="24"/>
              </w:rPr>
              <w:t>万元/处</w:t>
            </w:r>
          </w:p>
        </w:tc>
      </w:tr>
      <w:tr w14:paraId="7B9CDBD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324EA26">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34</w:t>
            </w:r>
          </w:p>
        </w:tc>
        <w:tc>
          <w:tcPr>
            <w:tcW w:w="5030" w:type="dxa"/>
            <w:tcBorders>
              <w:top w:val="nil"/>
              <w:left w:val="nil"/>
              <w:bottom w:val="single" w:color="auto" w:sz="4" w:space="0"/>
              <w:right w:val="single" w:color="auto" w:sz="4" w:space="0"/>
            </w:tcBorders>
            <w:shd w:val="clear" w:color="auto" w:fill="auto"/>
            <w:vAlign w:val="center"/>
          </w:tcPr>
          <w:p w14:paraId="0CCF381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乙方在受限空间作业时，未办理许可票，未遵守通风、检测、监护、电动工具的使用、电源管理等有关规定的行为。</w:t>
            </w:r>
          </w:p>
        </w:tc>
        <w:tc>
          <w:tcPr>
            <w:tcW w:w="3720" w:type="dxa"/>
            <w:tcBorders>
              <w:top w:val="nil"/>
              <w:left w:val="nil"/>
              <w:bottom w:val="single" w:color="auto" w:sz="4" w:space="0"/>
              <w:right w:val="single" w:color="auto" w:sz="4" w:space="0"/>
            </w:tcBorders>
            <w:shd w:val="clear" w:color="auto" w:fill="auto"/>
            <w:vAlign w:val="center"/>
          </w:tcPr>
          <w:p w14:paraId="2317274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0.5</w:t>
            </w:r>
            <w:r>
              <w:rPr>
                <w:rFonts w:hint="eastAsia" w:ascii="宋体" w:hAnsi="宋体" w:eastAsia="宋体" w:cs="宋体"/>
                <w:color w:val="000000"/>
                <w:kern w:val="0"/>
                <w:sz w:val="24"/>
                <w:szCs w:val="24"/>
              </w:rPr>
              <w:t>万元/处</w:t>
            </w:r>
          </w:p>
        </w:tc>
      </w:tr>
      <w:tr w14:paraId="7604A00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E154189">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35</w:t>
            </w:r>
          </w:p>
        </w:tc>
        <w:tc>
          <w:tcPr>
            <w:tcW w:w="5030" w:type="dxa"/>
            <w:tcBorders>
              <w:top w:val="nil"/>
              <w:left w:val="nil"/>
              <w:bottom w:val="single" w:color="auto" w:sz="4" w:space="0"/>
              <w:right w:val="single" w:color="auto" w:sz="4" w:space="0"/>
            </w:tcBorders>
            <w:shd w:val="clear" w:color="auto" w:fill="auto"/>
            <w:vAlign w:val="center"/>
          </w:tcPr>
          <w:p w14:paraId="649F308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乙方违反起重设备使用规定或由于使用不当造成起重设备的损坏。</w:t>
            </w:r>
          </w:p>
        </w:tc>
        <w:tc>
          <w:tcPr>
            <w:tcW w:w="3720" w:type="dxa"/>
            <w:tcBorders>
              <w:top w:val="nil"/>
              <w:left w:val="nil"/>
              <w:bottom w:val="single" w:color="auto" w:sz="4" w:space="0"/>
              <w:right w:val="single" w:color="auto" w:sz="4" w:space="0"/>
            </w:tcBorders>
            <w:shd w:val="clear" w:color="auto" w:fill="auto"/>
            <w:vAlign w:val="center"/>
          </w:tcPr>
          <w:p w14:paraId="28CA5EBA">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w:t>
            </w:r>
            <w:r>
              <w:rPr>
                <w:rFonts w:ascii="宋体" w:hAnsi="宋体" w:eastAsia="宋体" w:cs="宋体"/>
                <w:color w:val="000000"/>
                <w:kern w:val="0"/>
                <w:sz w:val="24"/>
                <w:szCs w:val="24"/>
              </w:rPr>
              <w:t>0.3</w:t>
            </w:r>
            <w:r>
              <w:rPr>
                <w:rFonts w:hint="eastAsia" w:ascii="宋体" w:hAnsi="宋体" w:eastAsia="宋体" w:cs="宋体"/>
                <w:color w:val="000000"/>
                <w:kern w:val="0"/>
                <w:sz w:val="24"/>
                <w:szCs w:val="24"/>
              </w:rPr>
              <w:t>万元/次，并负责修复。</w:t>
            </w:r>
          </w:p>
        </w:tc>
      </w:tr>
      <w:tr w14:paraId="421EDA35">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70BE20C">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36</w:t>
            </w:r>
          </w:p>
        </w:tc>
        <w:tc>
          <w:tcPr>
            <w:tcW w:w="5030" w:type="dxa"/>
            <w:tcBorders>
              <w:top w:val="nil"/>
              <w:left w:val="nil"/>
              <w:bottom w:val="single" w:color="auto" w:sz="4" w:space="0"/>
              <w:right w:val="single" w:color="auto" w:sz="4" w:space="0"/>
            </w:tcBorders>
            <w:shd w:val="clear" w:color="auto" w:fill="auto"/>
            <w:vAlign w:val="center"/>
          </w:tcPr>
          <w:p w14:paraId="0B98329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乙方员工工作现场不穿戴或不正确穿戴劳动防护用品，使用不合格工器具。</w:t>
            </w:r>
          </w:p>
        </w:tc>
        <w:tc>
          <w:tcPr>
            <w:tcW w:w="3720" w:type="dxa"/>
            <w:tcBorders>
              <w:top w:val="nil"/>
              <w:left w:val="nil"/>
              <w:bottom w:val="single" w:color="auto" w:sz="4" w:space="0"/>
              <w:right w:val="single" w:color="auto" w:sz="4" w:space="0"/>
            </w:tcBorders>
            <w:shd w:val="clear" w:color="auto" w:fill="auto"/>
            <w:vAlign w:val="center"/>
          </w:tcPr>
          <w:p w14:paraId="5B6B043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.1</w:t>
            </w:r>
            <w:r>
              <w:rPr>
                <w:rFonts w:hint="eastAsia" w:ascii="宋体" w:hAnsi="宋体" w:eastAsia="宋体" w:cs="宋体"/>
                <w:color w:val="000000"/>
                <w:kern w:val="0"/>
                <w:sz w:val="24"/>
                <w:szCs w:val="24"/>
              </w:rPr>
              <w:t>万元/人·次</w:t>
            </w:r>
          </w:p>
        </w:tc>
      </w:tr>
      <w:tr w14:paraId="67741E31">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EEC60C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37</w:t>
            </w:r>
          </w:p>
        </w:tc>
        <w:tc>
          <w:tcPr>
            <w:tcW w:w="5030" w:type="dxa"/>
            <w:tcBorders>
              <w:top w:val="nil"/>
              <w:left w:val="nil"/>
              <w:bottom w:val="single" w:color="auto" w:sz="4" w:space="0"/>
              <w:right w:val="single" w:color="auto" w:sz="4" w:space="0"/>
            </w:tcBorders>
            <w:shd w:val="clear" w:color="auto" w:fill="auto"/>
            <w:vAlign w:val="center"/>
          </w:tcPr>
          <w:p w14:paraId="511FC76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乙方工作人员在甲方厂区内吸烟（规定的吸烟点除外）。</w:t>
            </w:r>
          </w:p>
        </w:tc>
        <w:tc>
          <w:tcPr>
            <w:tcW w:w="3720" w:type="dxa"/>
            <w:tcBorders>
              <w:top w:val="nil"/>
              <w:left w:val="nil"/>
              <w:bottom w:val="single" w:color="auto" w:sz="4" w:space="0"/>
              <w:right w:val="single" w:color="auto" w:sz="4" w:space="0"/>
            </w:tcBorders>
            <w:shd w:val="clear" w:color="auto" w:fill="auto"/>
            <w:vAlign w:val="center"/>
          </w:tcPr>
          <w:p w14:paraId="51DBA9F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厂（场）区吸烟考核</w:t>
            </w:r>
            <w:r>
              <w:rPr>
                <w:rFonts w:ascii="宋体" w:hAnsi="宋体" w:eastAsia="宋体" w:cs="宋体"/>
                <w:color w:val="000000"/>
                <w:kern w:val="0"/>
                <w:sz w:val="24"/>
                <w:szCs w:val="24"/>
              </w:rPr>
              <w:t>500</w:t>
            </w:r>
            <w:r>
              <w:rPr>
                <w:rFonts w:hint="eastAsia" w:ascii="宋体" w:hAnsi="宋体" w:eastAsia="宋体" w:cs="宋体"/>
                <w:color w:val="000000"/>
                <w:kern w:val="0"/>
                <w:sz w:val="24"/>
                <w:szCs w:val="24"/>
              </w:rPr>
              <w:t>元</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人次，重点防火区域吸烟考核</w:t>
            </w:r>
            <w:r>
              <w:rPr>
                <w:rFonts w:ascii="宋体" w:hAnsi="宋体" w:eastAsia="宋体" w:cs="宋体"/>
                <w:color w:val="000000"/>
                <w:kern w:val="0"/>
                <w:sz w:val="24"/>
                <w:szCs w:val="24"/>
              </w:rPr>
              <w:t>0.1</w:t>
            </w:r>
            <w:r>
              <w:rPr>
                <w:rFonts w:hint="eastAsia" w:ascii="宋体" w:hAnsi="宋体" w:eastAsia="宋体" w:cs="宋体"/>
                <w:color w:val="000000"/>
                <w:kern w:val="0"/>
                <w:sz w:val="24"/>
                <w:szCs w:val="24"/>
              </w:rPr>
              <w:t>万－0</w:t>
            </w:r>
            <w:r>
              <w:rPr>
                <w:rFonts w:ascii="宋体" w:hAnsi="宋体" w:eastAsia="宋体" w:cs="宋体"/>
                <w:color w:val="000000"/>
                <w:kern w:val="0"/>
                <w:sz w:val="24"/>
                <w:szCs w:val="24"/>
              </w:rPr>
              <w:t>.2</w:t>
            </w:r>
            <w:r>
              <w:rPr>
                <w:rFonts w:hint="eastAsia" w:ascii="宋体" w:hAnsi="宋体" w:eastAsia="宋体" w:cs="宋体"/>
                <w:color w:val="000000"/>
                <w:kern w:val="0"/>
                <w:sz w:val="24"/>
                <w:szCs w:val="24"/>
              </w:rPr>
              <w:t>万元</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人</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次。</w:t>
            </w:r>
          </w:p>
        </w:tc>
      </w:tr>
      <w:tr w14:paraId="1434554B">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6806A0D">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38</w:t>
            </w:r>
          </w:p>
        </w:tc>
        <w:tc>
          <w:tcPr>
            <w:tcW w:w="5030" w:type="dxa"/>
            <w:tcBorders>
              <w:top w:val="nil"/>
              <w:left w:val="nil"/>
              <w:bottom w:val="single" w:color="auto" w:sz="4" w:space="0"/>
              <w:right w:val="single" w:color="auto" w:sz="4" w:space="0"/>
            </w:tcBorders>
            <w:shd w:val="clear" w:color="auto" w:fill="auto"/>
            <w:vAlign w:val="center"/>
          </w:tcPr>
          <w:p w14:paraId="75A0FE06">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乙方在重点防火部位违规动火</w:t>
            </w:r>
          </w:p>
        </w:tc>
        <w:tc>
          <w:tcPr>
            <w:tcW w:w="3720" w:type="dxa"/>
            <w:tcBorders>
              <w:top w:val="nil"/>
              <w:left w:val="nil"/>
              <w:bottom w:val="single" w:color="auto" w:sz="4" w:space="0"/>
              <w:right w:val="single" w:color="auto" w:sz="4" w:space="0"/>
            </w:tcBorders>
            <w:shd w:val="clear" w:color="auto" w:fill="auto"/>
            <w:vAlign w:val="center"/>
          </w:tcPr>
          <w:p w14:paraId="41B01AF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5万元/项</w:t>
            </w:r>
          </w:p>
        </w:tc>
      </w:tr>
      <w:tr w14:paraId="26B6904E">
        <w:tblPrEx>
          <w:tblCellMar>
            <w:top w:w="0" w:type="dxa"/>
            <w:left w:w="108" w:type="dxa"/>
            <w:bottom w:w="0" w:type="dxa"/>
            <w:right w:w="108" w:type="dxa"/>
          </w:tblCellMar>
        </w:tblPrEx>
        <w:trPr>
          <w:trHeight w:val="937"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49260C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39</w:t>
            </w:r>
          </w:p>
        </w:tc>
        <w:tc>
          <w:tcPr>
            <w:tcW w:w="5030" w:type="dxa"/>
            <w:tcBorders>
              <w:top w:val="nil"/>
              <w:left w:val="nil"/>
              <w:bottom w:val="single" w:color="auto" w:sz="4" w:space="0"/>
              <w:right w:val="single" w:color="auto" w:sz="4" w:space="0"/>
            </w:tcBorders>
            <w:shd w:val="clear" w:color="auto" w:fill="auto"/>
            <w:vAlign w:val="center"/>
          </w:tcPr>
          <w:p w14:paraId="50BDCF1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乙方高处动火作业，对下方的设备不采取防火隔离措施，或在地板砖、网格栅等处施工未采取保护措施。</w:t>
            </w:r>
          </w:p>
        </w:tc>
        <w:tc>
          <w:tcPr>
            <w:tcW w:w="3720" w:type="dxa"/>
            <w:tcBorders>
              <w:top w:val="nil"/>
              <w:left w:val="nil"/>
              <w:bottom w:val="single" w:color="auto" w:sz="4" w:space="0"/>
              <w:right w:val="single" w:color="auto" w:sz="4" w:space="0"/>
            </w:tcBorders>
            <w:shd w:val="clear" w:color="auto" w:fill="auto"/>
            <w:vAlign w:val="center"/>
          </w:tcPr>
          <w:p w14:paraId="34CA5D1B">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1万元/次</w:t>
            </w:r>
          </w:p>
        </w:tc>
      </w:tr>
      <w:tr w14:paraId="6F3C946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2E86602">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40</w:t>
            </w:r>
          </w:p>
        </w:tc>
        <w:tc>
          <w:tcPr>
            <w:tcW w:w="5030" w:type="dxa"/>
            <w:tcBorders>
              <w:top w:val="nil"/>
              <w:left w:val="nil"/>
              <w:bottom w:val="single" w:color="auto" w:sz="4" w:space="0"/>
              <w:right w:val="single" w:color="auto" w:sz="4" w:space="0"/>
            </w:tcBorders>
            <w:shd w:val="clear" w:color="auto" w:fill="auto"/>
            <w:vAlign w:val="center"/>
          </w:tcPr>
          <w:p w14:paraId="55C8A8B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乙方擅自使用甲方消防水源，挪用、摆压、封堵、圈围、拆除、停用甲方消防设施。</w:t>
            </w:r>
          </w:p>
        </w:tc>
        <w:tc>
          <w:tcPr>
            <w:tcW w:w="3720" w:type="dxa"/>
            <w:tcBorders>
              <w:top w:val="nil"/>
              <w:left w:val="nil"/>
              <w:bottom w:val="single" w:color="auto" w:sz="4" w:space="0"/>
              <w:right w:val="single" w:color="auto" w:sz="4" w:space="0"/>
            </w:tcBorders>
            <w:shd w:val="clear" w:color="auto" w:fill="auto"/>
            <w:vAlign w:val="center"/>
          </w:tcPr>
          <w:p w14:paraId="3F1D182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1万元/项，并负责修复或恢复。</w:t>
            </w:r>
          </w:p>
        </w:tc>
      </w:tr>
      <w:tr w14:paraId="56DA53D4">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30FAE0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41</w:t>
            </w:r>
          </w:p>
        </w:tc>
        <w:tc>
          <w:tcPr>
            <w:tcW w:w="5030" w:type="dxa"/>
            <w:tcBorders>
              <w:top w:val="nil"/>
              <w:left w:val="nil"/>
              <w:bottom w:val="single" w:color="auto" w:sz="4" w:space="0"/>
              <w:right w:val="single" w:color="auto" w:sz="4" w:space="0"/>
            </w:tcBorders>
            <w:shd w:val="clear" w:color="auto" w:fill="auto"/>
            <w:vAlign w:val="center"/>
          </w:tcPr>
          <w:p w14:paraId="185E649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乙方未经批准堵塞安全出口、疏散通道、消防通道或者占用防火间距。</w:t>
            </w:r>
          </w:p>
        </w:tc>
        <w:tc>
          <w:tcPr>
            <w:tcW w:w="3720" w:type="dxa"/>
            <w:tcBorders>
              <w:top w:val="nil"/>
              <w:left w:val="nil"/>
              <w:bottom w:val="single" w:color="auto" w:sz="4" w:space="0"/>
              <w:right w:val="single" w:color="auto" w:sz="4" w:space="0"/>
            </w:tcBorders>
            <w:shd w:val="clear" w:color="auto" w:fill="auto"/>
            <w:vAlign w:val="center"/>
          </w:tcPr>
          <w:p w14:paraId="0F73800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w:t>
            </w:r>
          </w:p>
        </w:tc>
      </w:tr>
      <w:tr w14:paraId="672F796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F73BE3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42</w:t>
            </w:r>
          </w:p>
        </w:tc>
        <w:tc>
          <w:tcPr>
            <w:tcW w:w="5030" w:type="dxa"/>
            <w:tcBorders>
              <w:top w:val="nil"/>
              <w:left w:val="nil"/>
              <w:bottom w:val="single" w:color="auto" w:sz="4" w:space="0"/>
              <w:right w:val="single" w:color="auto" w:sz="4" w:space="0"/>
            </w:tcBorders>
            <w:shd w:val="clear" w:color="auto" w:fill="auto"/>
            <w:vAlign w:val="center"/>
          </w:tcPr>
          <w:p w14:paraId="11E6B96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乙方不执行甲方临时电源管理规定，私拉乱接电线，或不正确使用现场检修电源箱。</w:t>
            </w:r>
          </w:p>
        </w:tc>
        <w:tc>
          <w:tcPr>
            <w:tcW w:w="3720" w:type="dxa"/>
            <w:tcBorders>
              <w:top w:val="nil"/>
              <w:left w:val="nil"/>
              <w:bottom w:val="single" w:color="auto" w:sz="4" w:space="0"/>
              <w:right w:val="single" w:color="auto" w:sz="4" w:space="0"/>
            </w:tcBorders>
            <w:shd w:val="clear" w:color="auto" w:fill="auto"/>
            <w:vAlign w:val="center"/>
          </w:tcPr>
          <w:p w14:paraId="5ABB8DB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1万元/项</w:t>
            </w:r>
          </w:p>
        </w:tc>
      </w:tr>
      <w:tr w14:paraId="394A435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193A09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43</w:t>
            </w:r>
          </w:p>
        </w:tc>
        <w:tc>
          <w:tcPr>
            <w:tcW w:w="5030" w:type="dxa"/>
            <w:tcBorders>
              <w:top w:val="nil"/>
              <w:left w:val="nil"/>
              <w:bottom w:val="single" w:color="auto" w:sz="4" w:space="0"/>
              <w:right w:val="single" w:color="auto" w:sz="4" w:space="0"/>
            </w:tcBorders>
            <w:shd w:val="clear" w:color="auto" w:fill="auto"/>
            <w:vAlign w:val="center"/>
          </w:tcPr>
          <w:p w14:paraId="5FEA7A2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乙方违反规程中有关电焊、气焊管理规定，气瓶储存、定置不附合规定，作业工具及施工工艺不附合要求。</w:t>
            </w:r>
          </w:p>
        </w:tc>
        <w:tc>
          <w:tcPr>
            <w:tcW w:w="3720" w:type="dxa"/>
            <w:tcBorders>
              <w:top w:val="nil"/>
              <w:left w:val="nil"/>
              <w:bottom w:val="single" w:color="auto" w:sz="4" w:space="0"/>
              <w:right w:val="single" w:color="auto" w:sz="4" w:space="0"/>
            </w:tcBorders>
            <w:shd w:val="clear" w:color="auto" w:fill="auto"/>
            <w:vAlign w:val="center"/>
          </w:tcPr>
          <w:p w14:paraId="19981860">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w:t>
            </w:r>
            <w:r>
              <w:rPr>
                <w:rFonts w:ascii="宋体" w:hAnsi="宋体" w:eastAsia="宋体" w:cs="宋体"/>
                <w:color w:val="000000"/>
                <w:kern w:val="0"/>
                <w:sz w:val="24"/>
                <w:szCs w:val="24"/>
              </w:rPr>
              <w:t>0.</w:t>
            </w:r>
            <w:r>
              <w:rPr>
                <w:rFonts w:hint="eastAsia" w:ascii="宋体" w:hAnsi="宋体" w:eastAsia="宋体" w:cs="宋体"/>
                <w:color w:val="000000"/>
                <w:kern w:val="0"/>
                <w:sz w:val="24"/>
                <w:szCs w:val="24"/>
              </w:rPr>
              <w:t>1万元/项</w:t>
            </w:r>
          </w:p>
        </w:tc>
      </w:tr>
      <w:tr w14:paraId="671F4EE2">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5EF1B2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44</w:t>
            </w:r>
          </w:p>
        </w:tc>
        <w:tc>
          <w:tcPr>
            <w:tcW w:w="5030" w:type="dxa"/>
            <w:tcBorders>
              <w:top w:val="nil"/>
              <w:left w:val="nil"/>
              <w:bottom w:val="single" w:color="auto" w:sz="4" w:space="0"/>
              <w:right w:val="single" w:color="auto" w:sz="4" w:space="0"/>
            </w:tcBorders>
            <w:shd w:val="clear" w:color="auto" w:fill="auto"/>
            <w:vAlign w:val="center"/>
          </w:tcPr>
          <w:p w14:paraId="78CF714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乙方车辆超速行驶或不按规定线路行驶、停放，违反甲方厂（场）区交通规定。</w:t>
            </w:r>
          </w:p>
        </w:tc>
        <w:tc>
          <w:tcPr>
            <w:tcW w:w="3720" w:type="dxa"/>
            <w:tcBorders>
              <w:top w:val="nil"/>
              <w:left w:val="nil"/>
              <w:bottom w:val="single" w:color="auto" w:sz="4" w:space="0"/>
              <w:right w:val="single" w:color="auto" w:sz="4" w:space="0"/>
            </w:tcBorders>
            <w:shd w:val="clear" w:color="auto" w:fill="auto"/>
            <w:vAlign w:val="center"/>
          </w:tcPr>
          <w:p w14:paraId="6E830B24">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考核200元－500万元/次，造成经济损失的照价赔偿。</w:t>
            </w:r>
          </w:p>
        </w:tc>
      </w:tr>
      <w:tr w14:paraId="1471675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37388971">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45</w:t>
            </w:r>
          </w:p>
        </w:tc>
        <w:tc>
          <w:tcPr>
            <w:tcW w:w="5030" w:type="dxa"/>
            <w:tcBorders>
              <w:top w:val="nil"/>
              <w:left w:val="nil"/>
              <w:bottom w:val="single" w:color="auto" w:sz="4" w:space="0"/>
              <w:right w:val="single" w:color="auto" w:sz="4" w:space="0"/>
            </w:tcBorders>
            <w:shd w:val="clear" w:color="auto" w:fill="auto"/>
            <w:vAlign w:val="center"/>
          </w:tcPr>
          <w:p w14:paraId="3EDD2E1D">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乙方在甲方范围违反规定使用叉车、推扒机、电瓶车等厂内专用车辆，或车辆维护、保养不到位，安全可靠性不达标。</w:t>
            </w:r>
          </w:p>
        </w:tc>
        <w:tc>
          <w:tcPr>
            <w:tcW w:w="3720" w:type="dxa"/>
            <w:tcBorders>
              <w:top w:val="nil"/>
              <w:left w:val="nil"/>
              <w:bottom w:val="single" w:color="auto" w:sz="4" w:space="0"/>
              <w:right w:val="single" w:color="auto" w:sz="4" w:space="0"/>
            </w:tcBorders>
            <w:shd w:val="clear" w:color="auto" w:fill="auto"/>
            <w:vAlign w:val="center"/>
          </w:tcPr>
          <w:p w14:paraId="5642F2B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w:t>
            </w:r>
          </w:p>
        </w:tc>
      </w:tr>
      <w:tr w14:paraId="7D55EB2B">
        <w:tblPrEx>
          <w:tblCellMar>
            <w:top w:w="0" w:type="dxa"/>
            <w:left w:w="108" w:type="dxa"/>
            <w:bottom w:w="0" w:type="dxa"/>
            <w:right w:w="108" w:type="dxa"/>
          </w:tblCellMar>
        </w:tblPrEx>
        <w:trPr>
          <w:trHeight w:val="415"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4701424">
            <w:pPr>
              <w:widowControl/>
              <w:spacing w:line="360" w:lineRule="exact"/>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四</w:t>
            </w:r>
          </w:p>
        </w:tc>
        <w:tc>
          <w:tcPr>
            <w:tcW w:w="5030" w:type="dxa"/>
            <w:tcBorders>
              <w:top w:val="nil"/>
              <w:left w:val="nil"/>
              <w:bottom w:val="single" w:color="auto" w:sz="4" w:space="0"/>
              <w:right w:val="single" w:color="auto" w:sz="4" w:space="0"/>
            </w:tcBorders>
            <w:shd w:val="clear" w:color="auto" w:fill="auto"/>
            <w:vAlign w:val="center"/>
          </w:tcPr>
          <w:p w14:paraId="635EDAA7">
            <w:pPr>
              <w:widowControl/>
              <w:spacing w:line="360" w:lineRule="exact"/>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其它类考核</w:t>
            </w:r>
          </w:p>
        </w:tc>
        <w:tc>
          <w:tcPr>
            <w:tcW w:w="3720" w:type="dxa"/>
            <w:tcBorders>
              <w:top w:val="nil"/>
              <w:left w:val="nil"/>
              <w:bottom w:val="single" w:color="auto" w:sz="4" w:space="0"/>
              <w:right w:val="single" w:color="auto" w:sz="4" w:space="0"/>
            </w:tcBorders>
            <w:shd w:val="clear" w:color="auto" w:fill="auto"/>
            <w:vAlign w:val="center"/>
          </w:tcPr>
          <w:p w14:paraId="2BD668D0">
            <w:pPr>
              <w:widowControl/>
              <w:spacing w:line="360" w:lineRule="exact"/>
              <w:jc w:val="left"/>
              <w:rPr>
                <w:rFonts w:ascii="宋体" w:hAnsi="宋体" w:eastAsia="宋体" w:cs="宋体"/>
                <w:color w:val="000000"/>
                <w:kern w:val="0"/>
                <w:sz w:val="24"/>
                <w:szCs w:val="24"/>
              </w:rPr>
            </w:pPr>
          </w:p>
        </w:tc>
      </w:tr>
      <w:tr w14:paraId="6329CFB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306080F">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46</w:t>
            </w:r>
          </w:p>
        </w:tc>
        <w:tc>
          <w:tcPr>
            <w:tcW w:w="5030" w:type="dxa"/>
            <w:tcBorders>
              <w:top w:val="nil"/>
              <w:left w:val="nil"/>
              <w:bottom w:val="single" w:color="auto" w:sz="4" w:space="0"/>
              <w:right w:val="single" w:color="auto" w:sz="4" w:space="0"/>
            </w:tcBorders>
            <w:shd w:val="clear" w:color="auto" w:fill="auto"/>
            <w:vAlign w:val="center"/>
          </w:tcPr>
          <w:p w14:paraId="1D45658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乙方无故缺席甲方项目安全会议，或未及时传达、下发甲方专项要求、事故通报等。</w:t>
            </w:r>
          </w:p>
        </w:tc>
        <w:tc>
          <w:tcPr>
            <w:tcW w:w="3720" w:type="dxa"/>
            <w:tcBorders>
              <w:top w:val="nil"/>
              <w:left w:val="nil"/>
              <w:bottom w:val="single" w:color="auto" w:sz="4" w:space="0"/>
              <w:right w:val="single" w:color="auto" w:sz="4" w:space="0"/>
            </w:tcBorders>
            <w:shd w:val="clear" w:color="auto" w:fill="auto"/>
            <w:vAlign w:val="center"/>
          </w:tcPr>
          <w:p w14:paraId="18179C7C">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考核200-500元/次</w:t>
            </w:r>
          </w:p>
        </w:tc>
      </w:tr>
      <w:tr w14:paraId="40F2A30C">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74F27E3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47</w:t>
            </w:r>
          </w:p>
        </w:tc>
        <w:tc>
          <w:tcPr>
            <w:tcW w:w="5030" w:type="dxa"/>
            <w:tcBorders>
              <w:top w:val="nil"/>
              <w:left w:val="nil"/>
              <w:bottom w:val="single" w:color="auto" w:sz="4" w:space="0"/>
              <w:right w:val="single" w:color="auto" w:sz="4" w:space="0"/>
            </w:tcBorders>
            <w:shd w:val="clear" w:color="auto" w:fill="auto"/>
            <w:vAlign w:val="center"/>
          </w:tcPr>
          <w:p w14:paraId="6F42FFC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乙方违反《电力安全工作规程》中搬运规定，造成厂区道路污染、草木或设备损坏等。</w:t>
            </w:r>
          </w:p>
        </w:tc>
        <w:tc>
          <w:tcPr>
            <w:tcW w:w="3720" w:type="dxa"/>
            <w:tcBorders>
              <w:top w:val="nil"/>
              <w:left w:val="nil"/>
              <w:bottom w:val="single" w:color="auto" w:sz="4" w:space="0"/>
              <w:right w:val="single" w:color="auto" w:sz="4" w:space="0"/>
            </w:tcBorders>
            <w:shd w:val="clear" w:color="auto" w:fill="auto"/>
            <w:vAlign w:val="center"/>
          </w:tcPr>
          <w:p w14:paraId="10CB7FC8">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2万元/次，并负责修复。</w:t>
            </w:r>
          </w:p>
        </w:tc>
      </w:tr>
      <w:tr w14:paraId="25C7E8C3">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2CB1428B">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48</w:t>
            </w:r>
          </w:p>
        </w:tc>
        <w:tc>
          <w:tcPr>
            <w:tcW w:w="5030" w:type="dxa"/>
            <w:tcBorders>
              <w:top w:val="nil"/>
              <w:left w:val="nil"/>
              <w:bottom w:val="single" w:color="auto" w:sz="4" w:space="0"/>
              <w:right w:val="single" w:color="auto" w:sz="4" w:space="0"/>
            </w:tcBorders>
            <w:shd w:val="clear" w:color="auto" w:fill="auto"/>
            <w:vAlign w:val="center"/>
          </w:tcPr>
          <w:p w14:paraId="56527212">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乙方作业区域脏、乱、差现象严重，工作结束未做到“工完、料尽、场地清”。</w:t>
            </w:r>
          </w:p>
        </w:tc>
        <w:tc>
          <w:tcPr>
            <w:tcW w:w="3720" w:type="dxa"/>
            <w:tcBorders>
              <w:top w:val="nil"/>
              <w:left w:val="nil"/>
              <w:bottom w:val="single" w:color="auto" w:sz="4" w:space="0"/>
              <w:right w:val="single" w:color="auto" w:sz="4" w:space="0"/>
            </w:tcBorders>
            <w:shd w:val="clear" w:color="auto" w:fill="auto"/>
            <w:vAlign w:val="center"/>
          </w:tcPr>
          <w:p w14:paraId="6BEE2E8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2万元/次</w:t>
            </w:r>
          </w:p>
        </w:tc>
      </w:tr>
      <w:tr w14:paraId="08FEACA9">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16656615">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49</w:t>
            </w:r>
          </w:p>
        </w:tc>
        <w:tc>
          <w:tcPr>
            <w:tcW w:w="5030" w:type="dxa"/>
            <w:tcBorders>
              <w:top w:val="nil"/>
              <w:left w:val="nil"/>
              <w:bottom w:val="single" w:color="auto" w:sz="4" w:space="0"/>
              <w:right w:val="single" w:color="auto" w:sz="4" w:space="0"/>
            </w:tcBorders>
            <w:shd w:val="clear" w:color="auto" w:fill="auto"/>
            <w:vAlign w:val="center"/>
          </w:tcPr>
          <w:p w14:paraId="19C030E1">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乙方现场材料、工具、部件、棚架、油漆、废料等不符合定置管理要求，经提出后仍不整改</w:t>
            </w:r>
          </w:p>
        </w:tc>
        <w:tc>
          <w:tcPr>
            <w:tcW w:w="3720" w:type="dxa"/>
            <w:tcBorders>
              <w:top w:val="nil"/>
              <w:left w:val="nil"/>
              <w:bottom w:val="single" w:color="auto" w:sz="4" w:space="0"/>
              <w:right w:val="single" w:color="auto" w:sz="4" w:space="0"/>
            </w:tcBorders>
            <w:shd w:val="clear" w:color="auto" w:fill="auto"/>
            <w:vAlign w:val="center"/>
          </w:tcPr>
          <w:p w14:paraId="253FC2D9">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2万元/项</w:t>
            </w:r>
          </w:p>
        </w:tc>
      </w:tr>
      <w:tr w14:paraId="1271A2FF">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0086D124">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w:t>
            </w:r>
          </w:p>
        </w:tc>
        <w:tc>
          <w:tcPr>
            <w:tcW w:w="5030" w:type="dxa"/>
            <w:tcBorders>
              <w:top w:val="nil"/>
              <w:left w:val="nil"/>
              <w:bottom w:val="single" w:color="auto" w:sz="4" w:space="0"/>
              <w:right w:val="single" w:color="auto" w:sz="4" w:space="0"/>
            </w:tcBorders>
            <w:shd w:val="clear" w:color="auto" w:fill="auto"/>
            <w:vAlign w:val="center"/>
          </w:tcPr>
          <w:p w14:paraId="52EAE5C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乙方设备作业区域不采取完善的隔离保护措施，或由此造成设备、备品备件、零配件丢失或损坏，杂物掉入、设施损坏、环境污染等。</w:t>
            </w:r>
          </w:p>
        </w:tc>
        <w:tc>
          <w:tcPr>
            <w:tcW w:w="3720" w:type="dxa"/>
            <w:tcBorders>
              <w:top w:val="nil"/>
              <w:left w:val="nil"/>
              <w:bottom w:val="single" w:color="auto" w:sz="4" w:space="0"/>
              <w:right w:val="single" w:color="auto" w:sz="4" w:space="0"/>
            </w:tcBorders>
            <w:shd w:val="clear" w:color="auto" w:fill="auto"/>
            <w:vAlign w:val="center"/>
          </w:tcPr>
          <w:p w14:paraId="58827887">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考核500元－0</w:t>
            </w:r>
            <w:r>
              <w:rPr>
                <w:rFonts w:ascii="宋体" w:hAnsi="宋体" w:eastAsia="宋体" w:cs="宋体"/>
                <w:color w:val="000000"/>
                <w:kern w:val="0"/>
                <w:sz w:val="24"/>
                <w:szCs w:val="24"/>
              </w:rPr>
              <w:t>.1</w:t>
            </w:r>
            <w:r>
              <w:rPr>
                <w:rFonts w:hint="eastAsia" w:ascii="宋体" w:hAnsi="宋体" w:eastAsia="宋体" w:cs="宋体"/>
                <w:color w:val="000000"/>
                <w:kern w:val="0"/>
                <w:sz w:val="24"/>
                <w:szCs w:val="24"/>
              </w:rPr>
              <w:t>万元/次，设备和备件丢失、损坏按原价赔偿。</w:t>
            </w:r>
          </w:p>
        </w:tc>
      </w:tr>
      <w:tr w14:paraId="41D52DAA">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46C50A90">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51</w:t>
            </w:r>
          </w:p>
        </w:tc>
        <w:tc>
          <w:tcPr>
            <w:tcW w:w="5030" w:type="dxa"/>
            <w:tcBorders>
              <w:top w:val="nil"/>
              <w:left w:val="nil"/>
              <w:bottom w:val="single" w:color="auto" w:sz="4" w:space="0"/>
              <w:right w:val="single" w:color="auto" w:sz="4" w:space="0"/>
            </w:tcBorders>
            <w:shd w:val="clear" w:color="auto" w:fill="auto"/>
            <w:vAlign w:val="center"/>
          </w:tcPr>
          <w:p w14:paraId="64D12C43">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乙方损坏或丢弃甲方设备标示牌及安措警示牌，未及时恢复。</w:t>
            </w:r>
          </w:p>
        </w:tc>
        <w:tc>
          <w:tcPr>
            <w:tcW w:w="3720" w:type="dxa"/>
            <w:tcBorders>
              <w:top w:val="nil"/>
              <w:left w:val="nil"/>
              <w:bottom w:val="single" w:color="auto" w:sz="4" w:space="0"/>
              <w:right w:val="single" w:color="auto" w:sz="4" w:space="0"/>
            </w:tcBorders>
            <w:shd w:val="clear" w:color="auto" w:fill="auto"/>
            <w:vAlign w:val="center"/>
          </w:tcPr>
          <w:p w14:paraId="7C77C07E">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考核100元－200元/个，并负责恢复。</w:t>
            </w:r>
          </w:p>
        </w:tc>
      </w:tr>
      <w:tr w14:paraId="798DF0B4">
        <w:tblPrEx>
          <w:tblCellMar>
            <w:top w:w="0" w:type="dxa"/>
            <w:left w:w="108" w:type="dxa"/>
            <w:bottom w:w="0" w:type="dxa"/>
            <w:right w:w="108" w:type="dxa"/>
          </w:tblCellMar>
        </w:tblPrEx>
        <w:trPr>
          <w:trHeight w:val="510"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14:paraId="6DF116A8">
            <w:pPr>
              <w:widowControl/>
              <w:spacing w:line="36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52</w:t>
            </w:r>
          </w:p>
        </w:tc>
        <w:tc>
          <w:tcPr>
            <w:tcW w:w="5030" w:type="dxa"/>
            <w:tcBorders>
              <w:top w:val="nil"/>
              <w:left w:val="nil"/>
              <w:bottom w:val="single" w:color="auto" w:sz="4" w:space="0"/>
              <w:right w:val="single" w:color="auto" w:sz="4" w:space="0"/>
            </w:tcBorders>
            <w:shd w:val="clear" w:color="auto" w:fill="auto"/>
            <w:vAlign w:val="center"/>
          </w:tcPr>
          <w:p w14:paraId="1B59B645">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乙方违反甲方安全管理制度等的其它未列事项。</w:t>
            </w:r>
          </w:p>
        </w:tc>
        <w:tc>
          <w:tcPr>
            <w:tcW w:w="3720" w:type="dxa"/>
            <w:tcBorders>
              <w:top w:val="nil"/>
              <w:left w:val="nil"/>
              <w:bottom w:val="single" w:color="auto" w:sz="4" w:space="0"/>
              <w:right w:val="single" w:color="auto" w:sz="4" w:space="0"/>
            </w:tcBorders>
            <w:shd w:val="clear" w:color="auto" w:fill="auto"/>
            <w:vAlign w:val="center"/>
          </w:tcPr>
          <w:p w14:paraId="1DCC40DF">
            <w:pPr>
              <w:widowControl/>
              <w:spacing w:line="360" w:lineRule="exact"/>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考核200元－0</w:t>
            </w:r>
            <w:r>
              <w:rPr>
                <w:rFonts w:ascii="宋体" w:hAnsi="宋体" w:eastAsia="宋体" w:cs="宋体"/>
                <w:color w:val="000000"/>
                <w:kern w:val="0"/>
                <w:sz w:val="24"/>
                <w:szCs w:val="24"/>
              </w:rPr>
              <w:t>.</w:t>
            </w:r>
            <w:r>
              <w:rPr>
                <w:rFonts w:hint="eastAsia" w:ascii="宋体" w:hAnsi="宋体" w:eastAsia="宋体" w:cs="宋体"/>
                <w:color w:val="000000"/>
                <w:kern w:val="0"/>
                <w:sz w:val="24"/>
                <w:szCs w:val="24"/>
              </w:rPr>
              <w:t>1万元/次，或按甲方相关管理制度执行。</w:t>
            </w:r>
          </w:p>
        </w:tc>
      </w:tr>
    </w:tbl>
    <w:p w14:paraId="396BB993">
      <w:pPr>
        <w:rPr>
          <w:rFonts w:hint="eastAsia"/>
          <w:snapToGrid w:val="0"/>
          <w:sz w:val="10"/>
          <w:szCs w:val="10"/>
        </w:rPr>
      </w:pPr>
    </w:p>
    <w:p w14:paraId="63CF6885">
      <w:pPr>
        <w:spacing w:line="480" w:lineRule="exact"/>
        <w:jc w:val="center"/>
        <w:rPr>
          <w:rFonts w:ascii="宋体" w:hAnsi="宋体"/>
        </w:rPr>
      </w:pPr>
    </w:p>
    <w:p w14:paraId="5A8DA1F5">
      <w:pPr>
        <w:spacing w:before="120"/>
      </w:pPr>
    </w:p>
    <w:sectPr>
      <w:headerReference r:id="rId14" w:type="first"/>
      <w:footerReference r:id="rId17" w:type="first"/>
      <w:headerReference r:id="rId12" w:type="default"/>
      <w:footerReference r:id="rId15" w:type="default"/>
      <w:headerReference r:id="rId13" w:type="even"/>
      <w:footerReference r:id="rId16" w:type="even"/>
      <w:pgSz w:w="11906" w:h="16838"/>
      <w:pgMar w:top="1247" w:right="1361" w:bottom="935" w:left="1474" w:header="680" w:footer="316" w:gutter="0"/>
      <w:pgNumType w:start="1"/>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MS Gothic">
    <w:panose1 w:val="020B0609070205080204"/>
    <w:charset w:val="80"/>
    <w:family w:val="modern"/>
    <w:pitch w:val="default"/>
    <w:sig w:usb0="E00002FF" w:usb1="6AC7FDFB" w:usb2="08000012" w:usb3="00000000" w:csb0="4002009F" w:csb1="DFD70000"/>
  </w:font>
  <w:font w:name="Century">
    <w:panose1 w:val="02040604050505020304"/>
    <w:charset w:val="00"/>
    <w:family w:val="roman"/>
    <w:pitch w:val="default"/>
    <w:sig w:usb0="00000287" w:usb1="00000000" w:usb2="00000000" w:usb3="00000000" w:csb0="2000009F" w:csb1="DFD70000"/>
  </w:font>
  <w:font w:name="MS Mincho">
    <w:panose1 w:val="02020609040205080304"/>
    <w:charset w:val="80"/>
    <w:family w:val="modern"/>
    <w:pitch w:val="default"/>
    <w:sig w:usb0="A00002BF" w:usb1="68C7FCFB" w:usb2="00000010" w:usb3="00000000" w:csb0="4002009F" w:csb1="DFD7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Vivaldi">
    <w:panose1 w:val="03020602050506090804"/>
    <w:charset w:val="00"/>
    <w:family w:val="script"/>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E55A5">
    <w:pPr>
      <w:pStyle w:val="32"/>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AB388">
    <w:pPr>
      <w:pStyle w:val="32"/>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DC625">
    <w:pPr>
      <w:pStyle w:val="32"/>
      <w:spacing w:before="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78559">
    <w:pPr>
      <w:pStyle w:val="32"/>
      <w:spacing w:before="1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730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273050"/>
                      </a:xfrm>
                      <a:prstGeom prst="rect">
                        <a:avLst/>
                      </a:prstGeom>
                      <a:noFill/>
                      <a:ln w="6350">
                        <a:noFill/>
                      </a:ln>
                      <a:effectLst/>
                    </wps:spPr>
                    <wps:txbx>
                      <w:txbxContent>
                        <w:p w14:paraId="07C832F8">
                          <w:pPr>
                            <w:pStyle w:val="32"/>
                            <w:spacing w:before="12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1.5pt;width:9.05pt;mso-position-horizontal:center;mso-position-horizontal-relative:margin;mso-wrap-style:none;z-index:251659264;mso-width-relative:page;mso-height-relative:page;" filled="f" stroked="f" coordsize="21600,21600" o:gfxdata="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Ify2bSAAAAAwEAAA8AAAAAAAAAAQAgAAAAIgAAAGRycy9kb3ducmV2LnhtbFBL&#10;AQIUABQAAAAIAIdO4kDRtPfpNQIAAGEEAAAOAAAAAAAAAAEAIAAAACEBAABkcnMvZTJvRG9jLnht&#10;bFBLBQYAAAAABgAGAFkBAADIBQAAAAA=&#10;">
              <v:fill on="f" focussize="0,0"/>
              <v:stroke on="f" weight="0.5pt"/>
              <v:imagedata o:title=""/>
              <o:lock v:ext="edit" aspectratio="f"/>
              <v:textbox inset="0mm,0mm,0mm,0mm" style="mso-fit-shape-to-text:t;">
                <w:txbxContent>
                  <w:p w14:paraId="07C832F8">
                    <w:pPr>
                      <w:pStyle w:val="32"/>
                      <w:spacing w:before="12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62412">
    <w:pPr>
      <w:pStyle w:val="32"/>
      <w:spacing w:beforeLines="0"/>
      <w:jc w:val="center"/>
      <w:rPr>
        <w:sz w:val="21"/>
        <w:szCs w:val="21"/>
      </w:rPr>
    </w:pPr>
    <w:r>
      <w:rPr>
        <w:sz w:val="21"/>
        <w:szCs w:val="21"/>
      </w:rPr>
      <w:fldChar w:fldCharType="begin"/>
    </w:r>
    <w:r>
      <w:rPr>
        <w:rStyle w:val="56"/>
        <w:sz w:val="21"/>
        <w:szCs w:val="21"/>
      </w:rPr>
      <w:instrText xml:space="preserve"> PAGE </w:instrText>
    </w:r>
    <w:r>
      <w:rPr>
        <w:sz w:val="21"/>
        <w:szCs w:val="21"/>
      </w:rPr>
      <w:fldChar w:fldCharType="separate"/>
    </w:r>
    <w:r>
      <w:rPr>
        <w:rStyle w:val="56"/>
        <w:sz w:val="21"/>
        <w:szCs w:val="21"/>
      </w:rPr>
      <w:t>34</w:t>
    </w:r>
    <w:r>
      <w:rPr>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8521F">
    <w:pPr>
      <w:pStyle w:val="32"/>
      <w:spacing w:before="12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478D5">
    <w:pPr>
      <w:pStyle w:val="32"/>
      <w:spacing w:before="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3D5E0">
    <w:pPr>
      <w:pStyle w:val="33"/>
      <w:pBdr>
        <w:bottom w:val="none" w:color="auto" w:sz="0" w:space="0"/>
      </w:pBd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D89CA">
    <w:pPr>
      <w:pStyle w:val="33"/>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E31978">
    <w:pPr>
      <w:pStyle w:val="33"/>
      <w:spacing w:before="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F6F69">
    <w:pPr>
      <w:pStyle w:val="33"/>
      <w:spacing w:before="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C32C">
    <w:pPr>
      <w:pStyle w:val="33"/>
      <w:spacing w:before="1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69953">
    <w:pPr>
      <w:pStyle w:val="33"/>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AE7680"/>
    <w:multiLevelType w:val="singleLevel"/>
    <w:tmpl w:val="8AAE7680"/>
    <w:lvl w:ilvl="0" w:tentative="0">
      <w:start w:val="1"/>
      <w:numFmt w:val="decimal"/>
      <w:lvlText w:val="%1)"/>
      <w:lvlJc w:val="left"/>
      <w:pPr>
        <w:ind w:left="425" w:hanging="425"/>
      </w:pPr>
      <w:rPr>
        <w:rFonts w:hint="default"/>
      </w:rPr>
    </w:lvl>
  </w:abstractNum>
  <w:abstractNum w:abstractNumId="1">
    <w:nsid w:val="AD2819AC"/>
    <w:multiLevelType w:val="singleLevel"/>
    <w:tmpl w:val="AD2819AC"/>
    <w:lvl w:ilvl="0" w:tentative="0">
      <w:start w:val="1"/>
      <w:numFmt w:val="decimal"/>
      <w:lvlText w:val="%1."/>
      <w:lvlJc w:val="left"/>
      <w:pPr>
        <w:ind w:left="425" w:hanging="425"/>
      </w:pPr>
      <w:rPr>
        <w:rFonts w:hint="default"/>
      </w:rPr>
    </w:lvl>
  </w:abstractNum>
  <w:abstractNum w:abstractNumId="2">
    <w:nsid w:val="C27DD8A2"/>
    <w:multiLevelType w:val="singleLevel"/>
    <w:tmpl w:val="C27DD8A2"/>
    <w:lvl w:ilvl="0" w:tentative="0">
      <w:start w:val="1"/>
      <w:numFmt w:val="none"/>
      <w:lvlText w:val="9."/>
      <w:lvlJc w:val="left"/>
      <w:pPr>
        <w:tabs>
          <w:tab w:val="left" w:pos="420"/>
        </w:tabs>
        <w:ind w:left="425" w:hanging="425"/>
      </w:pPr>
      <w:rPr>
        <w:rFonts w:hint="default"/>
      </w:rPr>
    </w:lvl>
  </w:abstractNum>
  <w:abstractNum w:abstractNumId="3">
    <w:nsid w:val="D2923793"/>
    <w:multiLevelType w:val="singleLevel"/>
    <w:tmpl w:val="D2923793"/>
    <w:lvl w:ilvl="0" w:tentative="0">
      <w:start w:val="1"/>
      <w:numFmt w:val="none"/>
      <w:lvlText w:val="11."/>
      <w:lvlJc w:val="left"/>
      <w:pPr>
        <w:tabs>
          <w:tab w:val="left" w:pos="420"/>
        </w:tabs>
        <w:ind w:left="425" w:hanging="425"/>
      </w:pPr>
      <w:rPr>
        <w:rFonts w:hint="default"/>
      </w:rPr>
    </w:lvl>
  </w:abstractNum>
  <w:abstractNum w:abstractNumId="4">
    <w:nsid w:val="00000001"/>
    <w:multiLevelType w:val="multilevel"/>
    <w:tmpl w:val="00000001"/>
    <w:lvl w:ilvl="0" w:tentative="0">
      <w:start w:val="1"/>
      <w:numFmt w:val="chineseCountingThousand"/>
      <w:lvlText w:val="附件%1"/>
      <w:lvlJc w:val="left"/>
      <w:pPr>
        <w:ind w:left="1272" w:hanging="420"/>
      </w:pPr>
      <w:rPr>
        <w:rFonts w:hint="eastAsia"/>
      </w:rPr>
    </w:lvl>
    <w:lvl w:ilvl="1" w:tentative="0">
      <w:start w:val="1"/>
      <w:numFmt w:val="lowerLetter"/>
      <w:lvlText w:val="%2)"/>
      <w:lvlJc w:val="left"/>
      <w:pPr>
        <w:ind w:left="1692" w:hanging="420"/>
      </w:pPr>
    </w:lvl>
    <w:lvl w:ilvl="2" w:tentative="0">
      <w:start w:val="1"/>
      <w:numFmt w:val="lowerRoman"/>
      <w:lvlText w:val="%3."/>
      <w:lvlJc w:val="right"/>
      <w:pPr>
        <w:ind w:left="2112" w:hanging="420"/>
      </w:pPr>
    </w:lvl>
    <w:lvl w:ilvl="3" w:tentative="0">
      <w:start w:val="1"/>
      <w:numFmt w:val="decimal"/>
      <w:lvlText w:val="%4."/>
      <w:lvlJc w:val="left"/>
      <w:pPr>
        <w:ind w:left="2532" w:hanging="420"/>
      </w:pPr>
    </w:lvl>
    <w:lvl w:ilvl="4" w:tentative="0">
      <w:start w:val="1"/>
      <w:numFmt w:val="lowerLetter"/>
      <w:lvlText w:val="%5)"/>
      <w:lvlJc w:val="left"/>
      <w:pPr>
        <w:ind w:left="2952" w:hanging="420"/>
      </w:pPr>
    </w:lvl>
    <w:lvl w:ilvl="5" w:tentative="0">
      <w:start w:val="1"/>
      <w:numFmt w:val="lowerRoman"/>
      <w:lvlText w:val="%6."/>
      <w:lvlJc w:val="right"/>
      <w:pPr>
        <w:ind w:left="3372" w:hanging="420"/>
      </w:pPr>
    </w:lvl>
    <w:lvl w:ilvl="6" w:tentative="0">
      <w:start w:val="1"/>
      <w:numFmt w:val="decimal"/>
      <w:lvlText w:val="%7."/>
      <w:lvlJc w:val="left"/>
      <w:pPr>
        <w:ind w:left="3792" w:hanging="420"/>
      </w:pPr>
    </w:lvl>
    <w:lvl w:ilvl="7" w:tentative="0">
      <w:start w:val="1"/>
      <w:numFmt w:val="lowerLetter"/>
      <w:lvlText w:val="%8)"/>
      <w:lvlJc w:val="left"/>
      <w:pPr>
        <w:ind w:left="4212" w:hanging="420"/>
      </w:pPr>
    </w:lvl>
    <w:lvl w:ilvl="8" w:tentative="0">
      <w:start w:val="1"/>
      <w:numFmt w:val="lowerRoman"/>
      <w:lvlText w:val="%9."/>
      <w:lvlJc w:val="right"/>
      <w:pPr>
        <w:ind w:left="4632" w:hanging="420"/>
      </w:pPr>
    </w:lvl>
  </w:abstractNum>
  <w:abstractNum w:abstractNumId="5">
    <w:nsid w:val="063373CA"/>
    <w:multiLevelType w:val="multilevel"/>
    <w:tmpl w:val="063373CA"/>
    <w:lvl w:ilvl="0" w:tentative="0">
      <w:start w:val="1"/>
      <w:numFmt w:val="decimal"/>
      <w:lvlText w:val="%1)"/>
      <w:lvlJc w:val="left"/>
      <w:pPr>
        <w:tabs>
          <w:tab w:val="left" w:pos="1848"/>
        </w:tabs>
        <w:ind w:left="1848"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8B957E8"/>
    <w:multiLevelType w:val="multilevel"/>
    <w:tmpl w:val="08B957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45249B9"/>
    <w:multiLevelType w:val="multilevel"/>
    <w:tmpl w:val="145249B9"/>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5966065"/>
    <w:multiLevelType w:val="multilevel"/>
    <w:tmpl w:val="15966065"/>
    <w:lvl w:ilvl="0" w:tentative="0">
      <w:start w:val="1"/>
      <w:numFmt w:val="bullet"/>
      <w:pStyle w:val="231"/>
      <w:lvlText w:val=""/>
      <w:lvlJc w:val="left"/>
      <w:pPr>
        <w:tabs>
          <w:tab w:val="left" w:pos="420"/>
        </w:tabs>
        <w:ind w:left="420" w:hanging="136"/>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27AA7115"/>
    <w:multiLevelType w:val="multilevel"/>
    <w:tmpl w:val="27AA711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84A5AE6"/>
    <w:multiLevelType w:val="multilevel"/>
    <w:tmpl w:val="284A5AE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E2F0E49"/>
    <w:multiLevelType w:val="multilevel"/>
    <w:tmpl w:val="2E2F0E4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048E292"/>
    <w:multiLevelType w:val="singleLevel"/>
    <w:tmpl w:val="3048E292"/>
    <w:lvl w:ilvl="0" w:tentative="0">
      <w:start w:val="1"/>
      <w:numFmt w:val="none"/>
      <w:lvlText w:val="10."/>
      <w:lvlJc w:val="left"/>
      <w:pPr>
        <w:tabs>
          <w:tab w:val="left" w:pos="420"/>
        </w:tabs>
        <w:ind w:left="425" w:hanging="425"/>
      </w:pPr>
      <w:rPr>
        <w:rFonts w:hint="default"/>
      </w:rPr>
    </w:lvl>
  </w:abstractNum>
  <w:abstractNum w:abstractNumId="13">
    <w:nsid w:val="3E9C347D"/>
    <w:multiLevelType w:val="multilevel"/>
    <w:tmpl w:val="3E9C347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0F54389"/>
    <w:multiLevelType w:val="multilevel"/>
    <w:tmpl w:val="40F5438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AE62E51"/>
    <w:multiLevelType w:val="multilevel"/>
    <w:tmpl w:val="4AE62E51"/>
    <w:lvl w:ilvl="0" w:tentative="0">
      <w:start w:val="1"/>
      <w:numFmt w:val="decimal"/>
      <w:lvlText w:val="%1."/>
      <w:lvlJc w:val="left"/>
      <w:pPr>
        <w:ind w:left="1129" w:hanging="420"/>
      </w:pPr>
    </w:lvl>
    <w:lvl w:ilvl="1" w:tentative="0">
      <w:start w:val="1"/>
      <w:numFmt w:val="decimal"/>
      <w:lvlText w:val="%2."/>
      <w:lvlJc w:val="left"/>
      <w:pPr>
        <w:tabs>
          <w:tab w:val="left" w:pos="1368"/>
        </w:tabs>
        <w:ind w:left="1368" w:hanging="360"/>
      </w:pPr>
      <w:rPr>
        <w:rFonts w:hint="default"/>
      </w:rPr>
    </w:lvl>
    <w:lvl w:ilvl="2" w:tentative="0">
      <w:start w:val="1"/>
      <w:numFmt w:val="bullet"/>
      <w:lvlText w:val=""/>
      <w:lvlJc w:val="left"/>
      <w:pPr>
        <w:tabs>
          <w:tab w:val="left" w:pos="1848"/>
        </w:tabs>
        <w:ind w:left="1848" w:hanging="420"/>
      </w:pPr>
      <w:rPr>
        <w:rFonts w:hint="default" w:ascii="Wingdings" w:hAnsi="Wingdings"/>
      </w:rPr>
    </w:lvl>
    <w:lvl w:ilvl="3" w:tentative="0">
      <w:start w:val="1"/>
      <w:numFmt w:val="bullet"/>
      <w:lvlText w:val="—"/>
      <w:lvlJc w:val="left"/>
      <w:pPr>
        <w:tabs>
          <w:tab w:val="left" w:pos="2268"/>
        </w:tabs>
        <w:ind w:left="2268" w:hanging="420"/>
      </w:pPr>
      <w:rPr>
        <w:rFonts w:hint="default" w:ascii="Vivaldi" w:hAnsi="Vivaldi"/>
      </w:rPr>
    </w:lvl>
    <w:lvl w:ilvl="4" w:tentative="0">
      <w:start w:val="6"/>
      <w:numFmt w:val="decimal"/>
      <w:lvlText w:val="%5)"/>
      <w:lvlJc w:val="left"/>
      <w:pPr>
        <w:tabs>
          <w:tab w:val="left" w:pos="2688"/>
        </w:tabs>
        <w:ind w:left="2688" w:hanging="420"/>
      </w:pPr>
      <w:rPr>
        <w:rFonts w:hint="eastAsia"/>
      </w:rPr>
    </w:lvl>
    <w:lvl w:ilvl="5" w:tentative="0">
      <w:start w:val="1"/>
      <w:numFmt w:val="lowerRoman"/>
      <w:lvlText w:val="%6."/>
      <w:lvlJc w:val="right"/>
      <w:pPr>
        <w:ind w:left="3108" w:hanging="420"/>
      </w:pPr>
    </w:lvl>
    <w:lvl w:ilvl="6" w:tentative="0">
      <w:start w:val="1"/>
      <w:numFmt w:val="decimal"/>
      <w:lvlText w:val="%7."/>
      <w:lvlJc w:val="left"/>
      <w:pPr>
        <w:ind w:left="3528" w:hanging="420"/>
      </w:pPr>
    </w:lvl>
    <w:lvl w:ilvl="7" w:tentative="0">
      <w:start w:val="1"/>
      <w:numFmt w:val="lowerLetter"/>
      <w:lvlText w:val="%8)"/>
      <w:lvlJc w:val="left"/>
      <w:pPr>
        <w:ind w:left="3948" w:hanging="420"/>
      </w:pPr>
    </w:lvl>
    <w:lvl w:ilvl="8" w:tentative="0">
      <w:start w:val="1"/>
      <w:numFmt w:val="lowerRoman"/>
      <w:lvlText w:val="%9."/>
      <w:lvlJc w:val="right"/>
      <w:pPr>
        <w:ind w:left="4368" w:hanging="420"/>
      </w:pPr>
    </w:lvl>
  </w:abstractNum>
  <w:abstractNum w:abstractNumId="16">
    <w:nsid w:val="50A51977"/>
    <w:multiLevelType w:val="singleLevel"/>
    <w:tmpl w:val="50A51977"/>
    <w:lvl w:ilvl="0" w:tentative="0">
      <w:start w:val="1"/>
      <w:numFmt w:val="bullet"/>
      <w:pStyle w:val="254"/>
      <w:lvlText w:val=""/>
      <w:lvlJc w:val="left"/>
      <w:pPr>
        <w:tabs>
          <w:tab w:val="left" w:pos="425"/>
        </w:tabs>
        <w:ind w:left="425" w:hanging="425"/>
      </w:pPr>
      <w:rPr>
        <w:rFonts w:hint="default" w:ascii="Wingdings" w:hAnsi="Wingdings"/>
      </w:rPr>
    </w:lvl>
  </w:abstractNum>
  <w:abstractNum w:abstractNumId="17">
    <w:nsid w:val="5142289F"/>
    <w:multiLevelType w:val="multilevel"/>
    <w:tmpl w:val="5142289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55932DD5"/>
    <w:multiLevelType w:val="multilevel"/>
    <w:tmpl w:val="55932D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5A72853"/>
    <w:multiLevelType w:val="multilevel"/>
    <w:tmpl w:val="55A7285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567E6C43"/>
    <w:multiLevelType w:val="multilevel"/>
    <w:tmpl w:val="567E6C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7133F65"/>
    <w:multiLevelType w:val="multilevel"/>
    <w:tmpl w:val="57133F65"/>
    <w:lvl w:ilvl="0" w:tentative="0">
      <w:start w:val="1"/>
      <w:numFmt w:val="decimal"/>
      <w:pStyle w:val="74"/>
      <w:lvlText w:val="第%1章 "/>
      <w:lvlJc w:val="left"/>
      <w:pPr>
        <w:tabs>
          <w:tab w:val="left" w:pos="5671"/>
        </w:tabs>
        <w:ind w:left="5671" w:hanging="425"/>
      </w:pPr>
      <w:rPr>
        <w:rFonts w:hint="eastAsia"/>
      </w:rPr>
    </w:lvl>
    <w:lvl w:ilvl="1" w:tentative="0">
      <w:start w:val="1"/>
      <w:numFmt w:val="decimal"/>
      <w:pStyle w:val="75"/>
      <w:lvlText w:val="%2 "/>
      <w:lvlJc w:val="left"/>
      <w:pPr>
        <w:tabs>
          <w:tab w:val="left" w:pos="284"/>
        </w:tabs>
        <w:ind w:left="747" w:hanging="567"/>
      </w:pPr>
      <w:rPr>
        <w:rFonts w:hint="eastAsia"/>
        <w:b/>
      </w:rPr>
    </w:lvl>
    <w:lvl w:ilvl="2" w:tentative="0">
      <w:start w:val="1"/>
      <w:numFmt w:val="decimal"/>
      <w:pStyle w:val="76"/>
      <w:lvlText w:val="%2.%3 "/>
      <w:lvlJc w:val="left"/>
      <w:pPr>
        <w:tabs>
          <w:tab w:val="left" w:pos="927"/>
        </w:tabs>
        <w:ind w:left="76" w:firstLine="284"/>
      </w:pPr>
      <w:rPr>
        <w:rFonts w:hint="default" w:ascii="Times New Roman" w:hAnsi="Times New Roman" w:eastAsia="宋体"/>
        <w:b w:val="0"/>
        <w:i w:val="0"/>
        <w:sz w:val="24"/>
      </w:rPr>
    </w:lvl>
    <w:lvl w:ilvl="3" w:tentative="0">
      <w:start w:val="1"/>
      <w:numFmt w:val="decimal"/>
      <w:pStyle w:val="77"/>
      <w:lvlText w:val="%2.%3.%4 "/>
      <w:lvlJc w:val="left"/>
      <w:pPr>
        <w:tabs>
          <w:tab w:val="left" w:pos="1524"/>
        </w:tabs>
        <w:ind w:left="390" w:firstLine="510"/>
      </w:pPr>
      <w:rPr>
        <w:rFonts w:hint="default" w:ascii="Times New Roman" w:hAnsi="Times New Roman" w:eastAsia="华文中宋" w:cs="Times New Roman"/>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2">
    <w:nsid w:val="5FB902D1"/>
    <w:multiLevelType w:val="multilevel"/>
    <w:tmpl w:val="5FB902D1"/>
    <w:lvl w:ilvl="0" w:tentative="0">
      <w:start w:val="1"/>
      <w:numFmt w:val="decimal"/>
      <w:lvlText w:val="%1."/>
      <w:lvlJc w:val="left"/>
      <w:pPr>
        <w:ind w:left="420" w:hanging="420"/>
      </w:pPr>
      <w:rPr>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82E7D62"/>
    <w:multiLevelType w:val="multilevel"/>
    <w:tmpl w:val="682E7D6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C816579"/>
    <w:multiLevelType w:val="multilevel"/>
    <w:tmpl w:val="6C81657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6FDE7289"/>
    <w:multiLevelType w:val="singleLevel"/>
    <w:tmpl w:val="6FDE7289"/>
    <w:lvl w:ilvl="0" w:tentative="0">
      <w:start w:val="1"/>
      <w:numFmt w:val="decimal"/>
      <w:pStyle w:val="114"/>
      <w:lvlText w:val="%1."/>
      <w:lvlJc w:val="left"/>
      <w:pPr>
        <w:tabs>
          <w:tab w:val="left" w:pos="360"/>
        </w:tabs>
        <w:ind w:left="0" w:firstLine="0"/>
      </w:pPr>
      <w:rPr>
        <w:rFonts w:hint="eastAsia"/>
      </w:rPr>
    </w:lvl>
  </w:abstractNum>
  <w:abstractNum w:abstractNumId="26">
    <w:nsid w:val="71940EDB"/>
    <w:multiLevelType w:val="multilevel"/>
    <w:tmpl w:val="71940ED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39315A4"/>
    <w:multiLevelType w:val="multilevel"/>
    <w:tmpl w:val="739315A4"/>
    <w:lvl w:ilvl="0" w:tentative="0">
      <w:start w:val="1"/>
      <w:numFmt w:val="decimal"/>
      <w:lvlText w:val="%1."/>
      <w:lvlJc w:val="left"/>
      <w:pPr>
        <w:ind w:left="420" w:hanging="420"/>
      </w:pPr>
      <w:rPr>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4EC6053"/>
    <w:multiLevelType w:val="multilevel"/>
    <w:tmpl w:val="74EC6053"/>
    <w:lvl w:ilvl="0" w:tentative="0">
      <w:start w:val="1"/>
      <w:numFmt w:val="decimal"/>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EA970C7"/>
    <w:multiLevelType w:val="multilevel"/>
    <w:tmpl w:val="7EA970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F50071B"/>
    <w:multiLevelType w:val="multilevel"/>
    <w:tmpl w:val="7F50071B"/>
    <w:lvl w:ilvl="0" w:tentative="0">
      <w:start w:val="1"/>
      <w:numFmt w:val="decimal"/>
      <w:lvlText w:val="%1."/>
      <w:lvlJc w:val="left"/>
      <w:pPr>
        <w:ind w:left="1129" w:hanging="420"/>
      </w:pPr>
    </w:lvl>
    <w:lvl w:ilvl="1" w:tentative="0">
      <w:start w:val="1"/>
      <w:numFmt w:val="decimal"/>
      <w:lvlText w:val="%2）"/>
      <w:lvlJc w:val="left"/>
      <w:pPr>
        <w:tabs>
          <w:tab w:val="left" w:pos="1368"/>
        </w:tabs>
        <w:ind w:left="1368" w:hanging="360"/>
      </w:pPr>
      <w:rPr>
        <w:rFonts w:hint="default"/>
      </w:rPr>
    </w:lvl>
    <w:lvl w:ilvl="2" w:tentative="0">
      <w:start w:val="1"/>
      <w:numFmt w:val="bullet"/>
      <w:lvlText w:val=""/>
      <w:lvlJc w:val="left"/>
      <w:pPr>
        <w:tabs>
          <w:tab w:val="left" w:pos="1848"/>
        </w:tabs>
        <w:ind w:left="1848" w:hanging="420"/>
      </w:pPr>
      <w:rPr>
        <w:rFonts w:hint="default" w:ascii="Wingdings" w:hAnsi="Wingdings"/>
      </w:rPr>
    </w:lvl>
    <w:lvl w:ilvl="3" w:tentative="0">
      <w:start w:val="1"/>
      <w:numFmt w:val="decimal"/>
      <w:lvlText w:val="（%4）"/>
      <w:lvlJc w:val="left"/>
      <w:pPr>
        <w:tabs>
          <w:tab w:val="left" w:pos="2268"/>
        </w:tabs>
        <w:ind w:left="2268" w:hanging="420"/>
      </w:pPr>
      <w:rPr>
        <w:rFonts w:hint="default"/>
      </w:rPr>
    </w:lvl>
    <w:lvl w:ilvl="4" w:tentative="0">
      <w:start w:val="6"/>
      <w:numFmt w:val="decimal"/>
      <w:lvlText w:val="%5)"/>
      <w:lvlJc w:val="left"/>
      <w:pPr>
        <w:tabs>
          <w:tab w:val="left" w:pos="2688"/>
        </w:tabs>
        <w:ind w:left="2688" w:hanging="420"/>
      </w:pPr>
      <w:rPr>
        <w:rFonts w:hint="eastAsia"/>
      </w:rPr>
    </w:lvl>
    <w:lvl w:ilvl="5" w:tentative="0">
      <w:start w:val="1"/>
      <w:numFmt w:val="lowerRoman"/>
      <w:lvlText w:val="%6."/>
      <w:lvlJc w:val="right"/>
      <w:pPr>
        <w:ind w:left="3108" w:hanging="420"/>
      </w:pPr>
    </w:lvl>
    <w:lvl w:ilvl="6" w:tentative="0">
      <w:start w:val="1"/>
      <w:numFmt w:val="decimal"/>
      <w:lvlText w:val="%7."/>
      <w:lvlJc w:val="left"/>
      <w:pPr>
        <w:ind w:left="3528" w:hanging="420"/>
      </w:pPr>
    </w:lvl>
    <w:lvl w:ilvl="7" w:tentative="0">
      <w:start w:val="1"/>
      <w:numFmt w:val="lowerLetter"/>
      <w:lvlText w:val="%8)"/>
      <w:lvlJc w:val="left"/>
      <w:pPr>
        <w:ind w:left="3948" w:hanging="420"/>
      </w:pPr>
    </w:lvl>
    <w:lvl w:ilvl="8" w:tentative="0">
      <w:start w:val="1"/>
      <w:numFmt w:val="lowerRoman"/>
      <w:lvlText w:val="%9."/>
      <w:lvlJc w:val="right"/>
      <w:pPr>
        <w:ind w:left="4368" w:hanging="420"/>
      </w:pPr>
    </w:lvl>
  </w:abstractNum>
  <w:num w:numId="1">
    <w:abstractNumId w:val="21"/>
  </w:num>
  <w:num w:numId="2">
    <w:abstractNumId w:val="25"/>
  </w:num>
  <w:num w:numId="3">
    <w:abstractNumId w:val="8"/>
  </w:num>
  <w:num w:numId="4">
    <w:abstractNumId w:val="16"/>
  </w:num>
  <w:num w:numId="5">
    <w:abstractNumId w:val="4"/>
  </w:num>
  <w:num w:numId="6">
    <w:abstractNumId w:val="28"/>
  </w:num>
  <w:num w:numId="7">
    <w:abstractNumId w:val="7"/>
  </w:num>
  <w:num w:numId="8">
    <w:abstractNumId w:val="24"/>
  </w:num>
  <w:num w:numId="9">
    <w:abstractNumId w:val="9"/>
  </w:num>
  <w:num w:numId="10">
    <w:abstractNumId w:val="6"/>
  </w:num>
  <w:num w:numId="11">
    <w:abstractNumId w:val="22"/>
  </w:num>
  <w:num w:numId="12">
    <w:abstractNumId w:val="14"/>
  </w:num>
  <w:num w:numId="13">
    <w:abstractNumId w:val="18"/>
  </w:num>
  <w:num w:numId="14">
    <w:abstractNumId w:val="13"/>
  </w:num>
  <w:num w:numId="15">
    <w:abstractNumId w:val="27"/>
  </w:num>
  <w:num w:numId="16">
    <w:abstractNumId w:val="20"/>
  </w:num>
  <w:num w:numId="17">
    <w:abstractNumId w:val="23"/>
  </w:num>
  <w:num w:numId="18">
    <w:abstractNumId w:val="26"/>
  </w:num>
  <w:num w:numId="19">
    <w:abstractNumId w:val="17"/>
  </w:num>
  <w:num w:numId="20">
    <w:abstractNumId w:val="11"/>
  </w:num>
  <w:num w:numId="21">
    <w:abstractNumId w:val="19"/>
  </w:num>
  <w:num w:numId="22">
    <w:abstractNumId w:val="10"/>
  </w:num>
  <w:num w:numId="23">
    <w:abstractNumId w:val="29"/>
  </w:num>
  <w:num w:numId="24">
    <w:abstractNumId w:val="1"/>
  </w:num>
  <w:num w:numId="25">
    <w:abstractNumId w:val="30"/>
  </w:num>
  <w:num w:numId="26">
    <w:abstractNumId w:val="2"/>
  </w:num>
  <w:num w:numId="27">
    <w:abstractNumId w:val="5"/>
  </w:num>
  <w:num w:numId="28">
    <w:abstractNumId w:val="12"/>
  </w:num>
  <w:num w:numId="29">
    <w:abstractNumId w:val="0"/>
  </w:num>
  <w:num w:numId="30">
    <w:abstractNumId w:val="3"/>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120"/>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wMTFkMDI3ZjBmZjczM2Q3M2EwOGI5M2VjYzUzMDkifQ=="/>
  </w:docVars>
  <w:rsids>
    <w:rsidRoot w:val="00172A27"/>
    <w:rsid w:val="000042B9"/>
    <w:rsid w:val="00004C44"/>
    <w:rsid w:val="00010B5A"/>
    <w:rsid w:val="00011939"/>
    <w:rsid w:val="00013809"/>
    <w:rsid w:val="0002203C"/>
    <w:rsid w:val="00022360"/>
    <w:rsid w:val="0002288C"/>
    <w:rsid w:val="00023EF0"/>
    <w:rsid w:val="000306F3"/>
    <w:rsid w:val="000317CD"/>
    <w:rsid w:val="0003334F"/>
    <w:rsid w:val="0003615F"/>
    <w:rsid w:val="00040215"/>
    <w:rsid w:val="000414B1"/>
    <w:rsid w:val="0004354E"/>
    <w:rsid w:val="0004367E"/>
    <w:rsid w:val="000447DE"/>
    <w:rsid w:val="000449DE"/>
    <w:rsid w:val="00052380"/>
    <w:rsid w:val="000527ED"/>
    <w:rsid w:val="00052A89"/>
    <w:rsid w:val="000572DB"/>
    <w:rsid w:val="00057CB5"/>
    <w:rsid w:val="00062C8B"/>
    <w:rsid w:val="00063478"/>
    <w:rsid w:val="00065739"/>
    <w:rsid w:val="00066975"/>
    <w:rsid w:val="00074E4C"/>
    <w:rsid w:val="000837E0"/>
    <w:rsid w:val="000850CE"/>
    <w:rsid w:val="00085FC4"/>
    <w:rsid w:val="000A728F"/>
    <w:rsid w:val="000B469F"/>
    <w:rsid w:val="000C48DF"/>
    <w:rsid w:val="000D52DD"/>
    <w:rsid w:val="000E071A"/>
    <w:rsid w:val="000E2663"/>
    <w:rsid w:val="000E57C6"/>
    <w:rsid w:val="000F3079"/>
    <w:rsid w:val="000F3A83"/>
    <w:rsid w:val="00102509"/>
    <w:rsid w:val="00112A57"/>
    <w:rsid w:val="00115FC1"/>
    <w:rsid w:val="00116B9A"/>
    <w:rsid w:val="001205A7"/>
    <w:rsid w:val="001238B9"/>
    <w:rsid w:val="00125CFC"/>
    <w:rsid w:val="001306D9"/>
    <w:rsid w:val="001411FB"/>
    <w:rsid w:val="00152287"/>
    <w:rsid w:val="0015365E"/>
    <w:rsid w:val="001544B9"/>
    <w:rsid w:val="00154EC5"/>
    <w:rsid w:val="00164F32"/>
    <w:rsid w:val="001704E7"/>
    <w:rsid w:val="0017094D"/>
    <w:rsid w:val="00172A27"/>
    <w:rsid w:val="00173836"/>
    <w:rsid w:val="00177F7D"/>
    <w:rsid w:val="00182B36"/>
    <w:rsid w:val="00182DA8"/>
    <w:rsid w:val="001846FC"/>
    <w:rsid w:val="00185C12"/>
    <w:rsid w:val="0019059C"/>
    <w:rsid w:val="00191300"/>
    <w:rsid w:val="001933EF"/>
    <w:rsid w:val="00195B58"/>
    <w:rsid w:val="001A219E"/>
    <w:rsid w:val="001A72E8"/>
    <w:rsid w:val="001A7D6E"/>
    <w:rsid w:val="001B551B"/>
    <w:rsid w:val="001C22EA"/>
    <w:rsid w:val="001C46C0"/>
    <w:rsid w:val="001C586F"/>
    <w:rsid w:val="001E254A"/>
    <w:rsid w:val="001E6595"/>
    <w:rsid w:val="001F1D21"/>
    <w:rsid w:val="001F369D"/>
    <w:rsid w:val="00207BB7"/>
    <w:rsid w:val="00210514"/>
    <w:rsid w:val="0021104C"/>
    <w:rsid w:val="00216008"/>
    <w:rsid w:val="002174DC"/>
    <w:rsid w:val="0022172B"/>
    <w:rsid w:val="00227BFD"/>
    <w:rsid w:val="002343FC"/>
    <w:rsid w:val="002349EE"/>
    <w:rsid w:val="002524C8"/>
    <w:rsid w:val="002539C7"/>
    <w:rsid w:val="00253CFA"/>
    <w:rsid w:val="00255C64"/>
    <w:rsid w:val="00260CE8"/>
    <w:rsid w:val="0026315C"/>
    <w:rsid w:val="00270282"/>
    <w:rsid w:val="00282839"/>
    <w:rsid w:val="00287324"/>
    <w:rsid w:val="00293890"/>
    <w:rsid w:val="002A342D"/>
    <w:rsid w:val="002A3533"/>
    <w:rsid w:val="002A360A"/>
    <w:rsid w:val="002A3E7B"/>
    <w:rsid w:val="002B157E"/>
    <w:rsid w:val="002B4294"/>
    <w:rsid w:val="002C7F38"/>
    <w:rsid w:val="002D388A"/>
    <w:rsid w:val="002E1FDD"/>
    <w:rsid w:val="002F5145"/>
    <w:rsid w:val="002F702A"/>
    <w:rsid w:val="003010FC"/>
    <w:rsid w:val="00301A6F"/>
    <w:rsid w:val="00312976"/>
    <w:rsid w:val="003165B0"/>
    <w:rsid w:val="0032336B"/>
    <w:rsid w:val="0033190D"/>
    <w:rsid w:val="0033780D"/>
    <w:rsid w:val="00340650"/>
    <w:rsid w:val="003448BA"/>
    <w:rsid w:val="00345B76"/>
    <w:rsid w:val="00347150"/>
    <w:rsid w:val="0035079F"/>
    <w:rsid w:val="00355CA7"/>
    <w:rsid w:val="00357514"/>
    <w:rsid w:val="00360B9E"/>
    <w:rsid w:val="00361962"/>
    <w:rsid w:val="003625FB"/>
    <w:rsid w:val="00363319"/>
    <w:rsid w:val="0036407F"/>
    <w:rsid w:val="00366201"/>
    <w:rsid w:val="0037396C"/>
    <w:rsid w:val="00380BA9"/>
    <w:rsid w:val="00381142"/>
    <w:rsid w:val="0038218A"/>
    <w:rsid w:val="00391E3B"/>
    <w:rsid w:val="0039583D"/>
    <w:rsid w:val="003A1131"/>
    <w:rsid w:val="003A1859"/>
    <w:rsid w:val="003A2955"/>
    <w:rsid w:val="003A7C12"/>
    <w:rsid w:val="003B24DD"/>
    <w:rsid w:val="003B2528"/>
    <w:rsid w:val="003B2622"/>
    <w:rsid w:val="003C6793"/>
    <w:rsid w:val="003D71F8"/>
    <w:rsid w:val="003E7D8D"/>
    <w:rsid w:val="003F31CD"/>
    <w:rsid w:val="003F5784"/>
    <w:rsid w:val="003F7F9A"/>
    <w:rsid w:val="00411C1C"/>
    <w:rsid w:val="00412230"/>
    <w:rsid w:val="00412880"/>
    <w:rsid w:val="00432639"/>
    <w:rsid w:val="00440A73"/>
    <w:rsid w:val="00450762"/>
    <w:rsid w:val="0045638E"/>
    <w:rsid w:val="00456A16"/>
    <w:rsid w:val="004753CA"/>
    <w:rsid w:val="00475B45"/>
    <w:rsid w:val="00477759"/>
    <w:rsid w:val="00481A10"/>
    <w:rsid w:val="00484D8A"/>
    <w:rsid w:val="004864A2"/>
    <w:rsid w:val="00497EB8"/>
    <w:rsid w:val="004A5A37"/>
    <w:rsid w:val="004B7477"/>
    <w:rsid w:val="004C5F2E"/>
    <w:rsid w:val="004C630D"/>
    <w:rsid w:val="004E3B70"/>
    <w:rsid w:val="004E4399"/>
    <w:rsid w:val="004E4D64"/>
    <w:rsid w:val="004E60EA"/>
    <w:rsid w:val="004F0AA8"/>
    <w:rsid w:val="004F3BEB"/>
    <w:rsid w:val="004F6812"/>
    <w:rsid w:val="00500AC0"/>
    <w:rsid w:val="00517503"/>
    <w:rsid w:val="00520EA1"/>
    <w:rsid w:val="005267CE"/>
    <w:rsid w:val="00527DA6"/>
    <w:rsid w:val="005301FD"/>
    <w:rsid w:val="0053178D"/>
    <w:rsid w:val="005369D5"/>
    <w:rsid w:val="005403DE"/>
    <w:rsid w:val="005429BF"/>
    <w:rsid w:val="00543254"/>
    <w:rsid w:val="00543F27"/>
    <w:rsid w:val="005469F8"/>
    <w:rsid w:val="0055249D"/>
    <w:rsid w:val="005564AB"/>
    <w:rsid w:val="00557951"/>
    <w:rsid w:val="0056010E"/>
    <w:rsid w:val="005618A1"/>
    <w:rsid w:val="0056783D"/>
    <w:rsid w:val="00567B26"/>
    <w:rsid w:val="00584861"/>
    <w:rsid w:val="00584C36"/>
    <w:rsid w:val="0059214E"/>
    <w:rsid w:val="005A5697"/>
    <w:rsid w:val="005B38CE"/>
    <w:rsid w:val="005C070E"/>
    <w:rsid w:val="005C1CC0"/>
    <w:rsid w:val="005C3182"/>
    <w:rsid w:val="005C5608"/>
    <w:rsid w:val="005D09BA"/>
    <w:rsid w:val="005E22C3"/>
    <w:rsid w:val="005F2413"/>
    <w:rsid w:val="005F4057"/>
    <w:rsid w:val="00600558"/>
    <w:rsid w:val="00604640"/>
    <w:rsid w:val="006059F0"/>
    <w:rsid w:val="0061386F"/>
    <w:rsid w:val="00614D8D"/>
    <w:rsid w:val="00615B8D"/>
    <w:rsid w:val="006222CB"/>
    <w:rsid w:val="0062733E"/>
    <w:rsid w:val="00627684"/>
    <w:rsid w:val="00632DCF"/>
    <w:rsid w:val="0064287E"/>
    <w:rsid w:val="0064380C"/>
    <w:rsid w:val="006565D5"/>
    <w:rsid w:val="00666614"/>
    <w:rsid w:val="00672209"/>
    <w:rsid w:val="00673688"/>
    <w:rsid w:val="00673DBF"/>
    <w:rsid w:val="0067610B"/>
    <w:rsid w:val="00676E2A"/>
    <w:rsid w:val="00681A17"/>
    <w:rsid w:val="00682FF7"/>
    <w:rsid w:val="00683EA2"/>
    <w:rsid w:val="006856BD"/>
    <w:rsid w:val="00686B14"/>
    <w:rsid w:val="006D0B40"/>
    <w:rsid w:val="006D27D1"/>
    <w:rsid w:val="006D6E2F"/>
    <w:rsid w:val="006E0583"/>
    <w:rsid w:val="006F5233"/>
    <w:rsid w:val="0070463D"/>
    <w:rsid w:val="00710F28"/>
    <w:rsid w:val="0071255D"/>
    <w:rsid w:val="00716B45"/>
    <w:rsid w:val="00717D50"/>
    <w:rsid w:val="007254C7"/>
    <w:rsid w:val="007362C9"/>
    <w:rsid w:val="00745D79"/>
    <w:rsid w:val="007509EA"/>
    <w:rsid w:val="0075129C"/>
    <w:rsid w:val="00754495"/>
    <w:rsid w:val="00762DAA"/>
    <w:rsid w:val="00764314"/>
    <w:rsid w:val="0076595F"/>
    <w:rsid w:val="00766124"/>
    <w:rsid w:val="00767634"/>
    <w:rsid w:val="00767F3D"/>
    <w:rsid w:val="007736AC"/>
    <w:rsid w:val="00781D18"/>
    <w:rsid w:val="00786F0A"/>
    <w:rsid w:val="007913D1"/>
    <w:rsid w:val="00792C84"/>
    <w:rsid w:val="007944CE"/>
    <w:rsid w:val="00794EB8"/>
    <w:rsid w:val="00796C4D"/>
    <w:rsid w:val="007A047C"/>
    <w:rsid w:val="007A0FD5"/>
    <w:rsid w:val="007A4E51"/>
    <w:rsid w:val="007B4C47"/>
    <w:rsid w:val="007B55B1"/>
    <w:rsid w:val="007B63C6"/>
    <w:rsid w:val="007C13E7"/>
    <w:rsid w:val="007C5995"/>
    <w:rsid w:val="007D5162"/>
    <w:rsid w:val="007D746B"/>
    <w:rsid w:val="007F60B9"/>
    <w:rsid w:val="007F6884"/>
    <w:rsid w:val="007F75BB"/>
    <w:rsid w:val="0080518C"/>
    <w:rsid w:val="0081159E"/>
    <w:rsid w:val="0081546C"/>
    <w:rsid w:val="00817FD5"/>
    <w:rsid w:val="008230F0"/>
    <w:rsid w:val="00823AD1"/>
    <w:rsid w:val="008256E2"/>
    <w:rsid w:val="0082678C"/>
    <w:rsid w:val="0083267B"/>
    <w:rsid w:val="008403D3"/>
    <w:rsid w:val="00845482"/>
    <w:rsid w:val="00861E34"/>
    <w:rsid w:val="00864054"/>
    <w:rsid w:val="00867E24"/>
    <w:rsid w:val="008705C5"/>
    <w:rsid w:val="00872251"/>
    <w:rsid w:val="008741F7"/>
    <w:rsid w:val="00874C5A"/>
    <w:rsid w:val="00880ED9"/>
    <w:rsid w:val="00881991"/>
    <w:rsid w:val="00882480"/>
    <w:rsid w:val="0088700F"/>
    <w:rsid w:val="00890A18"/>
    <w:rsid w:val="00890B47"/>
    <w:rsid w:val="00894799"/>
    <w:rsid w:val="0089668B"/>
    <w:rsid w:val="00897E52"/>
    <w:rsid w:val="008A3F2E"/>
    <w:rsid w:val="008A59E8"/>
    <w:rsid w:val="008A5C9A"/>
    <w:rsid w:val="008A6A87"/>
    <w:rsid w:val="008A7F67"/>
    <w:rsid w:val="008B150B"/>
    <w:rsid w:val="008B5D70"/>
    <w:rsid w:val="008B7664"/>
    <w:rsid w:val="008C30D4"/>
    <w:rsid w:val="008C335C"/>
    <w:rsid w:val="008D1E53"/>
    <w:rsid w:val="008D1ECC"/>
    <w:rsid w:val="008E11EB"/>
    <w:rsid w:val="008F18E5"/>
    <w:rsid w:val="008F201A"/>
    <w:rsid w:val="008F47A2"/>
    <w:rsid w:val="00905CDA"/>
    <w:rsid w:val="009062A9"/>
    <w:rsid w:val="00907352"/>
    <w:rsid w:val="00907CFF"/>
    <w:rsid w:val="00907DF1"/>
    <w:rsid w:val="00913E9F"/>
    <w:rsid w:val="009168A1"/>
    <w:rsid w:val="009172F2"/>
    <w:rsid w:val="0092018C"/>
    <w:rsid w:val="00921C22"/>
    <w:rsid w:val="00926961"/>
    <w:rsid w:val="00926AD2"/>
    <w:rsid w:val="009351D8"/>
    <w:rsid w:val="00935D9F"/>
    <w:rsid w:val="00944AFD"/>
    <w:rsid w:val="00952CF3"/>
    <w:rsid w:val="009606DE"/>
    <w:rsid w:val="00982AAC"/>
    <w:rsid w:val="0099044A"/>
    <w:rsid w:val="00994658"/>
    <w:rsid w:val="00995BFE"/>
    <w:rsid w:val="009A1EFA"/>
    <w:rsid w:val="009A20D0"/>
    <w:rsid w:val="009A22E9"/>
    <w:rsid w:val="009A39E9"/>
    <w:rsid w:val="009C18C5"/>
    <w:rsid w:val="009C2874"/>
    <w:rsid w:val="009C4690"/>
    <w:rsid w:val="009C4FD0"/>
    <w:rsid w:val="009C7505"/>
    <w:rsid w:val="009D4966"/>
    <w:rsid w:val="009D56DB"/>
    <w:rsid w:val="009D7C4C"/>
    <w:rsid w:val="009D7FFB"/>
    <w:rsid w:val="009F2155"/>
    <w:rsid w:val="009F70F5"/>
    <w:rsid w:val="00A04F2D"/>
    <w:rsid w:val="00A2528F"/>
    <w:rsid w:val="00A30225"/>
    <w:rsid w:val="00A3091A"/>
    <w:rsid w:val="00A33641"/>
    <w:rsid w:val="00A37B81"/>
    <w:rsid w:val="00A51524"/>
    <w:rsid w:val="00A52881"/>
    <w:rsid w:val="00A54BC8"/>
    <w:rsid w:val="00A72D7F"/>
    <w:rsid w:val="00A731D8"/>
    <w:rsid w:val="00A750A7"/>
    <w:rsid w:val="00A8258C"/>
    <w:rsid w:val="00A87687"/>
    <w:rsid w:val="00AA29FC"/>
    <w:rsid w:val="00AA7C07"/>
    <w:rsid w:val="00AC21A5"/>
    <w:rsid w:val="00AD1DBD"/>
    <w:rsid w:val="00AD2364"/>
    <w:rsid w:val="00AE0CF5"/>
    <w:rsid w:val="00AE41E8"/>
    <w:rsid w:val="00AE780B"/>
    <w:rsid w:val="00AF0688"/>
    <w:rsid w:val="00B04FD5"/>
    <w:rsid w:val="00B11CE4"/>
    <w:rsid w:val="00B2411F"/>
    <w:rsid w:val="00B26166"/>
    <w:rsid w:val="00B26FFF"/>
    <w:rsid w:val="00B33A42"/>
    <w:rsid w:val="00B3617B"/>
    <w:rsid w:val="00B47197"/>
    <w:rsid w:val="00B474A4"/>
    <w:rsid w:val="00B51A0A"/>
    <w:rsid w:val="00B631E4"/>
    <w:rsid w:val="00B705A4"/>
    <w:rsid w:val="00B76251"/>
    <w:rsid w:val="00B76801"/>
    <w:rsid w:val="00B77056"/>
    <w:rsid w:val="00B80525"/>
    <w:rsid w:val="00B853F9"/>
    <w:rsid w:val="00B93982"/>
    <w:rsid w:val="00B94DC7"/>
    <w:rsid w:val="00B97325"/>
    <w:rsid w:val="00BA1187"/>
    <w:rsid w:val="00BA247D"/>
    <w:rsid w:val="00BA3AC1"/>
    <w:rsid w:val="00BA57E8"/>
    <w:rsid w:val="00BB09D1"/>
    <w:rsid w:val="00BB0DC6"/>
    <w:rsid w:val="00BB2194"/>
    <w:rsid w:val="00BB4C17"/>
    <w:rsid w:val="00BB7F52"/>
    <w:rsid w:val="00BC05DC"/>
    <w:rsid w:val="00BC359F"/>
    <w:rsid w:val="00BC7E0D"/>
    <w:rsid w:val="00BD0159"/>
    <w:rsid w:val="00BD294B"/>
    <w:rsid w:val="00BD56AF"/>
    <w:rsid w:val="00BE175F"/>
    <w:rsid w:val="00BE433A"/>
    <w:rsid w:val="00BE5209"/>
    <w:rsid w:val="00BE7610"/>
    <w:rsid w:val="00BF1348"/>
    <w:rsid w:val="00BF389A"/>
    <w:rsid w:val="00C06A1F"/>
    <w:rsid w:val="00C200AB"/>
    <w:rsid w:val="00C20AAF"/>
    <w:rsid w:val="00C35837"/>
    <w:rsid w:val="00C375B7"/>
    <w:rsid w:val="00C40097"/>
    <w:rsid w:val="00C41FCF"/>
    <w:rsid w:val="00C44D52"/>
    <w:rsid w:val="00C46022"/>
    <w:rsid w:val="00C47D4F"/>
    <w:rsid w:val="00C515A5"/>
    <w:rsid w:val="00C55461"/>
    <w:rsid w:val="00C56ACD"/>
    <w:rsid w:val="00C577DD"/>
    <w:rsid w:val="00C57D65"/>
    <w:rsid w:val="00C64505"/>
    <w:rsid w:val="00C73A49"/>
    <w:rsid w:val="00C7471A"/>
    <w:rsid w:val="00C812FA"/>
    <w:rsid w:val="00C85E4E"/>
    <w:rsid w:val="00C9433A"/>
    <w:rsid w:val="00C96659"/>
    <w:rsid w:val="00C972A5"/>
    <w:rsid w:val="00C979BC"/>
    <w:rsid w:val="00C97C72"/>
    <w:rsid w:val="00CA6DA6"/>
    <w:rsid w:val="00CB439F"/>
    <w:rsid w:val="00CB56F9"/>
    <w:rsid w:val="00CB5D51"/>
    <w:rsid w:val="00CB7161"/>
    <w:rsid w:val="00CC53A3"/>
    <w:rsid w:val="00CC5D37"/>
    <w:rsid w:val="00CD103F"/>
    <w:rsid w:val="00CF6058"/>
    <w:rsid w:val="00CF7E33"/>
    <w:rsid w:val="00D0059D"/>
    <w:rsid w:val="00D07ADB"/>
    <w:rsid w:val="00D11242"/>
    <w:rsid w:val="00D153D4"/>
    <w:rsid w:val="00D27667"/>
    <w:rsid w:val="00D31771"/>
    <w:rsid w:val="00D32D9B"/>
    <w:rsid w:val="00D45E2E"/>
    <w:rsid w:val="00D570BE"/>
    <w:rsid w:val="00D62BDD"/>
    <w:rsid w:val="00D6472F"/>
    <w:rsid w:val="00D72EBD"/>
    <w:rsid w:val="00D743E1"/>
    <w:rsid w:val="00D75117"/>
    <w:rsid w:val="00D8195A"/>
    <w:rsid w:val="00D8575A"/>
    <w:rsid w:val="00D93056"/>
    <w:rsid w:val="00D94639"/>
    <w:rsid w:val="00DA0C02"/>
    <w:rsid w:val="00DA1571"/>
    <w:rsid w:val="00DA3FC4"/>
    <w:rsid w:val="00DA4DDA"/>
    <w:rsid w:val="00DA704F"/>
    <w:rsid w:val="00DA7E3F"/>
    <w:rsid w:val="00DB2D26"/>
    <w:rsid w:val="00DC2657"/>
    <w:rsid w:val="00DC35B8"/>
    <w:rsid w:val="00DC4714"/>
    <w:rsid w:val="00DC471D"/>
    <w:rsid w:val="00DC69B0"/>
    <w:rsid w:val="00DD2632"/>
    <w:rsid w:val="00DD4A57"/>
    <w:rsid w:val="00DE6709"/>
    <w:rsid w:val="00DF5220"/>
    <w:rsid w:val="00E0361F"/>
    <w:rsid w:val="00E0759E"/>
    <w:rsid w:val="00E13A1B"/>
    <w:rsid w:val="00E16940"/>
    <w:rsid w:val="00E26F27"/>
    <w:rsid w:val="00E325BC"/>
    <w:rsid w:val="00E419AB"/>
    <w:rsid w:val="00E5496A"/>
    <w:rsid w:val="00E56495"/>
    <w:rsid w:val="00E614AF"/>
    <w:rsid w:val="00E93EF6"/>
    <w:rsid w:val="00EA014C"/>
    <w:rsid w:val="00EA3496"/>
    <w:rsid w:val="00EA4EDC"/>
    <w:rsid w:val="00EA5594"/>
    <w:rsid w:val="00EB4DB1"/>
    <w:rsid w:val="00EC3C91"/>
    <w:rsid w:val="00ED06E1"/>
    <w:rsid w:val="00ED11C0"/>
    <w:rsid w:val="00ED1E2A"/>
    <w:rsid w:val="00ED568A"/>
    <w:rsid w:val="00EE2FD7"/>
    <w:rsid w:val="00EE46A4"/>
    <w:rsid w:val="00EF26A1"/>
    <w:rsid w:val="00F17E20"/>
    <w:rsid w:val="00F216EE"/>
    <w:rsid w:val="00F26F23"/>
    <w:rsid w:val="00F4098B"/>
    <w:rsid w:val="00F50B8C"/>
    <w:rsid w:val="00F51A4E"/>
    <w:rsid w:val="00F543B0"/>
    <w:rsid w:val="00F56545"/>
    <w:rsid w:val="00F6098A"/>
    <w:rsid w:val="00F6670A"/>
    <w:rsid w:val="00F66913"/>
    <w:rsid w:val="00F751EC"/>
    <w:rsid w:val="00F77A49"/>
    <w:rsid w:val="00F81CD8"/>
    <w:rsid w:val="00F94E34"/>
    <w:rsid w:val="00F95337"/>
    <w:rsid w:val="00FA4D60"/>
    <w:rsid w:val="00FA4EF4"/>
    <w:rsid w:val="00FB2BBC"/>
    <w:rsid w:val="00FB777C"/>
    <w:rsid w:val="00FC1C02"/>
    <w:rsid w:val="00FC2BA9"/>
    <w:rsid w:val="00FC7236"/>
    <w:rsid w:val="00FC7865"/>
    <w:rsid w:val="00FD2D5A"/>
    <w:rsid w:val="00FE22BE"/>
    <w:rsid w:val="00FE31C5"/>
    <w:rsid w:val="00FE7D2C"/>
    <w:rsid w:val="00FF06F0"/>
    <w:rsid w:val="00FF6FC6"/>
    <w:rsid w:val="00FF7556"/>
    <w:rsid w:val="01566F4A"/>
    <w:rsid w:val="02065073"/>
    <w:rsid w:val="035364DE"/>
    <w:rsid w:val="03D7671D"/>
    <w:rsid w:val="041C3CC4"/>
    <w:rsid w:val="042078A1"/>
    <w:rsid w:val="04622147"/>
    <w:rsid w:val="04CB26B7"/>
    <w:rsid w:val="05070D06"/>
    <w:rsid w:val="057B0CF5"/>
    <w:rsid w:val="057C2E83"/>
    <w:rsid w:val="05A30F1F"/>
    <w:rsid w:val="05A35B11"/>
    <w:rsid w:val="05CF0384"/>
    <w:rsid w:val="05E675D9"/>
    <w:rsid w:val="066628A8"/>
    <w:rsid w:val="06AD17A9"/>
    <w:rsid w:val="06E34E28"/>
    <w:rsid w:val="06EA49B3"/>
    <w:rsid w:val="07041169"/>
    <w:rsid w:val="079D1137"/>
    <w:rsid w:val="08321448"/>
    <w:rsid w:val="08B7263C"/>
    <w:rsid w:val="091E715D"/>
    <w:rsid w:val="09244F08"/>
    <w:rsid w:val="09A14FB0"/>
    <w:rsid w:val="0A5B6057"/>
    <w:rsid w:val="0A705714"/>
    <w:rsid w:val="0B406239"/>
    <w:rsid w:val="0BE35B73"/>
    <w:rsid w:val="0C0C714F"/>
    <w:rsid w:val="0C2F40CE"/>
    <w:rsid w:val="0D422387"/>
    <w:rsid w:val="0D544C6F"/>
    <w:rsid w:val="0D6B3EB7"/>
    <w:rsid w:val="0D82100B"/>
    <w:rsid w:val="0D8A4B9A"/>
    <w:rsid w:val="0E4B31E8"/>
    <w:rsid w:val="0E7E3DF2"/>
    <w:rsid w:val="0E8404DC"/>
    <w:rsid w:val="0F3F5F47"/>
    <w:rsid w:val="0F44530B"/>
    <w:rsid w:val="0F64775C"/>
    <w:rsid w:val="0FF8457D"/>
    <w:rsid w:val="0FFA442E"/>
    <w:rsid w:val="104444E2"/>
    <w:rsid w:val="10980124"/>
    <w:rsid w:val="10D975CC"/>
    <w:rsid w:val="10E937C3"/>
    <w:rsid w:val="115C1E88"/>
    <w:rsid w:val="118C2F9A"/>
    <w:rsid w:val="11E838BD"/>
    <w:rsid w:val="124D08DB"/>
    <w:rsid w:val="129A67CA"/>
    <w:rsid w:val="12E531CF"/>
    <w:rsid w:val="12EF215A"/>
    <w:rsid w:val="13286CF2"/>
    <w:rsid w:val="137837D5"/>
    <w:rsid w:val="138637A8"/>
    <w:rsid w:val="13E966D7"/>
    <w:rsid w:val="14DC718A"/>
    <w:rsid w:val="165D430D"/>
    <w:rsid w:val="168466C2"/>
    <w:rsid w:val="16DD069E"/>
    <w:rsid w:val="171E3660"/>
    <w:rsid w:val="17B71145"/>
    <w:rsid w:val="181245F4"/>
    <w:rsid w:val="181910A0"/>
    <w:rsid w:val="185D2F9A"/>
    <w:rsid w:val="18AF0451"/>
    <w:rsid w:val="18F72680"/>
    <w:rsid w:val="190A364B"/>
    <w:rsid w:val="19A86E39"/>
    <w:rsid w:val="19D87E0C"/>
    <w:rsid w:val="19E24FD5"/>
    <w:rsid w:val="19FF69FF"/>
    <w:rsid w:val="1A702E58"/>
    <w:rsid w:val="1A7647E7"/>
    <w:rsid w:val="1B6373E0"/>
    <w:rsid w:val="1BB17766"/>
    <w:rsid w:val="1BFA5CF3"/>
    <w:rsid w:val="1C093E03"/>
    <w:rsid w:val="1C126A23"/>
    <w:rsid w:val="1C3A0B86"/>
    <w:rsid w:val="1C437D0D"/>
    <w:rsid w:val="1CC57360"/>
    <w:rsid w:val="1CDF4CB8"/>
    <w:rsid w:val="1D046CBC"/>
    <w:rsid w:val="1D130BE5"/>
    <w:rsid w:val="1D896844"/>
    <w:rsid w:val="1DBB35B7"/>
    <w:rsid w:val="1DDF1CD1"/>
    <w:rsid w:val="1EA77527"/>
    <w:rsid w:val="1EE91A2B"/>
    <w:rsid w:val="1EF030AE"/>
    <w:rsid w:val="1F09655D"/>
    <w:rsid w:val="20AC5541"/>
    <w:rsid w:val="2130423F"/>
    <w:rsid w:val="215317CD"/>
    <w:rsid w:val="21BD6CCF"/>
    <w:rsid w:val="21EC29C2"/>
    <w:rsid w:val="225671E1"/>
    <w:rsid w:val="22BB6065"/>
    <w:rsid w:val="22E9604F"/>
    <w:rsid w:val="23397281"/>
    <w:rsid w:val="23DD4712"/>
    <w:rsid w:val="23E663EC"/>
    <w:rsid w:val="24A361D8"/>
    <w:rsid w:val="24B91EB9"/>
    <w:rsid w:val="24D85D0E"/>
    <w:rsid w:val="24FE2BE4"/>
    <w:rsid w:val="252F5E88"/>
    <w:rsid w:val="253569B8"/>
    <w:rsid w:val="258D3FCB"/>
    <w:rsid w:val="25EE5A02"/>
    <w:rsid w:val="261F65FD"/>
    <w:rsid w:val="26515BC8"/>
    <w:rsid w:val="268B34BD"/>
    <w:rsid w:val="269009DE"/>
    <w:rsid w:val="26B40B71"/>
    <w:rsid w:val="26F22A50"/>
    <w:rsid w:val="2753038A"/>
    <w:rsid w:val="276603ED"/>
    <w:rsid w:val="27682AD3"/>
    <w:rsid w:val="277D18E8"/>
    <w:rsid w:val="27DB190D"/>
    <w:rsid w:val="29681D67"/>
    <w:rsid w:val="29BD4C05"/>
    <w:rsid w:val="29CC61D1"/>
    <w:rsid w:val="29F80D74"/>
    <w:rsid w:val="2A784E15"/>
    <w:rsid w:val="2AEF232A"/>
    <w:rsid w:val="2BA50D37"/>
    <w:rsid w:val="2BE36333"/>
    <w:rsid w:val="2C222D0F"/>
    <w:rsid w:val="2C574478"/>
    <w:rsid w:val="2C876482"/>
    <w:rsid w:val="2CBA2011"/>
    <w:rsid w:val="2D346A13"/>
    <w:rsid w:val="2D7947A6"/>
    <w:rsid w:val="2DB651CE"/>
    <w:rsid w:val="2E61338C"/>
    <w:rsid w:val="2E6171BA"/>
    <w:rsid w:val="2E994511"/>
    <w:rsid w:val="2EF91839"/>
    <w:rsid w:val="2FD50595"/>
    <w:rsid w:val="2FED458C"/>
    <w:rsid w:val="30185CCC"/>
    <w:rsid w:val="30F66BB1"/>
    <w:rsid w:val="310D15A9"/>
    <w:rsid w:val="315F677D"/>
    <w:rsid w:val="31682A8E"/>
    <w:rsid w:val="31C93411"/>
    <w:rsid w:val="32504B42"/>
    <w:rsid w:val="32577D64"/>
    <w:rsid w:val="329E0798"/>
    <w:rsid w:val="32AD6CF7"/>
    <w:rsid w:val="32AF5BAB"/>
    <w:rsid w:val="330D6A25"/>
    <w:rsid w:val="331C2715"/>
    <w:rsid w:val="333A0650"/>
    <w:rsid w:val="33863C3A"/>
    <w:rsid w:val="338D0CCC"/>
    <w:rsid w:val="34015106"/>
    <w:rsid w:val="341B0BBB"/>
    <w:rsid w:val="343063EC"/>
    <w:rsid w:val="34600516"/>
    <w:rsid w:val="347D2FEF"/>
    <w:rsid w:val="34A35C8A"/>
    <w:rsid w:val="35016FDD"/>
    <w:rsid w:val="35094B0E"/>
    <w:rsid w:val="3511009F"/>
    <w:rsid w:val="352E5399"/>
    <w:rsid w:val="35D85363"/>
    <w:rsid w:val="35F00F36"/>
    <w:rsid w:val="35F44AE6"/>
    <w:rsid w:val="3600556A"/>
    <w:rsid w:val="364518CC"/>
    <w:rsid w:val="365D4FC6"/>
    <w:rsid w:val="36897924"/>
    <w:rsid w:val="368E6999"/>
    <w:rsid w:val="37273501"/>
    <w:rsid w:val="37414EE7"/>
    <w:rsid w:val="37733392"/>
    <w:rsid w:val="37763BA2"/>
    <w:rsid w:val="377C2877"/>
    <w:rsid w:val="37F00CC4"/>
    <w:rsid w:val="383306B8"/>
    <w:rsid w:val="38A94F71"/>
    <w:rsid w:val="38AF316F"/>
    <w:rsid w:val="38F54890"/>
    <w:rsid w:val="39033292"/>
    <w:rsid w:val="39776302"/>
    <w:rsid w:val="39BE5FF7"/>
    <w:rsid w:val="39E71D9B"/>
    <w:rsid w:val="3A121204"/>
    <w:rsid w:val="3A440A28"/>
    <w:rsid w:val="3A72581E"/>
    <w:rsid w:val="3AA00696"/>
    <w:rsid w:val="3AD80437"/>
    <w:rsid w:val="3B036BE7"/>
    <w:rsid w:val="3B3017D2"/>
    <w:rsid w:val="3B5F2AD3"/>
    <w:rsid w:val="3C1343D8"/>
    <w:rsid w:val="3CAE34BC"/>
    <w:rsid w:val="3CC33464"/>
    <w:rsid w:val="3CD77BE0"/>
    <w:rsid w:val="3CE4661E"/>
    <w:rsid w:val="3D41785A"/>
    <w:rsid w:val="3E0C37D6"/>
    <w:rsid w:val="3E304694"/>
    <w:rsid w:val="3F2E330C"/>
    <w:rsid w:val="3F3F2027"/>
    <w:rsid w:val="3F66354A"/>
    <w:rsid w:val="3FA54285"/>
    <w:rsid w:val="3FAE0274"/>
    <w:rsid w:val="40A1586A"/>
    <w:rsid w:val="40BC4452"/>
    <w:rsid w:val="4148155E"/>
    <w:rsid w:val="41855690"/>
    <w:rsid w:val="419E00B9"/>
    <w:rsid w:val="427F615B"/>
    <w:rsid w:val="428B4A24"/>
    <w:rsid w:val="42AF4664"/>
    <w:rsid w:val="42DA6547"/>
    <w:rsid w:val="43450AD9"/>
    <w:rsid w:val="43A833B4"/>
    <w:rsid w:val="43AF2F0D"/>
    <w:rsid w:val="43C10BEC"/>
    <w:rsid w:val="43F357B1"/>
    <w:rsid w:val="44101C44"/>
    <w:rsid w:val="44354A9A"/>
    <w:rsid w:val="445C6183"/>
    <w:rsid w:val="449B7D7B"/>
    <w:rsid w:val="44D97CC8"/>
    <w:rsid w:val="450D1383"/>
    <w:rsid w:val="454E1116"/>
    <w:rsid w:val="45DA267E"/>
    <w:rsid w:val="46022FE5"/>
    <w:rsid w:val="46037BE1"/>
    <w:rsid w:val="462C5BD6"/>
    <w:rsid w:val="465D40FC"/>
    <w:rsid w:val="4671642F"/>
    <w:rsid w:val="46C477C5"/>
    <w:rsid w:val="473314F8"/>
    <w:rsid w:val="47377C56"/>
    <w:rsid w:val="47B006C4"/>
    <w:rsid w:val="47B124FB"/>
    <w:rsid w:val="47D85E8E"/>
    <w:rsid w:val="47E9474F"/>
    <w:rsid w:val="47FE1C87"/>
    <w:rsid w:val="48562C83"/>
    <w:rsid w:val="489929C9"/>
    <w:rsid w:val="48F84EE1"/>
    <w:rsid w:val="491868E5"/>
    <w:rsid w:val="4932421A"/>
    <w:rsid w:val="49325BF9"/>
    <w:rsid w:val="49B93C25"/>
    <w:rsid w:val="4A4E6A63"/>
    <w:rsid w:val="4AA76173"/>
    <w:rsid w:val="4B17451F"/>
    <w:rsid w:val="4B4C237C"/>
    <w:rsid w:val="4BD91028"/>
    <w:rsid w:val="4BED22AB"/>
    <w:rsid w:val="4C3B358E"/>
    <w:rsid w:val="4C5C37E2"/>
    <w:rsid w:val="4C9C56F8"/>
    <w:rsid w:val="4CB734A3"/>
    <w:rsid w:val="4D7B5791"/>
    <w:rsid w:val="4E7F0FFB"/>
    <w:rsid w:val="4EEC17B6"/>
    <w:rsid w:val="4F390BD3"/>
    <w:rsid w:val="4FCC3E9E"/>
    <w:rsid w:val="500137A2"/>
    <w:rsid w:val="50114E25"/>
    <w:rsid w:val="50445C50"/>
    <w:rsid w:val="5051584E"/>
    <w:rsid w:val="507E2523"/>
    <w:rsid w:val="50A519B9"/>
    <w:rsid w:val="50AB7180"/>
    <w:rsid w:val="50FE0AB7"/>
    <w:rsid w:val="51000D59"/>
    <w:rsid w:val="519E431F"/>
    <w:rsid w:val="51D11D40"/>
    <w:rsid w:val="52591BFD"/>
    <w:rsid w:val="527821A3"/>
    <w:rsid w:val="527F7007"/>
    <w:rsid w:val="54225486"/>
    <w:rsid w:val="54595AAF"/>
    <w:rsid w:val="5468240D"/>
    <w:rsid w:val="550541C2"/>
    <w:rsid w:val="553F5893"/>
    <w:rsid w:val="554271C4"/>
    <w:rsid w:val="5598564B"/>
    <w:rsid w:val="55A411C8"/>
    <w:rsid w:val="55BA7B6C"/>
    <w:rsid w:val="56282E38"/>
    <w:rsid w:val="56883358"/>
    <w:rsid w:val="56E41CC0"/>
    <w:rsid w:val="577A2A68"/>
    <w:rsid w:val="57882E88"/>
    <w:rsid w:val="585C67EF"/>
    <w:rsid w:val="5861585B"/>
    <w:rsid w:val="58661700"/>
    <w:rsid w:val="588A1E31"/>
    <w:rsid w:val="58B21597"/>
    <w:rsid w:val="597E1246"/>
    <w:rsid w:val="59EF267F"/>
    <w:rsid w:val="5A1D2E53"/>
    <w:rsid w:val="5A394D64"/>
    <w:rsid w:val="5A40006A"/>
    <w:rsid w:val="5A541CEC"/>
    <w:rsid w:val="5A644857"/>
    <w:rsid w:val="5A7E281E"/>
    <w:rsid w:val="5B7454FD"/>
    <w:rsid w:val="5B752A88"/>
    <w:rsid w:val="5BA24215"/>
    <w:rsid w:val="5BA354B7"/>
    <w:rsid w:val="5BB61A63"/>
    <w:rsid w:val="5BDC435A"/>
    <w:rsid w:val="5C19274C"/>
    <w:rsid w:val="5C1F0115"/>
    <w:rsid w:val="5C474125"/>
    <w:rsid w:val="5C5F7F06"/>
    <w:rsid w:val="5CDB2AC4"/>
    <w:rsid w:val="5D0D6F39"/>
    <w:rsid w:val="5D181E3D"/>
    <w:rsid w:val="5D3018A3"/>
    <w:rsid w:val="5D716E9C"/>
    <w:rsid w:val="5E4F2952"/>
    <w:rsid w:val="5EA2735E"/>
    <w:rsid w:val="5F1D65AC"/>
    <w:rsid w:val="5FF249DB"/>
    <w:rsid w:val="6058316A"/>
    <w:rsid w:val="607D292B"/>
    <w:rsid w:val="60914018"/>
    <w:rsid w:val="60B83C9C"/>
    <w:rsid w:val="6172022C"/>
    <w:rsid w:val="61ED61E4"/>
    <w:rsid w:val="61EE3664"/>
    <w:rsid w:val="620B3E28"/>
    <w:rsid w:val="621B5F31"/>
    <w:rsid w:val="623D1AB0"/>
    <w:rsid w:val="62650996"/>
    <w:rsid w:val="627B5AC3"/>
    <w:rsid w:val="628C29ED"/>
    <w:rsid w:val="62E01E19"/>
    <w:rsid w:val="62F81BDC"/>
    <w:rsid w:val="63CE1D05"/>
    <w:rsid w:val="642108EC"/>
    <w:rsid w:val="64DE2339"/>
    <w:rsid w:val="65BD7342"/>
    <w:rsid w:val="65C61973"/>
    <w:rsid w:val="65DD5B79"/>
    <w:rsid w:val="65EB7404"/>
    <w:rsid w:val="66000AE7"/>
    <w:rsid w:val="66273295"/>
    <w:rsid w:val="663E5786"/>
    <w:rsid w:val="66517838"/>
    <w:rsid w:val="666B22F3"/>
    <w:rsid w:val="66A52013"/>
    <w:rsid w:val="66B13A44"/>
    <w:rsid w:val="67C17DA4"/>
    <w:rsid w:val="684A230B"/>
    <w:rsid w:val="68862BCF"/>
    <w:rsid w:val="68924B30"/>
    <w:rsid w:val="68AF5720"/>
    <w:rsid w:val="68D06397"/>
    <w:rsid w:val="69201173"/>
    <w:rsid w:val="69270753"/>
    <w:rsid w:val="69362449"/>
    <w:rsid w:val="6A1A2066"/>
    <w:rsid w:val="6A2C15A5"/>
    <w:rsid w:val="6A602A18"/>
    <w:rsid w:val="6ACC7244"/>
    <w:rsid w:val="6ACD6345"/>
    <w:rsid w:val="6B226435"/>
    <w:rsid w:val="6B8C146E"/>
    <w:rsid w:val="6BBD2E50"/>
    <w:rsid w:val="6BBF3D37"/>
    <w:rsid w:val="6BD41109"/>
    <w:rsid w:val="6BDC36DC"/>
    <w:rsid w:val="6C8B4AD0"/>
    <w:rsid w:val="6CA817A8"/>
    <w:rsid w:val="6CB70114"/>
    <w:rsid w:val="6D0A4613"/>
    <w:rsid w:val="6EB44AA1"/>
    <w:rsid w:val="6F18437B"/>
    <w:rsid w:val="6F3C490B"/>
    <w:rsid w:val="6F7307BE"/>
    <w:rsid w:val="6F8F1CC4"/>
    <w:rsid w:val="6FCA62DC"/>
    <w:rsid w:val="6FDF04FD"/>
    <w:rsid w:val="700579DC"/>
    <w:rsid w:val="700E2009"/>
    <w:rsid w:val="701912B1"/>
    <w:rsid w:val="70932B72"/>
    <w:rsid w:val="7133463B"/>
    <w:rsid w:val="717E737E"/>
    <w:rsid w:val="722C440B"/>
    <w:rsid w:val="724E3019"/>
    <w:rsid w:val="73634A7D"/>
    <w:rsid w:val="73970283"/>
    <w:rsid w:val="73E2166B"/>
    <w:rsid w:val="73EA283C"/>
    <w:rsid w:val="745D14BA"/>
    <w:rsid w:val="754349D5"/>
    <w:rsid w:val="755C229D"/>
    <w:rsid w:val="767862B7"/>
    <w:rsid w:val="767B6C77"/>
    <w:rsid w:val="769C1C9A"/>
    <w:rsid w:val="76B15B00"/>
    <w:rsid w:val="76B94B84"/>
    <w:rsid w:val="76BD35BC"/>
    <w:rsid w:val="76C23ED2"/>
    <w:rsid w:val="770A0E57"/>
    <w:rsid w:val="77187BD4"/>
    <w:rsid w:val="772701F6"/>
    <w:rsid w:val="77387FCF"/>
    <w:rsid w:val="773E351C"/>
    <w:rsid w:val="77470210"/>
    <w:rsid w:val="7751412C"/>
    <w:rsid w:val="77B40166"/>
    <w:rsid w:val="77B71FFB"/>
    <w:rsid w:val="77C55584"/>
    <w:rsid w:val="77CF7FAB"/>
    <w:rsid w:val="77E8659C"/>
    <w:rsid w:val="782F5B16"/>
    <w:rsid w:val="78723FBF"/>
    <w:rsid w:val="78864A26"/>
    <w:rsid w:val="791A15C8"/>
    <w:rsid w:val="794033D0"/>
    <w:rsid w:val="7A053C05"/>
    <w:rsid w:val="7A86168A"/>
    <w:rsid w:val="7AE047B6"/>
    <w:rsid w:val="7B590514"/>
    <w:rsid w:val="7B971768"/>
    <w:rsid w:val="7BB26829"/>
    <w:rsid w:val="7BBD0AA3"/>
    <w:rsid w:val="7CDD66FD"/>
    <w:rsid w:val="7D030298"/>
    <w:rsid w:val="7D2F2D5F"/>
    <w:rsid w:val="7E146EA1"/>
    <w:rsid w:val="7E295EFE"/>
    <w:rsid w:val="7E8347BB"/>
    <w:rsid w:val="7E8374ED"/>
    <w:rsid w:val="7EB67D60"/>
    <w:rsid w:val="7F1566A4"/>
    <w:rsid w:val="7F1A7FD0"/>
    <w:rsid w:val="7F1B59CD"/>
    <w:rsid w:val="7F1E7AAB"/>
    <w:rsid w:val="7F5B1D2D"/>
    <w:rsid w:val="7FC1454D"/>
    <w:rsid w:val="7FEF0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99"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qFormat="1" w:uiPriority="99" w:name="List"/>
    <w:lsdException w:qFormat="1" w:uiPriority="99" w:name="List Bullet"/>
    <w:lsdException w:uiPriority="99" w:name="List Number"/>
    <w:lsdException w:qFormat="1" w:uiPriority="99" w:name="List 2"/>
    <w:lsdException w:uiPriority="99" w:name="List 3"/>
    <w:lsdException w:uiPriority="99" w:name="List 4"/>
    <w:lsdException w:uiPriority="99" w:name="List 5"/>
    <w:lsdException w:qFormat="1"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iPriority="0" w:semiHidden="0" w:name="Body Text First Indent 2"/>
    <w:lsdException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qFormat="1"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50" w:line="360" w:lineRule="auto"/>
    </w:pPr>
    <w:rPr>
      <w:rFonts w:ascii="Times New Roman" w:hAnsi="Times New Roman" w:eastAsia="宋体" w:cs="Times New Roman"/>
      <w:kern w:val="2"/>
      <w:sz w:val="24"/>
      <w:szCs w:val="24"/>
      <w:lang w:val="en-US" w:eastAsia="zh-CN" w:bidi="ar-SA"/>
    </w:rPr>
  </w:style>
  <w:style w:type="paragraph" w:styleId="4">
    <w:name w:val="heading 1"/>
    <w:basedOn w:val="1"/>
    <w:next w:val="1"/>
    <w:link w:val="92"/>
    <w:qFormat/>
    <w:uiPriority w:val="9"/>
    <w:pPr>
      <w:keepNext/>
      <w:keepLines/>
      <w:spacing w:beforeLines="0" w:line="480" w:lineRule="auto"/>
      <w:jc w:val="center"/>
      <w:outlineLvl w:val="0"/>
    </w:pPr>
    <w:rPr>
      <w:rFonts w:ascii="宋体"/>
      <w:bCs/>
      <w:kern w:val="44"/>
      <w:sz w:val="36"/>
      <w:szCs w:val="44"/>
    </w:rPr>
  </w:style>
  <w:style w:type="paragraph" w:styleId="5">
    <w:name w:val="heading 2"/>
    <w:basedOn w:val="1"/>
    <w:next w:val="1"/>
    <w:link w:val="106"/>
    <w:qFormat/>
    <w:uiPriority w:val="0"/>
    <w:pPr>
      <w:keepNext/>
      <w:keepLines/>
      <w:spacing w:beforeLines="0" w:line="416" w:lineRule="auto"/>
      <w:jc w:val="both"/>
      <w:outlineLvl w:val="1"/>
    </w:pPr>
    <w:rPr>
      <w:rFonts w:ascii="Arial" w:hAnsi="Arial" w:eastAsia="黑体"/>
      <w:b/>
      <w:bCs/>
      <w:sz w:val="32"/>
      <w:szCs w:val="32"/>
    </w:rPr>
  </w:style>
  <w:style w:type="paragraph" w:styleId="6">
    <w:name w:val="heading 3"/>
    <w:basedOn w:val="1"/>
    <w:next w:val="1"/>
    <w:link w:val="85"/>
    <w:qFormat/>
    <w:uiPriority w:val="0"/>
    <w:pPr>
      <w:keepNext/>
      <w:keepLines/>
      <w:spacing w:beforeLines="0" w:line="416" w:lineRule="auto"/>
      <w:outlineLvl w:val="2"/>
    </w:pPr>
    <w:rPr>
      <w:b/>
      <w:bCs/>
      <w:sz w:val="32"/>
      <w:szCs w:val="32"/>
    </w:rPr>
  </w:style>
  <w:style w:type="paragraph" w:styleId="7">
    <w:name w:val="heading 4"/>
    <w:basedOn w:val="1"/>
    <w:next w:val="1"/>
    <w:link w:val="103"/>
    <w:semiHidden/>
    <w:unhideWhenUsed/>
    <w:qFormat/>
    <w:uiPriority w:val="9"/>
    <w:pPr>
      <w:keepNext/>
      <w:keepLines/>
      <w:adjustRightInd w:val="0"/>
      <w:spacing w:beforeLines="0" w:after="290" w:line="376" w:lineRule="atLeast"/>
      <w:outlineLvl w:val="3"/>
    </w:pPr>
    <w:rPr>
      <w:rFonts w:ascii="Arial" w:hAnsi="Arial" w:eastAsia="黑体"/>
      <w:b/>
      <w:kern w:val="0"/>
      <w:sz w:val="28"/>
      <w:szCs w:val="20"/>
    </w:rPr>
  </w:style>
  <w:style w:type="paragraph" w:styleId="8">
    <w:name w:val="heading 5"/>
    <w:basedOn w:val="1"/>
    <w:next w:val="1"/>
    <w:semiHidden/>
    <w:unhideWhenUsed/>
    <w:qFormat/>
    <w:uiPriority w:val="9"/>
    <w:pPr>
      <w:keepNext/>
      <w:keepLines/>
      <w:adjustRightInd w:val="0"/>
      <w:spacing w:beforeLines="0" w:line="376" w:lineRule="atLeast"/>
      <w:outlineLvl w:val="4"/>
    </w:pPr>
    <w:rPr>
      <w:b/>
      <w:kern w:val="0"/>
      <w:sz w:val="28"/>
      <w:szCs w:val="20"/>
    </w:rPr>
  </w:style>
  <w:style w:type="paragraph" w:styleId="9">
    <w:name w:val="heading 6"/>
    <w:basedOn w:val="1"/>
    <w:next w:val="1"/>
    <w:link w:val="112"/>
    <w:semiHidden/>
    <w:unhideWhenUsed/>
    <w:qFormat/>
    <w:uiPriority w:val="9"/>
    <w:pPr>
      <w:keepNext/>
      <w:keepLines/>
      <w:adjustRightInd w:val="0"/>
      <w:spacing w:beforeLines="0" w:line="320" w:lineRule="atLeast"/>
      <w:outlineLvl w:val="5"/>
    </w:pPr>
    <w:rPr>
      <w:rFonts w:ascii="Arial" w:hAnsi="Arial" w:eastAsia="黑体"/>
      <w:b/>
      <w:kern w:val="0"/>
      <w:szCs w:val="20"/>
    </w:rPr>
  </w:style>
  <w:style w:type="paragraph" w:styleId="10">
    <w:name w:val="heading 7"/>
    <w:next w:val="1"/>
    <w:link w:val="87"/>
    <w:semiHidden/>
    <w:unhideWhenUsed/>
    <w:qFormat/>
    <w:uiPriority w:val="9"/>
    <w:pPr>
      <w:widowControl w:val="0"/>
      <w:ind w:firstLine="200" w:firstLineChars="200"/>
      <w:outlineLvl w:val="6"/>
    </w:pPr>
    <w:rPr>
      <w:rFonts w:ascii="黑体" w:hAnsi="Times New Roman" w:eastAsia="黑体" w:cs="Times New Roman"/>
      <w:bCs/>
      <w:sz w:val="28"/>
      <w:lang w:val="en-US" w:eastAsia="zh-CN" w:bidi="ar-SA"/>
    </w:rPr>
  </w:style>
  <w:style w:type="paragraph" w:styleId="11">
    <w:name w:val="heading 8"/>
    <w:basedOn w:val="1"/>
    <w:next w:val="1"/>
    <w:semiHidden/>
    <w:unhideWhenUsed/>
    <w:qFormat/>
    <w:uiPriority w:val="9"/>
    <w:pPr>
      <w:keepNext/>
      <w:keepLines/>
      <w:spacing w:beforeLines="0" w:line="320" w:lineRule="auto"/>
      <w:outlineLvl w:val="7"/>
    </w:pPr>
    <w:rPr>
      <w:rFonts w:ascii="Arial" w:hAnsi="Arial" w:eastAsia="黑体"/>
    </w:rPr>
  </w:style>
  <w:style w:type="paragraph" w:styleId="12">
    <w:name w:val="heading 9"/>
    <w:basedOn w:val="1"/>
    <w:next w:val="1"/>
    <w:link w:val="80"/>
    <w:semiHidden/>
    <w:unhideWhenUsed/>
    <w:qFormat/>
    <w:uiPriority w:val="9"/>
    <w:pPr>
      <w:keepNext/>
      <w:keepLines/>
      <w:spacing w:beforeLines="0" w:line="320" w:lineRule="auto"/>
      <w:outlineLvl w:val="8"/>
    </w:pPr>
    <w:rPr>
      <w:rFonts w:ascii="Arial" w:hAnsi="Arial" w:eastAsia="黑体"/>
      <w:sz w:val="21"/>
      <w:szCs w:val="21"/>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spacing w:beforeLines="50" w:after="120" w:line="360" w:lineRule="auto"/>
      <w:ind w:left="420" w:leftChars="200" w:firstLine="420" w:firstLineChars="200"/>
      <w:jc w:val="left"/>
    </w:pPr>
  </w:style>
  <w:style w:type="paragraph" w:styleId="3">
    <w:name w:val="Body Text Indent"/>
    <w:basedOn w:val="1"/>
    <w:link w:val="315"/>
    <w:semiHidden/>
    <w:unhideWhenUsed/>
    <w:qFormat/>
    <w:uiPriority w:val="99"/>
    <w:pPr>
      <w:spacing w:beforeLines="0" w:line="500" w:lineRule="exact"/>
      <w:ind w:firstLine="442"/>
      <w:jc w:val="both"/>
    </w:pPr>
  </w:style>
  <w:style w:type="paragraph" w:styleId="13">
    <w:name w:val="toc 7"/>
    <w:basedOn w:val="1"/>
    <w:next w:val="1"/>
    <w:semiHidden/>
    <w:unhideWhenUsed/>
    <w:qFormat/>
    <w:uiPriority w:val="39"/>
    <w:pPr>
      <w:spacing w:beforeLines="0" w:line="240" w:lineRule="auto"/>
      <w:ind w:left="2520" w:leftChars="1200"/>
      <w:jc w:val="both"/>
    </w:pPr>
    <w:rPr>
      <w:rFonts w:ascii="仿宋_GB2312" w:eastAsia="仿宋_GB2312"/>
      <w:sz w:val="28"/>
    </w:rPr>
  </w:style>
  <w:style w:type="paragraph" w:styleId="14">
    <w:name w:val="Normal Indent"/>
    <w:basedOn w:val="1"/>
    <w:link w:val="81"/>
    <w:semiHidden/>
    <w:unhideWhenUsed/>
    <w:qFormat/>
    <w:uiPriority w:val="99"/>
    <w:pPr>
      <w:spacing w:beforeLines="0" w:line="240" w:lineRule="auto"/>
      <w:ind w:firstLine="560" w:firstLineChars="200"/>
      <w:jc w:val="both"/>
    </w:pPr>
    <w:rPr>
      <w:rFonts w:ascii="仿宋_GB2312" w:eastAsia="仿宋_GB2312"/>
      <w:sz w:val="28"/>
      <w:szCs w:val="20"/>
    </w:rPr>
  </w:style>
  <w:style w:type="paragraph" w:styleId="15">
    <w:name w:val="caption"/>
    <w:basedOn w:val="1"/>
    <w:next w:val="1"/>
    <w:semiHidden/>
    <w:unhideWhenUsed/>
    <w:qFormat/>
    <w:uiPriority w:val="35"/>
    <w:pPr>
      <w:widowControl/>
      <w:spacing w:beforeLines="0" w:line="351" w:lineRule="atLeast"/>
      <w:ind w:firstLine="6287"/>
      <w:jc w:val="center"/>
      <w:textAlignment w:val="baseline"/>
    </w:pPr>
    <w:rPr>
      <w:b/>
      <w:bCs/>
      <w:color w:val="000080"/>
      <w:kern w:val="0"/>
      <w:sz w:val="28"/>
      <w:szCs w:val="20"/>
      <w:u w:color="000000"/>
    </w:rPr>
  </w:style>
  <w:style w:type="paragraph" w:styleId="16">
    <w:name w:val="List Bullet"/>
    <w:basedOn w:val="1"/>
    <w:semiHidden/>
    <w:unhideWhenUsed/>
    <w:qFormat/>
    <w:uiPriority w:val="99"/>
    <w:pPr>
      <w:tabs>
        <w:tab w:val="left" w:pos="1020"/>
        <w:tab w:val="center" w:pos="6360"/>
      </w:tabs>
      <w:adjustRightInd w:val="0"/>
      <w:spacing w:beforeLines="0" w:line="360" w:lineRule="exact"/>
      <w:ind w:left="1020" w:hanging="420"/>
      <w:jc w:val="center"/>
      <w:textAlignment w:val="baseline"/>
    </w:pPr>
    <w:rPr>
      <w:b/>
      <w:bCs/>
      <w:snapToGrid w:val="0"/>
      <w:kern w:val="0"/>
      <w:sz w:val="20"/>
      <w:szCs w:val="20"/>
    </w:rPr>
  </w:style>
  <w:style w:type="paragraph" w:styleId="17">
    <w:name w:val="Document Map"/>
    <w:basedOn w:val="1"/>
    <w:link w:val="263"/>
    <w:qFormat/>
    <w:uiPriority w:val="99"/>
    <w:pPr>
      <w:shd w:val="clear" w:color="auto" w:fill="000080"/>
    </w:pPr>
  </w:style>
  <w:style w:type="paragraph" w:styleId="18">
    <w:name w:val="annotation text"/>
    <w:basedOn w:val="1"/>
    <w:link w:val="264"/>
    <w:qFormat/>
    <w:uiPriority w:val="0"/>
    <w:pPr>
      <w:autoSpaceDE w:val="0"/>
      <w:autoSpaceDN w:val="0"/>
      <w:adjustRightInd w:val="0"/>
      <w:spacing w:beforeLines="0" w:line="240" w:lineRule="auto"/>
      <w:textAlignment w:val="baseline"/>
    </w:pPr>
    <w:rPr>
      <w:rFonts w:ascii="宋体" w:hAnsi="Plotter"/>
      <w:kern w:val="0"/>
      <w:sz w:val="34"/>
      <w:szCs w:val="20"/>
    </w:rPr>
  </w:style>
  <w:style w:type="paragraph" w:styleId="19">
    <w:name w:val="Body Text 3"/>
    <w:basedOn w:val="1"/>
    <w:semiHidden/>
    <w:unhideWhenUsed/>
    <w:qFormat/>
    <w:uiPriority w:val="99"/>
    <w:pPr>
      <w:spacing w:beforeLines="0"/>
      <w:jc w:val="center"/>
    </w:pPr>
    <w:rPr>
      <w:bCs/>
      <w:color w:val="000000"/>
      <w:szCs w:val="20"/>
    </w:rPr>
  </w:style>
  <w:style w:type="paragraph" w:styleId="20">
    <w:name w:val="Body Text"/>
    <w:basedOn w:val="1"/>
    <w:link w:val="259"/>
    <w:qFormat/>
    <w:uiPriority w:val="99"/>
    <w:pPr>
      <w:snapToGrid w:val="0"/>
      <w:spacing w:beforeLines="0" w:line="240" w:lineRule="auto"/>
      <w:jc w:val="center"/>
    </w:pPr>
    <w:rPr>
      <w:rFonts w:ascii="宋体" w:hAnsi="宋体"/>
      <w:sz w:val="21"/>
    </w:rPr>
  </w:style>
  <w:style w:type="paragraph" w:styleId="21">
    <w:name w:val="List 2"/>
    <w:basedOn w:val="1"/>
    <w:semiHidden/>
    <w:unhideWhenUsed/>
    <w:qFormat/>
    <w:uiPriority w:val="99"/>
    <w:pPr>
      <w:spacing w:beforeLines="0" w:line="360" w:lineRule="exact"/>
      <w:ind w:left="100" w:leftChars="200" w:hanging="200" w:hangingChars="200"/>
      <w:jc w:val="center"/>
    </w:pPr>
    <w:rPr>
      <w:rFonts w:ascii="宋体" w:hAnsi="宋体"/>
      <w:bCs/>
      <w:szCs w:val="21"/>
    </w:rPr>
  </w:style>
  <w:style w:type="paragraph" w:styleId="22">
    <w:name w:val="Block Text"/>
    <w:basedOn w:val="1"/>
    <w:semiHidden/>
    <w:unhideWhenUsed/>
    <w:qFormat/>
    <w:uiPriority w:val="99"/>
    <w:pPr>
      <w:autoSpaceDE w:val="0"/>
      <w:autoSpaceDN w:val="0"/>
      <w:adjustRightInd w:val="0"/>
      <w:spacing w:beforeLines="0" w:line="320" w:lineRule="exact"/>
      <w:ind w:left="79" w:right="79"/>
      <w:jc w:val="both"/>
      <w:textAlignment w:val="baseline"/>
    </w:pPr>
    <w:rPr>
      <w:rFonts w:ascii="MS Gothic" w:hAnsi="Century" w:eastAsia="MS Gothic"/>
      <w:color w:val="000000"/>
      <w:spacing w:val="-3"/>
      <w:kern w:val="0"/>
      <w:sz w:val="20"/>
      <w:szCs w:val="20"/>
      <w:lang w:eastAsia="ja-JP"/>
    </w:rPr>
  </w:style>
  <w:style w:type="paragraph" w:styleId="23">
    <w:name w:val="List Bullet 2"/>
    <w:basedOn w:val="1"/>
    <w:semiHidden/>
    <w:unhideWhenUsed/>
    <w:qFormat/>
    <w:uiPriority w:val="99"/>
    <w:pPr>
      <w:tabs>
        <w:tab w:val="left" w:pos="1020"/>
        <w:tab w:val="center" w:pos="6360"/>
      </w:tabs>
      <w:adjustRightInd w:val="0"/>
      <w:spacing w:beforeLines="0" w:line="360" w:lineRule="exact"/>
      <w:ind w:left="1020" w:hanging="420"/>
      <w:jc w:val="center"/>
      <w:textAlignment w:val="baseline"/>
    </w:pPr>
    <w:rPr>
      <w:b/>
      <w:bCs/>
      <w:snapToGrid w:val="0"/>
      <w:kern w:val="0"/>
      <w:sz w:val="20"/>
      <w:szCs w:val="20"/>
    </w:rPr>
  </w:style>
  <w:style w:type="paragraph" w:styleId="24">
    <w:name w:val="toc 5"/>
    <w:basedOn w:val="1"/>
    <w:next w:val="1"/>
    <w:semiHidden/>
    <w:unhideWhenUsed/>
    <w:qFormat/>
    <w:uiPriority w:val="39"/>
    <w:pPr>
      <w:spacing w:beforeLines="0" w:line="240" w:lineRule="auto"/>
      <w:ind w:left="1680" w:leftChars="800"/>
      <w:jc w:val="both"/>
    </w:pPr>
    <w:rPr>
      <w:sz w:val="21"/>
    </w:rPr>
  </w:style>
  <w:style w:type="paragraph" w:styleId="25">
    <w:name w:val="toc 3"/>
    <w:basedOn w:val="1"/>
    <w:next w:val="1"/>
    <w:semiHidden/>
    <w:unhideWhenUsed/>
    <w:qFormat/>
    <w:uiPriority w:val="39"/>
    <w:pPr>
      <w:spacing w:beforeLines="0" w:line="240" w:lineRule="auto"/>
      <w:ind w:left="420"/>
    </w:pPr>
    <w:rPr>
      <w:rFonts w:ascii="仿宋_GB2312" w:eastAsia="仿宋_GB2312"/>
      <w:iCs/>
      <w:szCs w:val="20"/>
    </w:rPr>
  </w:style>
  <w:style w:type="paragraph" w:styleId="26">
    <w:name w:val="Plain Text"/>
    <w:basedOn w:val="1"/>
    <w:link w:val="86"/>
    <w:qFormat/>
    <w:uiPriority w:val="0"/>
    <w:pPr>
      <w:spacing w:beforeLines="0" w:line="240" w:lineRule="auto"/>
      <w:jc w:val="both"/>
    </w:pPr>
    <w:rPr>
      <w:rFonts w:ascii="宋体" w:hAnsi="Courier New" w:cs="Courier New"/>
      <w:sz w:val="21"/>
      <w:szCs w:val="21"/>
    </w:rPr>
  </w:style>
  <w:style w:type="paragraph" w:styleId="27">
    <w:name w:val="toc 8"/>
    <w:basedOn w:val="1"/>
    <w:next w:val="1"/>
    <w:semiHidden/>
    <w:unhideWhenUsed/>
    <w:qFormat/>
    <w:uiPriority w:val="39"/>
    <w:pPr>
      <w:spacing w:beforeLines="0" w:line="240" w:lineRule="auto"/>
      <w:ind w:left="2940" w:leftChars="1400"/>
      <w:jc w:val="both"/>
    </w:pPr>
    <w:rPr>
      <w:sz w:val="21"/>
    </w:rPr>
  </w:style>
  <w:style w:type="paragraph" w:styleId="28">
    <w:name w:val="Date"/>
    <w:basedOn w:val="1"/>
    <w:next w:val="1"/>
    <w:semiHidden/>
    <w:unhideWhenUsed/>
    <w:qFormat/>
    <w:uiPriority w:val="99"/>
    <w:pPr>
      <w:spacing w:beforeLines="0" w:line="360" w:lineRule="atLeast"/>
      <w:jc w:val="both"/>
    </w:pPr>
    <w:rPr>
      <w:rFonts w:eastAsia="MS Mincho"/>
      <w:snapToGrid w:val="0"/>
      <w:lang w:eastAsia="ja-JP"/>
    </w:rPr>
  </w:style>
  <w:style w:type="paragraph" w:styleId="29">
    <w:name w:val="Body Text Indent 2"/>
    <w:basedOn w:val="1"/>
    <w:link w:val="99"/>
    <w:semiHidden/>
    <w:unhideWhenUsed/>
    <w:qFormat/>
    <w:uiPriority w:val="99"/>
    <w:pPr>
      <w:spacing w:beforeLines="0" w:line="240" w:lineRule="auto"/>
      <w:ind w:firstLine="560" w:firstLineChars="200"/>
      <w:jc w:val="both"/>
    </w:pPr>
    <w:rPr>
      <w:rFonts w:ascii="仿宋_GB2312" w:hAnsi="宋体" w:eastAsia="仿宋_GB2312"/>
      <w:sz w:val="28"/>
    </w:rPr>
  </w:style>
  <w:style w:type="paragraph" w:styleId="30">
    <w:name w:val="endnote text"/>
    <w:basedOn w:val="1"/>
    <w:link w:val="111"/>
    <w:semiHidden/>
    <w:unhideWhenUsed/>
    <w:qFormat/>
    <w:uiPriority w:val="99"/>
    <w:pPr>
      <w:adjustRightInd w:val="0"/>
      <w:snapToGrid w:val="0"/>
      <w:spacing w:beforeLines="0" w:line="360" w:lineRule="atLeast"/>
      <w:textAlignment w:val="baseline"/>
    </w:pPr>
    <w:rPr>
      <w:kern w:val="0"/>
      <w:szCs w:val="20"/>
    </w:rPr>
  </w:style>
  <w:style w:type="paragraph" w:styleId="31">
    <w:name w:val="Balloon Text"/>
    <w:basedOn w:val="1"/>
    <w:link w:val="262"/>
    <w:qFormat/>
    <w:uiPriority w:val="0"/>
    <w:rPr>
      <w:sz w:val="18"/>
      <w:szCs w:val="18"/>
    </w:rPr>
  </w:style>
  <w:style w:type="paragraph" w:styleId="32">
    <w:name w:val="footer"/>
    <w:basedOn w:val="1"/>
    <w:link w:val="79"/>
    <w:qFormat/>
    <w:uiPriority w:val="99"/>
    <w:pPr>
      <w:tabs>
        <w:tab w:val="center" w:pos="4153"/>
        <w:tab w:val="right" w:pos="8306"/>
      </w:tabs>
      <w:snapToGrid w:val="0"/>
    </w:pPr>
    <w:rPr>
      <w:sz w:val="18"/>
      <w:szCs w:val="18"/>
    </w:rPr>
  </w:style>
  <w:style w:type="paragraph" w:styleId="33">
    <w:name w:val="header"/>
    <w:basedOn w:val="1"/>
    <w:link w:val="261"/>
    <w:qFormat/>
    <w:uiPriority w:val="99"/>
    <w:pPr>
      <w:pBdr>
        <w:bottom w:val="single" w:color="auto" w:sz="6" w:space="1"/>
      </w:pBdr>
      <w:tabs>
        <w:tab w:val="center" w:pos="4153"/>
        <w:tab w:val="right" w:pos="8306"/>
      </w:tabs>
      <w:snapToGrid w:val="0"/>
      <w:jc w:val="center"/>
    </w:pPr>
    <w:rPr>
      <w:sz w:val="18"/>
      <w:szCs w:val="18"/>
    </w:rPr>
  </w:style>
  <w:style w:type="paragraph" w:styleId="34">
    <w:name w:val="toc 1"/>
    <w:next w:val="1"/>
    <w:semiHidden/>
    <w:unhideWhenUsed/>
    <w:qFormat/>
    <w:uiPriority w:val="39"/>
    <w:pPr>
      <w:widowControl w:val="0"/>
      <w:spacing w:line="360" w:lineRule="auto"/>
      <w:jc w:val="both"/>
    </w:pPr>
    <w:rPr>
      <w:rFonts w:ascii="仿宋_GB2312" w:hAnsi="Times New Roman" w:eastAsia="宋体" w:cs="Times New Roman"/>
      <w:b/>
      <w:kern w:val="2"/>
      <w:sz w:val="24"/>
      <w:lang w:val="en-US" w:eastAsia="zh-CN" w:bidi="ar-SA"/>
    </w:rPr>
  </w:style>
  <w:style w:type="paragraph" w:styleId="35">
    <w:name w:val="toc 4"/>
    <w:basedOn w:val="1"/>
    <w:next w:val="1"/>
    <w:semiHidden/>
    <w:unhideWhenUsed/>
    <w:qFormat/>
    <w:uiPriority w:val="39"/>
    <w:pPr>
      <w:spacing w:beforeLines="0" w:line="240" w:lineRule="auto"/>
      <w:ind w:left="1260" w:leftChars="600"/>
      <w:jc w:val="both"/>
    </w:pPr>
    <w:rPr>
      <w:rFonts w:ascii="仿宋_GB2312" w:eastAsia="仿宋_GB2312"/>
      <w:sz w:val="28"/>
    </w:rPr>
  </w:style>
  <w:style w:type="paragraph" w:styleId="36">
    <w:name w:val="List"/>
    <w:basedOn w:val="1"/>
    <w:semiHidden/>
    <w:unhideWhenUsed/>
    <w:qFormat/>
    <w:uiPriority w:val="99"/>
    <w:pPr>
      <w:suppressAutoHyphens/>
      <w:adjustRightInd w:val="0"/>
      <w:spacing w:beforeLines="0" w:line="240" w:lineRule="auto"/>
      <w:jc w:val="center"/>
    </w:pPr>
    <w:rPr>
      <w:kern w:val="0"/>
      <w:sz w:val="21"/>
      <w:szCs w:val="20"/>
    </w:rPr>
  </w:style>
  <w:style w:type="paragraph" w:styleId="37">
    <w:name w:val="footnote text"/>
    <w:basedOn w:val="1"/>
    <w:link w:val="267"/>
    <w:qFormat/>
    <w:uiPriority w:val="0"/>
    <w:pPr>
      <w:snapToGrid w:val="0"/>
      <w:spacing w:beforeLines="0" w:line="240" w:lineRule="auto"/>
    </w:pPr>
    <w:rPr>
      <w:rFonts w:asciiTheme="minorHAnsi" w:hAnsiTheme="minorHAnsi" w:eastAsiaTheme="minorEastAsia" w:cstheme="minorBidi"/>
      <w:sz w:val="18"/>
    </w:rPr>
  </w:style>
  <w:style w:type="paragraph" w:styleId="38">
    <w:name w:val="toc 6"/>
    <w:basedOn w:val="1"/>
    <w:next w:val="1"/>
    <w:semiHidden/>
    <w:unhideWhenUsed/>
    <w:qFormat/>
    <w:uiPriority w:val="39"/>
    <w:pPr>
      <w:spacing w:beforeLines="0" w:line="240" w:lineRule="auto"/>
      <w:ind w:left="2100" w:leftChars="1000"/>
      <w:jc w:val="both"/>
    </w:pPr>
    <w:rPr>
      <w:sz w:val="21"/>
    </w:rPr>
  </w:style>
  <w:style w:type="paragraph" w:styleId="39">
    <w:name w:val="Body Text Indent 3"/>
    <w:basedOn w:val="1"/>
    <w:semiHidden/>
    <w:unhideWhenUsed/>
    <w:qFormat/>
    <w:uiPriority w:val="99"/>
    <w:pPr>
      <w:ind w:left="420" w:leftChars="200"/>
    </w:pPr>
    <w:rPr>
      <w:sz w:val="16"/>
      <w:szCs w:val="16"/>
    </w:rPr>
  </w:style>
  <w:style w:type="paragraph" w:styleId="40">
    <w:name w:val="table of figures"/>
    <w:basedOn w:val="1"/>
    <w:next w:val="1"/>
    <w:semiHidden/>
    <w:unhideWhenUsed/>
    <w:qFormat/>
    <w:uiPriority w:val="99"/>
    <w:pPr>
      <w:autoSpaceDE w:val="0"/>
      <w:autoSpaceDN w:val="0"/>
      <w:adjustRightInd w:val="0"/>
      <w:spacing w:beforeLines="0" w:line="240" w:lineRule="auto"/>
      <w:ind w:left="680" w:hanging="680"/>
      <w:textAlignment w:val="baseline"/>
    </w:pPr>
    <w:rPr>
      <w:smallCaps/>
      <w:kern w:val="0"/>
      <w:sz w:val="20"/>
      <w:szCs w:val="20"/>
    </w:rPr>
  </w:style>
  <w:style w:type="paragraph" w:styleId="41">
    <w:name w:val="toc 2"/>
    <w:basedOn w:val="1"/>
    <w:next w:val="1"/>
    <w:semiHidden/>
    <w:unhideWhenUsed/>
    <w:qFormat/>
    <w:uiPriority w:val="39"/>
    <w:pPr>
      <w:tabs>
        <w:tab w:val="left" w:pos="1020"/>
        <w:tab w:val="right" w:leader="dot" w:pos="8302"/>
      </w:tabs>
      <w:spacing w:beforeLines="0"/>
      <w:ind w:left="960" w:leftChars="225" w:hanging="420" w:hangingChars="175"/>
    </w:pPr>
    <w:rPr>
      <w:bCs/>
      <w:smallCaps/>
      <w:szCs w:val="21"/>
    </w:rPr>
  </w:style>
  <w:style w:type="paragraph" w:styleId="42">
    <w:name w:val="toc 9"/>
    <w:basedOn w:val="1"/>
    <w:next w:val="1"/>
    <w:semiHidden/>
    <w:unhideWhenUsed/>
    <w:qFormat/>
    <w:uiPriority w:val="39"/>
    <w:pPr>
      <w:spacing w:beforeLines="0" w:line="240" w:lineRule="auto"/>
      <w:ind w:left="3360" w:leftChars="1600"/>
      <w:jc w:val="both"/>
    </w:pPr>
    <w:rPr>
      <w:sz w:val="21"/>
    </w:rPr>
  </w:style>
  <w:style w:type="paragraph" w:styleId="43">
    <w:name w:val="Body Text 2"/>
    <w:basedOn w:val="1"/>
    <w:semiHidden/>
    <w:unhideWhenUsed/>
    <w:qFormat/>
    <w:uiPriority w:val="99"/>
    <w:pPr>
      <w:spacing w:beforeLines="0" w:line="200" w:lineRule="exact"/>
      <w:jc w:val="both"/>
    </w:pPr>
    <w:rPr>
      <w:rFonts w:eastAsia="MS Mincho"/>
      <w:sz w:val="20"/>
      <w:lang w:eastAsia="ja-JP"/>
    </w:rPr>
  </w:style>
  <w:style w:type="paragraph" w:styleId="44">
    <w:name w:val="Message Header"/>
    <w:basedOn w:val="1"/>
    <w:semiHidden/>
    <w:unhideWhenUsed/>
    <w:qFormat/>
    <w:uiPriority w:val="99"/>
    <w:pPr>
      <w:pBdr>
        <w:top w:val="single" w:color="auto" w:sz="6" w:space="1"/>
        <w:left w:val="single" w:color="auto" w:sz="6" w:space="1"/>
        <w:bottom w:val="single" w:color="auto" w:sz="6" w:space="1"/>
        <w:right w:val="single" w:color="auto" w:sz="6" w:space="1"/>
      </w:pBdr>
      <w:shd w:val="pct20" w:color="auto" w:fill="auto"/>
      <w:spacing w:beforeLines="0" w:line="240" w:lineRule="auto"/>
      <w:ind w:left="1080" w:leftChars="500" w:hanging="1080" w:hangingChars="500"/>
      <w:jc w:val="both"/>
    </w:pPr>
    <w:rPr>
      <w:rFonts w:ascii="Arial" w:hAnsi="Arial" w:cs="Arial"/>
    </w:rPr>
  </w:style>
  <w:style w:type="paragraph" w:styleId="45">
    <w:name w:val="HTML Preformatted"/>
    <w:basedOn w:val="1"/>
    <w:link w:val="248"/>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0" w:line="360" w:lineRule="exact"/>
    </w:pPr>
    <w:rPr>
      <w:rFonts w:ascii="宋体" w:hAnsi="宋体" w:cs="宋体"/>
      <w:bCs/>
      <w:kern w:val="0"/>
      <w:szCs w:val="21"/>
    </w:rPr>
  </w:style>
  <w:style w:type="paragraph" w:styleId="46">
    <w:name w:val="Normal (Web)"/>
    <w:basedOn w:val="1"/>
    <w:unhideWhenUsed/>
    <w:qFormat/>
    <w:uiPriority w:val="99"/>
    <w:pPr>
      <w:widowControl/>
      <w:tabs>
        <w:tab w:val="left" w:pos="1020"/>
      </w:tabs>
      <w:spacing w:beforeLines="0" w:beforeAutospacing="1" w:afterAutospacing="1" w:line="360" w:lineRule="exact"/>
    </w:pPr>
    <w:rPr>
      <w:rFonts w:ascii="宋体" w:hAnsi="宋体"/>
      <w:bCs/>
      <w:kern w:val="0"/>
      <w:szCs w:val="21"/>
    </w:rPr>
  </w:style>
  <w:style w:type="paragraph" w:styleId="47">
    <w:name w:val="index 1"/>
    <w:basedOn w:val="1"/>
    <w:next w:val="1"/>
    <w:semiHidden/>
    <w:unhideWhenUsed/>
    <w:qFormat/>
    <w:uiPriority w:val="99"/>
    <w:pPr>
      <w:spacing w:beforeLines="0" w:line="240" w:lineRule="auto"/>
      <w:jc w:val="center"/>
    </w:pPr>
    <w:rPr>
      <w:rFonts w:ascii="宋体" w:hAnsi="宋体"/>
      <w:sz w:val="28"/>
    </w:rPr>
  </w:style>
  <w:style w:type="paragraph" w:styleId="48">
    <w:name w:val="Title"/>
    <w:basedOn w:val="1"/>
    <w:next w:val="1"/>
    <w:qFormat/>
    <w:uiPriority w:val="10"/>
    <w:pPr>
      <w:autoSpaceDE w:val="0"/>
      <w:autoSpaceDN w:val="0"/>
      <w:adjustRightInd w:val="0"/>
      <w:spacing w:beforeLines="0" w:line="240" w:lineRule="auto"/>
      <w:jc w:val="center"/>
      <w:textAlignment w:val="baseline"/>
      <w:outlineLvl w:val="0"/>
    </w:pPr>
    <w:rPr>
      <w:rFonts w:ascii="Arial" w:hAnsi="Arial"/>
      <w:b/>
      <w:kern w:val="0"/>
      <w:sz w:val="32"/>
      <w:szCs w:val="20"/>
    </w:rPr>
  </w:style>
  <w:style w:type="paragraph" w:styleId="49">
    <w:name w:val="annotation subject"/>
    <w:basedOn w:val="18"/>
    <w:next w:val="18"/>
    <w:link w:val="266"/>
    <w:unhideWhenUsed/>
    <w:qFormat/>
    <w:uiPriority w:val="0"/>
    <w:pPr>
      <w:autoSpaceDE/>
      <w:autoSpaceDN/>
      <w:adjustRightInd/>
      <w:textAlignment w:val="auto"/>
    </w:pPr>
    <w:rPr>
      <w:rFonts w:ascii="Times New Roman" w:hAnsi="Times New Roman"/>
      <w:b/>
      <w:bCs/>
      <w:kern w:val="2"/>
      <w:sz w:val="21"/>
    </w:rPr>
  </w:style>
  <w:style w:type="paragraph" w:styleId="50">
    <w:name w:val="Body Text First Indent"/>
    <w:basedOn w:val="20"/>
    <w:link w:val="260"/>
    <w:qFormat/>
    <w:uiPriority w:val="0"/>
    <w:pPr>
      <w:snapToGrid/>
      <w:ind w:firstLine="420" w:firstLineChars="100"/>
      <w:jc w:val="both"/>
    </w:pPr>
    <w:rPr>
      <w:rFonts w:ascii="Times New Roman" w:hAnsi="Times New Roman"/>
      <w:szCs w:val="20"/>
    </w:rPr>
  </w:style>
  <w:style w:type="table" w:styleId="52">
    <w:name w:val="Table Grid"/>
    <w:basedOn w:val="51"/>
    <w:qFormat/>
    <w:uiPriority w:val="59"/>
    <w:pPr>
      <w:widowControl w:val="0"/>
      <w:numPr>
        <w:numId w:val="1"/>
      </w:numPr>
      <w:tabs>
        <w:tab w:val="left" w:pos="360"/>
        <w:tab w:val="left" w:pos="851"/>
      </w:tabs>
      <w:ind w:left="851" w:hanging="851"/>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0"/>
    <w:rPr>
      <w:b/>
      <w:bCs/>
    </w:rPr>
  </w:style>
  <w:style w:type="character" w:styleId="55">
    <w:name w:val="endnote reference"/>
    <w:semiHidden/>
    <w:unhideWhenUsed/>
    <w:qFormat/>
    <w:uiPriority w:val="99"/>
    <w:rPr>
      <w:vertAlign w:val="superscript"/>
    </w:rPr>
  </w:style>
  <w:style w:type="character" w:styleId="56">
    <w:name w:val="page number"/>
    <w:basedOn w:val="53"/>
    <w:semiHidden/>
    <w:unhideWhenUsed/>
    <w:qFormat/>
    <w:uiPriority w:val="99"/>
  </w:style>
  <w:style w:type="character" w:styleId="57">
    <w:name w:val="FollowedHyperlink"/>
    <w:basedOn w:val="53"/>
    <w:qFormat/>
    <w:uiPriority w:val="0"/>
    <w:rPr>
      <w:color w:val="800080"/>
      <w:u w:val="single"/>
    </w:rPr>
  </w:style>
  <w:style w:type="character" w:styleId="58">
    <w:name w:val="HTML Definition"/>
    <w:basedOn w:val="53"/>
    <w:qFormat/>
    <w:uiPriority w:val="0"/>
    <w:rPr>
      <w:rFonts w:ascii="Times New Roman" w:hAnsi="Times New Roman" w:eastAsia="宋体" w:cs="Times New Roman"/>
    </w:rPr>
  </w:style>
  <w:style w:type="character" w:styleId="59">
    <w:name w:val="HTML Variable"/>
    <w:basedOn w:val="53"/>
    <w:qFormat/>
    <w:uiPriority w:val="0"/>
    <w:rPr>
      <w:rFonts w:ascii="Times New Roman" w:hAnsi="Times New Roman" w:eastAsia="宋体" w:cs="Times New Roman"/>
    </w:rPr>
  </w:style>
  <w:style w:type="character" w:styleId="60">
    <w:name w:val="Hyperlink"/>
    <w:basedOn w:val="53"/>
    <w:qFormat/>
    <w:uiPriority w:val="0"/>
    <w:rPr>
      <w:color w:val="261CDC"/>
      <w:u w:val="single"/>
    </w:rPr>
  </w:style>
  <w:style w:type="character" w:styleId="61">
    <w:name w:val="HTML Code"/>
    <w:basedOn w:val="53"/>
    <w:qFormat/>
    <w:uiPriority w:val="0"/>
    <w:rPr>
      <w:rFonts w:ascii="微软雅黑" w:hAnsi="微软雅黑" w:eastAsia="微软雅黑" w:cs="微软雅黑"/>
      <w:sz w:val="20"/>
    </w:rPr>
  </w:style>
  <w:style w:type="character" w:styleId="62">
    <w:name w:val="annotation reference"/>
    <w:basedOn w:val="53"/>
    <w:qFormat/>
    <w:uiPriority w:val="0"/>
    <w:rPr>
      <w:sz w:val="21"/>
    </w:rPr>
  </w:style>
  <w:style w:type="character" w:styleId="63">
    <w:name w:val="HTML Cite"/>
    <w:basedOn w:val="53"/>
    <w:qFormat/>
    <w:uiPriority w:val="0"/>
    <w:rPr>
      <w:rFonts w:ascii="Times New Roman" w:hAnsi="Times New Roman" w:eastAsia="宋体" w:cs="Times New Roman"/>
    </w:rPr>
  </w:style>
  <w:style w:type="character" w:styleId="64">
    <w:name w:val="footnote reference"/>
    <w:basedOn w:val="53"/>
    <w:qFormat/>
    <w:uiPriority w:val="0"/>
    <w:rPr>
      <w:rFonts w:ascii="Times New Roman" w:hAnsi="Times New Roman" w:eastAsia="宋体" w:cs="Times New Roman"/>
      <w:vertAlign w:val="superscript"/>
    </w:rPr>
  </w:style>
  <w:style w:type="character" w:customStyle="1" w:styleId="65">
    <w:name w:val="para"/>
    <w:basedOn w:val="53"/>
    <w:qFormat/>
    <w:uiPriority w:val="0"/>
  </w:style>
  <w:style w:type="character" w:customStyle="1" w:styleId="66">
    <w:name w:val="cucd-TB-Head Char Char"/>
    <w:link w:val="67"/>
    <w:qFormat/>
    <w:uiPriority w:val="0"/>
    <w:rPr>
      <w:rFonts w:eastAsia="黑体"/>
      <w:kern w:val="2"/>
      <w:sz w:val="24"/>
      <w:szCs w:val="24"/>
      <w:lang w:val="en-US" w:eastAsia="zh-CN" w:bidi="ar-SA"/>
    </w:rPr>
  </w:style>
  <w:style w:type="paragraph" w:customStyle="1" w:styleId="67">
    <w:name w:val="cucd-TB-Head"/>
    <w:basedOn w:val="1"/>
    <w:next w:val="68"/>
    <w:link w:val="66"/>
    <w:qFormat/>
    <w:uiPriority w:val="0"/>
    <w:pPr>
      <w:jc w:val="center"/>
    </w:pPr>
    <w:rPr>
      <w:rFonts w:eastAsia="黑体"/>
    </w:rPr>
  </w:style>
  <w:style w:type="paragraph" w:customStyle="1" w:styleId="68">
    <w:name w:val="cucd-0"/>
    <w:link w:val="84"/>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69">
    <w:name w:val="3号宋体居中行距2倍 Char Char"/>
    <w:qFormat/>
    <w:uiPriority w:val="0"/>
    <w:rPr>
      <w:rFonts w:ascii="Arial" w:hAnsi="Arial" w:eastAsia="黑体"/>
      <w:b/>
      <w:bCs/>
      <w:kern w:val="2"/>
      <w:sz w:val="32"/>
      <w:szCs w:val="32"/>
      <w:lang w:val="en-US" w:eastAsia="zh-CN" w:bidi="ar-SA"/>
    </w:rPr>
  </w:style>
  <w:style w:type="character" w:customStyle="1" w:styleId="70">
    <w:name w:val="4号宋体左齐行距1.5倍 Char Char"/>
    <w:qFormat/>
    <w:uiPriority w:val="0"/>
    <w:rPr>
      <w:rFonts w:eastAsia="宋体"/>
      <w:b/>
      <w:bCs/>
      <w:kern w:val="2"/>
      <w:sz w:val="32"/>
      <w:szCs w:val="32"/>
      <w:lang w:val="en-US" w:eastAsia="zh-CN" w:bidi="ar-SA"/>
    </w:rPr>
  </w:style>
  <w:style w:type="character" w:customStyle="1" w:styleId="71">
    <w:name w:val="正文文字 Char Char"/>
    <w:link w:val="72"/>
    <w:qFormat/>
    <w:uiPriority w:val="0"/>
    <w:rPr>
      <w:rFonts w:ascii="Arial" w:hAnsi="Arial" w:eastAsia="仿宋_GB2312" w:cs="Arial"/>
      <w:bCs/>
      <w:sz w:val="24"/>
      <w:szCs w:val="24"/>
      <w:lang w:val="de-DE" w:eastAsia="zh-CN" w:bidi="ar-SA"/>
    </w:rPr>
  </w:style>
  <w:style w:type="paragraph" w:customStyle="1" w:styleId="72">
    <w:name w:val="正文文字"/>
    <w:basedOn w:val="1"/>
    <w:link w:val="71"/>
    <w:qFormat/>
    <w:uiPriority w:val="0"/>
    <w:pPr>
      <w:snapToGrid w:val="0"/>
      <w:spacing w:beforeLines="0" w:line="312" w:lineRule="auto"/>
      <w:ind w:firstLine="480" w:firstLineChars="200"/>
      <w:jc w:val="both"/>
    </w:pPr>
    <w:rPr>
      <w:rFonts w:ascii="Arial" w:hAnsi="Arial" w:eastAsia="仿宋_GB2312" w:cs="Arial"/>
      <w:bCs/>
      <w:kern w:val="0"/>
      <w:lang w:val="de-DE"/>
    </w:rPr>
  </w:style>
  <w:style w:type="character" w:customStyle="1" w:styleId="73">
    <w:name w:val="cucd-1 Char Char"/>
    <w:link w:val="74"/>
    <w:qFormat/>
    <w:uiPriority w:val="0"/>
    <w:rPr>
      <w:rFonts w:hAnsi="宋体" w:eastAsia="黑体"/>
      <w:b/>
      <w:color w:val="000000"/>
      <w:kern w:val="2"/>
      <w:sz w:val="30"/>
      <w:szCs w:val="30"/>
    </w:rPr>
  </w:style>
  <w:style w:type="paragraph" w:customStyle="1" w:styleId="74">
    <w:name w:val="cucd-1"/>
    <w:next w:val="75"/>
    <w:link w:val="73"/>
    <w:qFormat/>
    <w:uiPriority w:val="0"/>
    <w:pPr>
      <w:pageBreakBefore/>
      <w:numPr>
        <w:ilvl w:val="0"/>
        <w:numId w:val="1"/>
      </w:numPr>
      <w:tabs>
        <w:tab w:val="left" w:pos="425"/>
      </w:tabs>
      <w:spacing w:beforeLines="100" w:afterLines="50" w:line="360" w:lineRule="auto"/>
      <w:jc w:val="center"/>
      <w:outlineLvl w:val="0"/>
    </w:pPr>
    <w:rPr>
      <w:rFonts w:ascii="Times New Roman" w:hAnsi="宋体" w:eastAsia="黑体" w:cs="Times New Roman"/>
      <w:b/>
      <w:color w:val="000000"/>
      <w:kern w:val="2"/>
      <w:sz w:val="30"/>
      <w:szCs w:val="30"/>
      <w:lang w:val="en-US" w:eastAsia="zh-CN" w:bidi="ar-SA"/>
    </w:rPr>
  </w:style>
  <w:style w:type="paragraph" w:customStyle="1" w:styleId="75">
    <w:name w:val="cucd-2"/>
    <w:next w:val="76"/>
    <w:link w:val="109"/>
    <w:qFormat/>
    <w:uiPriority w:val="0"/>
    <w:pPr>
      <w:numPr>
        <w:ilvl w:val="1"/>
        <w:numId w:val="1"/>
      </w:numPr>
      <w:tabs>
        <w:tab w:val="left" w:pos="720"/>
      </w:tabs>
      <w:spacing w:line="360" w:lineRule="auto"/>
      <w:outlineLvl w:val="1"/>
    </w:pPr>
    <w:rPr>
      <w:rFonts w:ascii="宋体" w:hAnsi="宋体" w:eastAsia="宋体" w:cs="Times New Roman"/>
      <w:b/>
      <w:bCs/>
      <w:color w:val="000000"/>
      <w:kern w:val="2"/>
      <w:sz w:val="24"/>
      <w:szCs w:val="24"/>
      <w:lang w:val="en-US" w:eastAsia="zh-CN" w:bidi="ar-SA"/>
    </w:rPr>
  </w:style>
  <w:style w:type="paragraph" w:customStyle="1" w:styleId="76">
    <w:name w:val="cucd-3"/>
    <w:next w:val="77"/>
    <w:link w:val="83"/>
    <w:qFormat/>
    <w:uiPriority w:val="0"/>
    <w:pPr>
      <w:widowControl w:val="0"/>
      <w:numPr>
        <w:ilvl w:val="2"/>
        <w:numId w:val="1"/>
      </w:numPr>
      <w:tabs>
        <w:tab w:val="left" w:pos="720"/>
      </w:tabs>
      <w:spacing w:line="360" w:lineRule="auto"/>
      <w:outlineLvl w:val="2"/>
    </w:pPr>
    <w:rPr>
      <w:rFonts w:ascii="宋体" w:hAnsi="宋体" w:eastAsia="宋体" w:cs="Times New Roman"/>
      <w:color w:val="000000"/>
      <w:kern w:val="2"/>
      <w:sz w:val="24"/>
      <w:szCs w:val="24"/>
      <w:lang w:val="en-US" w:eastAsia="zh-CN" w:bidi="ar-SA"/>
    </w:rPr>
  </w:style>
  <w:style w:type="paragraph" w:customStyle="1" w:styleId="77">
    <w:name w:val="cucd-4"/>
    <w:next w:val="68"/>
    <w:link w:val="108"/>
    <w:qFormat/>
    <w:uiPriority w:val="0"/>
    <w:pPr>
      <w:numPr>
        <w:ilvl w:val="3"/>
        <w:numId w:val="1"/>
      </w:numPr>
      <w:tabs>
        <w:tab w:val="left" w:pos="1200"/>
      </w:tabs>
      <w:spacing w:line="360" w:lineRule="auto"/>
      <w:outlineLvl w:val="3"/>
    </w:pPr>
    <w:rPr>
      <w:rFonts w:ascii="Times New Roman" w:hAnsi="Times New Roman" w:eastAsia="宋体" w:cs="Times New Roman"/>
      <w:kern w:val="2"/>
      <w:sz w:val="24"/>
      <w:szCs w:val="24"/>
      <w:lang w:val="en-US" w:eastAsia="zh-CN" w:bidi="ar-SA"/>
    </w:rPr>
  </w:style>
  <w:style w:type="character" w:customStyle="1" w:styleId="78">
    <w:name w:val="p11"/>
    <w:qFormat/>
    <w:uiPriority w:val="0"/>
    <w:rPr>
      <w:spacing w:val="280"/>
      <w:sz w:val="18"/>
      <w:szCs w:val="18"/>
    </w:rPr>
  </w:style>
  <w:style w:type="character" w:customStyle="1" w:styleId="79">
    <w:name w:val="页脚 字符"/>
    <w:basedOn w:val="53"/>
    <w:link w:val="32"/>
    <w:qFormat/>
    <w:uiPriority w:val="0"/>
    <w:rPr>
      <w:rFonts w:eastAsia="宋体"/>
      <w:kern w:val="2"/>
      <w:sz w:val="18"/>
      <w:szCs w:val="18"/>
      <w:lang w:val="en-US" w:eastAsia="zh-CN" w:bidi="ar-SA"/>
    </w:rPr>
  </w:style>
  <w:style w:type="character" w:customStyle="1" w:styleId="80">
    <w:name w:val="标题 9 字符"/>
    <w:link w:val="12"/>
    <w:qFormat/>
    <w:uiPriority w:val="0"/>
    <w:rPr>
      <w:rFonts w:ascii="Arial" w:hAnsi="Arial" w:eastAsia="黑体"/>
      <w:kern w:val="2"/>
      <w:sz w:val="21"/>
      <w:szCs w:val="21"/>
      <w:lang w:val="en-US" w:eastAsia="zh-CN" w:bidi="ar-SA"/>
    </w:rPr>
  </w:style>
  <w:style w:type="character" w:customStyle="1" w:styleId="81">
    <w:name w:val="正文缩进 字符"/>
    <w:link w:val="14"/>
    <w:qFormat/>
    <w:uiPriority w:val="0"/>
    <w:rPr>
      <w:rFonts w:ascii="仿宋_GB2312" w:eastAsia="仿宋_GB2312"/>
      <w:kern w:val="2"/>
      <w:sz w:val="28"/>
      <w:lang w:val="en-US" w:eastAsia="zh-CN" w:bidi="ar-SA"/>
    </w:rPr>
  </w:style>
  <w:style w:type="character" w:customStyle="1" w:styleId="82">
    <w:name w:val="cucd-4 Char Char"/>
    <w:qFormat/>
    <w:uiPriority w:val="0"/>
    <w:rPr>
      <w:b/>
      <w:kern w:val="2"/>
      <w:sz w:val="24"/>
      <w:szCs w:val="24"/>
      <w:lang w:val="en-US" w:eastAsia="zh-CN" w:bidi="ar-SA"/>
    </w:rPr>
  </w:style>
  <w:style w:type="character" w:customStyle="1" w:styleId="83">
    <w:name w:val="cucd-3 Char Char1"/>
    <w:link w:val="76"/>
    <w:qFormat/>
    <w:uiPriority w:val="0"/>
    <w:rPr>
      <w:rFonts w:ascii="宋体" w:hAnsi="宋体"/>
      <w:color w:val="000000"/>
      <w:kern w:val="2"/>
      <w:sz w:val="24"/>
      <w:szCs w:val="24"/>
    </w:rPr>
  </w:style>
  <w:style w:type="character" w:customStyle="1" w:styleId="84">
    <w:name w:val="cucd-0 Char Char"/>
    <w:link w:val="68"/>
    <w:qFormat/>
    <w:uiPriority w:val="0"/>
    <w:rPr>
      <w:kern w:val="2"/>
      <w:sz w:val="24"/>
      <w:szCs w:val="24"/>
      <w:lang w:val="en-US" w:eastAsia="zh-CN" w:bidi="ar-SA"/>
    </w:rPr>
  </w:style>
  <w:style w:type="character" w:customStyle="1" w:styleId="85">
    <w:name w:val="标题 3 字符"/>
    <w:basedOn w:val="53"/>
    <w:link w:val="6"/>
    <w:qFormat/>
    <w:uiPriority w:val="0"/>
    <w:rPr>
      <w:rFonts w:eastAsia="宋体"/>
      <w:b/>
      <w:bCs/>
      <w:kern w:val="2"/>
      <w:sz w:val="32"/>
      <w:szCs w:val="32"/>
      <w:lang w:val="en-US" w:eastAsia="zh-CN" w:bidi="ar-SA"/>
    </w:rPr>
  </w:style>
  <w:style w:type="character" w:customStyle="1" w:styleId="86">
    <w:name w:val="纯文本 字符"/>
    <w:basedOn w:val="53"/>
    <w:link w:val="26"/>
    <w:qFormat/>
    <w:uiPriority w:val="0"/>
    <w:rPr>
      <w:rFonts w:ascii="宋体" w:hAnsi="Courier New" w:eastAsia="宋体" w:cs="Courier New"/>
      <w:kern w:val="2"/>
      <w:sz w:val="21"/>
      <w:szCs w:val="21"/>
      <w:lang w:val="en-US" w:eastAsia="zh-CN" w:bidi="ar-SA"/>
    </w:rPr>
  </w:style>
  <w:style w:type="character" w:customStyle="1" w:styleId="87">
    <w:name w:val="标题 7 字符"/>
    <w:link w:val="10"/>
    <w:qFormat/>
    <w:uiPriority w:val="0"/>
    <w:rPr>
      <w:rFonts w:ascii="黑体" w:eastAsia="黑体"/>
      <w:bCs/>
      <w:sz w:val="28"/>
      <w:lang w:val="en-US" w:eastAsia="zh-CN" w:bidi="ar-SA"/>
    </w:rPr>
  </w:style>
  <w:style w:type="character" w:customStyle="1" w:styleId="88">
    <w:name w:val="5号宋体居中 Char Char"/>
    <w:qFormat/>
    <w:uiPriority w:val="0"/>
    <w:rPr>
      <w:rFonts w:ascii="Arial" w:hAnsi="Arial" w:eastAsia="黑体"/>
      <w:kern w:val="2"/>
      <w:sz w:val="21"/>
      <w:szCs w:val="21"/>
      <w:lang w:val="en-US" w:eastAsia="zh-CN" w:bidi="ar-SA"/>
    </w:rPr>
  </w:style>
  <w:style w:type="character" w:customStyle="1" w:styleId="89">
    <w:name w:val="Char Char2"/>
    <w:qFormat/>
    <w:uiPriority w:val="0"/>
    <w:rPr>
      <w:kern w:val="2"/>
      <w:sz w:val="18"/>
      <w:szCs w:val="18"/>
    </w:rPr>
  </w:style>
  <w:style w:type="character" w:customStyle="1" w:styleId="90">
    <w:name w:val="cucd-TB Char Char"/>
    <w:link w:val="91"/>
    <w:qFormat/>
    <w:uiPriority w:val="0"/>
    <w:rPr>
      <w:kern w:val="2"/>
      <w:sz w:val="21"/>
      <w:szCs w:val="24"/>
      <w:lang w:val="en-US" w:eastAsia="zh-CN" w:bidi="ar-SA"/>
    </w:rPr>
  </w:style>
  <w:style w:type="paragraph" w:customStyle="1" w:styleId="91">
    <w:name w:val="cucd-TB"/>
    <w:link w:val="90"/>
    <w:qFormat/>
    <w:uiPriority w:val="0"/>
    <w:pPr>
      <w:spacing w:line="360" w:lineRule="auto"/>
      <w:jc w:val="center"/>
    </w:pPr>
    <w:rPr>
      <w:rFonts w:ascii="Times New Roman" w:hAnsi="Times New Roman" w:eastAsia="宋体" w:cs="Times New Roman"/>
      <w:kern w:val="2"/>
      <w:sz w:val="21"/>
      <w:szCs w:val="24"/>
      <w:lang w:val="en-US" w:eastAsia="zh-CN" w:bidi="ar-SA"/>
    </w:rPr>
  </w:style>
  <w:style w:type="character" w:customStyle="1" w:styleId="92">
    <w:name w:val="标题 1 字符"/>
    <w:link w:val="4"/>
    <w:qFormat/>
    <w:uiPriority w:val="0"/>
    <w:rPr>
      <w:rFonts w:ascii="宋体" w:eastAsia="宋体"/>
      <w:bCs/>
      <w:kern w:val="44"/>
      <w:sz w:val="36"/>
      <w:szCs w:val="44"/>
      <w:lang w:val="en-US" w:eastAsia="zh-CN" w:bidi="ar-SA"/>
    </w:rPr>
  </w:style>
  <w:style w:type="character" w:customStyle="1" w:styleId="93">
    <w:name w:val="cucd-C Char Char"/>
    <w:link w:val="94"/>
    <w:qFormat/>
    <w:uiPriority w:val="0"/>
    <w:rPr>
      <w:b/>
      <w:kern w:val="2"/>
      <w:sz w:val="28"/>
      <w:szCs w:val="24"/>
      <w:lang w:val="en-US" w:eastAsia="zh-CN" w:bidi="ar-SA"/>
    </w:rPr>
  </w:style>
  <w:style w:type="paragraph" w:customStyle="1" w:styleId="94">
    <w:name w:val="cucd-C"/>
    <w:next w:val="68"/>
    <w:link w:val="93"/>
    <w:qFormat/>
    <w:uiPriority w:val="0"/>
    <w:pPr>
      <w:spacing w:line="360" w:lineRule="auto"/>
      <w:outlineLvl w:val="2"/>
    </w:pPr>
    <w:rPr>
      <w:rFonts w:ascii="Times New Roman" w:hAnsi="Times New Roman" w:eastAsia="宋体" w:cs="Times New Roman"/>
      <w:b/>
      <w:kern w:val="2"/>
      <w:sz w:val="28"/>
      <w:szCs w:val="24"/>
      <w:lang w:val="en-US" w:eastAsia="zh-CN" w:bidi="ar-SA"/>
    </w:rPr>
  </w:style>
  <w:style w:type="character" w:customStyle="1" w:styleId="95">
    <w:name w:val="小2号宋体居中行距2倍 Char Char"/>
    <w:qFormat/>
    <w:uiPriority w:val="0"/>
    <w:rPr>
      <w:rFonts w:ascii="宋体" w:eastAsia="宋体"/>
      <w:bCs/>
      <w:kern w:val="44"/>
      <w:sz w:val="36"/>
      <w:szCs w:val="44"/>
      <w:lang w:val="en-US" w:eastAsia="zh-CN" w:bidi="ar-SA"/>
    </w:rPr>
  </w:style>
  <w:style w:type="character" w:customStyle="1" w:styleId="96">
    <w:name w:val="cauc-0 Char1"/>
    <w:link w:val="97"/>
    <w:qFormat/>
    <w:uiPriority w:val="0"/>
    <w:rPr>
      <w:kern w:val="2"/>
      <w:sz w:val="24"/>
      <w:szCs w:val="24"/>
      <w:lang w:val="en-US" w:eastAsia="zh-CN" w:bidi="ar-SA"/>
    </w:rPr>
  </w:style>
  <w:style w:type="paragraph" w:customStyle="1" w:styleId="97">
    <w:name w:val="cauc-0"/>
    <w:link w:val="96"/>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98">
    <w:name w:val="Char Char3"/>
    <w:semiHidden/>
    <w:qFormat/>
    <w:uiPriority w:val="0"/>
    <w:rPr>
      <w:rFonts w:ascii="Arial" w:hAnsi="Arial" w:eastAsia="黑体"/>
      <w:b/>
      <w:sz w:val="28"/>
      <w:lang w:val="en-US" w:eastAsia="zh-CN" w:bidi="ar-SA"/>
    </w:rPr>
  </w:style>
  <w:style w:type="character" w:customStyle="1" w:styleId="99">
    <w:name w:val="正文文本缩进 2 字符"/>
    <w:link w:val="29"/>
    <w:qFormat/>
    <w:uiPriority w:val="0"/>
    <w:rPr>
      <w:rFonts w:ascii="仿宋_GB2312" w:hAnsi="宋体" w:eastAsia="仿宋_GB2312"/>
      <w:kern w:val="2"/>
      <w:sz w:val="28"/>
      <w:szCs w:val="24"/>
      <w:lang w:val="en-US" w:eastAsia="zh-CN" w:bidi="ar-SA"/>
    </w:rPr>
  </w:style>
  <w:style w:type="character" w:customStyle="1" w:styleId="100">
    <w:name w:val="样式 cucd-3 + (中文) 黑体 小三 Char Char"/>
    <w:link w:val="101"/>
    <w:qFormat/>
    <w:uiPriority w:val="0"/>
    <w:rPr>
      <w:rFonts w:ascii="宋体" w:hAnsi="宋体"/>
      <w:bCs/>
      <w:color w:val="000000"/>
      <w:kern w:val="2"/>
      <w:sz w:val="24"/>
      <w:szCs w:val="24"/>
      <w:lang w:val="en-US" w:eastAsia="zh-CN" w:bidi="ar-SA"/>
    </w:rPr>
  </w:style>
  <w:style w:type="paragraph" w:customStyle="1" w:styleId="101">
    <w:name w:val="样式 cucd-3 + (中文) 黑体 小三"/>
    <w:basedOn w:val="76"/>
    <w:link w:val="100"/>
    <w:qFormat/>
    <w:uiPriority w:val="0"/>
    <w:pPr>
      <w:numPr>
        <w:numId w:val="0"/>
      </w:numPr>
      <w:ind w:left="1820" w:hanging="420"/>
    </w:pPr>
    <w:rPr>
      <w:bCs/>
    </w:rPr>
  </w:style>
  <w:style w:type="character" w:customStyle="1" w:styleId="102">
    <w:name w:val="title_emph"/>
    <w:basedOn w:val="53"/>
    <w:qFormat/>
    <w:uiPriority w:val="0"/>
  </w:style>
  <w:style w:type="character" w:customStyle="1" w:styleId="103">
    <w:name w:val="标题 4 字符"/>
    <w:link w:val="7"/>
    <w:qFormat/>
    <w:uiPriority w:val="0"/>
    <w:rPr>
      <w:rFonts w:ascii="Arial" w:hAnsi="Arial" w:eastAsia="黑体"/>
      <w:b/>
      <w:sz w:val="28"/>
    </w:rPr>
  </w:style>
  <w:style w:type="character" w:customStyle="1" w:styleId="104">
    <w:name w:val="cucd-3 Char Char"/>
    <w:qFormat/>
    <w:uiPriority w:val="0"/>
    <w:rPr>
      <w:rFonts w:eastAsia="宋体"/>
      <w:b/>
      <w:color w:val="FF0000"/>
      <w:kern w:val="2"/>
      <w:sz w:val="28"/>
      <w:szCs w:val="24"/>
      <w:lang w:val="en-US" w:eastAsia="zh-CN" w:bidi="ar-SA"/>
    </w:rPr>
  </w:style>
  <w:style w:type="character" w:customStyle="1" w:styleId="105">
    <w:name w:val="4号黑体左空2格行距1倍 Char Char"/>
    <w:qFormat/>
    <w:uiPriority w:val="0"/>
    <w:rPr>
      <w:rFonts w:ascii="黑体" w:eastAsia="黑体"/>
      <w:bCs/>
      <w:sz w:val="28"/>
      <w:lang w:val="en-US" w:eastAsia="zh-CN" w:bidi="ar-SA"/>
    </w:rPr>
  </w:style>
  <w:style w:type="character" w:customStyle="1" w:styleId="106">
    <w:name w:val="标题 2 字符"/>
    <w:link w:val="5"/>
    <w:qFormat/>
    <w:uiPriority w:val="0"/>
    <w:rPr>
      <w:rFonts w:ascii="Arial" w:hAnsi="Arial" w:eastAsia="黑体"/>
      <w:b/>
      <w:bCs/>
      <w:kern w:val="2"/>
      <w:sz w:val="32"/>
      <w:szCs w:val="32"/>
      <w:lang w:val="en-US" w:eastAsia="zh-CN" w:bidi="ar-SA"/>
    </w:rPr>
  </w:style>
  <w:style w:type="character" w:customStyle="1" w:styleId="107">
    <w:name w:val="cucd-3 Char1"/>
    <w:qFormat/>
    <w:uiPriority w:val="0"/>
    <w:rPr>
      <w:rFonts w:eastAsia="宋体"/>
      <w:b/>
      <w:kern w:val="2"/>
      <w:sz w:val="28"/>
      <w:szCs w:val="24"/>
      <w:lang w:val="en-US" w:eastAsia="zh-CN" w:bidi="ar-SA"/>
    </w:rPr>
  </w:style>
  <w:style w:type="character" w:customStyle="1" w:styleId="108">
    <w:name w:val="cucd-4 Char Char1"/>
    <w:link w:val="77"/>
    <w:qFormat/>
    <w:uiPriority w:val="0"/>
    <w:rPr>
      <w:kern w:val="2"/>
      <w:sz w:val="24"/>
      <w:szCs w:val="24"/>
    </w:rPr>
  </w:style>
  <w:style w:type="character" w:customStyle="1" w:styleId="109">
    <w:name w:val="cucd-2 Char Char"/>
    <w:link w:val="75"/>
    <w:qFormat/>
    <w:uiPriority w:val="0"/>
    <w:rPr>
      <w:rFonts w:ascii="宋体" w:hAnsi="宋体"/>
      <w:b/>
      <w:bCs/>
      <w:color w:val="000000"/>
      <w:kern w:val="2"/>
      <w:sz w:val="24"/>
      <w:szCs w:val="24"/>
    </w:rPr>
  </w:style>
  <w:style w:type="character" w:customStyle="1" w:styleId="110">
    <w:name w:val="4号宋体左齐行距1.25倍 Char Char"/>
    <w:qFormat/>
    <w:uiPriority w:val="0"/>
    <w:rPr>
      <w:rFonts w:ascii="Arial" w:hAnsi="Arial" w:eastAsia="黑体"/>
      <w:b/>
      <w:sz w:val="24"/>
      <w:lang w:val="en-US" w:eastAsia="zh-CN" w:bidi="ar-SA"/>
    </w:rPr>
  </w:style>
  <w:style w:type="character" w:customStyle="1" w:styleId="111">
    <w:name w:val="尾注文本 字符"/>
    <w:link w:val="30"/>
    <w:qFormat/>
    <w:uiPriority w:val="0"/>
    <w:rPr>
      <w:sz w:val="24"/>
      <w:lang w:bidi="ar-SA"/>
    </w:rPr>
  </w:style>
  <w:style w:type="character" w:customStyle="1" w:styleId="112">
    <w:name w:val="标题 6 字符"/>
    <w:link w:val="9"/>
    <w:qFormat/>
    <w:uiPriority w:val="0"/>
    <w:rPr>
      <w:rFonts w:ascii="Arial" w:hAnsi="Arial" w:eastAsia="黑体"/>
      <w:b/>
      <w:sz w:val="24"/>
      <w:lang w:val="en-US" w:eastAsia="zh-CN" w:bidi="ar-SA"/>
    </w:rPr>
  </w:style>
  <w:style w:type="character" w:customStyle="1" w:styleId="113">
    <w:name w:val="h31"/>
    <w:qFormat/>
    <w:uiPriority w:val="0"/>
    <w:rPr>
      <w:spacing w:val="330"/>
      <w:sz w:val="21"/>
      <w:szCs w:val="21"/>
    </w:rPr>
  </w:style>
  <w:style w:type="paragraph" w:customStyle="1" w:styleId="114">
    <w:name w:val="标题 11"/>
    <w:basedOn w:val="4"/>
    <w:next w:val="4"/>
    <w:qFormat/>
    <w:uiPriority w:val="0"/>
    <w:pPr>
      <w:keepNext w:val="0"/>
      <w:keepLines w:val="0"/>
      <w:widowControl/>
      <w:numPr>
        <w:ilvl w:val="0"/>
        <w:numId w:val="2"/>
      </w:numPr>
      <w:tabs>
        <w:tab w:val="left" w:pos="425"/>
        <w:tab w:val="clear" w:pos="360"/>
      </w:tabs>
      <w:overflowPunct w:val="0"/>
      <w:spacing w:before="240" w:after="120" w:line="360" w:lineRule="auto"/>
      <w:ind w:left="425" w:hanging="425"/>
    </w:pPr>
    <w:rPr>
      <w:rFonts w:ascii="楷体" w:eastAsia="楷体"/>
      <w:b/>
      <w:bCs w:val="0"/>
      <w:sz w:val="40"/>
      <w:szCs w:val="20"/>
      <w:lang w:val="en-GB"/>
    </w:rPr>
  </w:style>
  <w:style w:type="paragraph" w:customStyle="1" w:styleId="115">
    <w:name w:val="cucd-A"/>
    <w:next w:val="68"/>
    <w:qFormat/>
    <w:uiPriority w:val="0"/>
    <w:pPr>
      <w:pageBreakBefore/>
      <w:spacing w:beforeLines="100" w:afterLines="50" w:line="360" w:lineRule="auto"/>
      <w:jc w:val="center"/>
      <w:outlineLvl w:val="0"/>
    </w:pPr>
    <w:rPr>
      <w:rFonts w:ascii="Times New Roman" w:hAnsi="Times New Roman" w:eastAsia="黑体" w:cs="Times New Roman"/>
      <w:b/>
      <w:kern w:val="2"/>
      <w:sz w:val="36"/>
      <w:szCs w:val="24"/>
      <w:lang w:val="en-US" w:eastAsia="zh-CN" w:bidi="ar-SA"/>
    </w:rPr>
  </w:style>
  <w:style w:type="paragraph" w:customStyle="1" w:styleId="116">
    <w:name w:val="①"/>
    <w:basedOn w:val="1"/>
    <w:qFormat/>
    <w:uiPriority w:val="0"/>
    <w:pPr>
      <w:tabs>
        <w:tab w:val="left" w:pos="5529"/>
        <w:tab w:val="right" w:pos="6946"/>
        <w:tab w:val="left" w:pos="7088"/>
      </w:tabs>
      <w:spacing w:beforeLines="0" w:line="240" w:lineRule="auto"/>
      <w:ind w:left="1134" w:leftChars="540"/>
      <w:jc w:val="both"/>
    </w:pPr>
    <w:rPr>
      <w:rFonts w:ascii="Tahoma" w:hAnsi="Tahoma" w:eastAsia="MS Mincho" w:cs="Tahoma"/>
      <w:sz w:val="21"/>
      <w:lang w:val="en-AU" w:eastAsia="ja-JP"/>
    </w:rPr>
  </w:style>
  <w:style w:type="paragraph" w:customStyle="1" w:styleId="117">
    <w:name w:val="段2後"/>
    <w:basedOn w:val="1"/>
    <w:next w:val="1"/>
    <w:qFormat/>
    <w:uiPriority w:val="0"/>
    <w:pPr>
      <w:autoSpaceDE w:val="0"/>
      <w:autoSpaceDN w:val="0"/>
      <w:adjustRightInd w:val="0"/>
      <w:spacing w:beforeLines="0" w:line="440" w:lineRule="atLeast"/>
      <w:ind w:left="425"/>
      <w:jc w:val="both"/>
      <w:textAlignment w:val="baseline"/>
    </w:pPr>
    <w:rPr>
      <w:rFonts w:ascii="MS Mincho" w:hAnsi="Century" w:eastAsia="MS Mincho"/>
      <w:kern w:val="0"/>
      <w:sz w:val="21"/>
      <w:szCs w:val="20"/>
      <w:lang w:eastAsia="ja-JP"/>
    </w:rPr>
  </w:style>
  <w:style w:type="paragraph" w:customStyle="1" w:styleId="118">
    <w:name w:val="Char"/>
    <w:basedOn w:val="1"/>
    <w:qFormat/>
    <w:uiPriority w:val="0"/>
    <w:pPr>
      <w:widowControl/>
      <w:spacing w:afterLines="50" w:line="400" w:lineRule="exact"/>
      <w:jc w:val="center"/>
    </w:pPr>
    <w:rPr>
      <w:szCs w:val="20"/>
    </w:rPr>
  </w:style>
  <w:style w:type="paragraph" w:customStyle="1" w:styleId="119">
    <w:name w:val="段1後"/>
    <w:basedOn w:val="1"/>
    <w:next w:val="1"/>
    <w:qFormat/>
    <w:uiPriority w:val="0"/>
    <w:pPr>
      <w:autoSpaceDE w:val="0"/>
      <w:autoSpaceDN w:val="0"/>
      <w:adjustRightInd w:val="0"/>
      <w:spacing w:beforeLines="0" w:line="440" w:lineRule="atLeast"/>
      <w:ind w:left="216"/>
      <w:jc w:val="both"/>
      <w:textAlignment w:val="baseline"/>
    </w:pPr>
    <w:rPr>
      <w:rFonts w:ascii="MS Mincho" w:hAnsi="Century" w:eastAsia="MS Mincho"/>
      <w:kern w:val="0"/>
      <w:sz w:val="21"/>
      <w:szCs w:val="20"/>
      <w:lang w:eastAsia="ja-JP"/>
    </w:rPr>
  </w:style>
  <w:style w:type="paragraph" w:customStyle="1" w:styleId="120">
    <w:name w:val="段3"/>
    <w:basedOn w:val="1"/>
    <w:next w:val="121"/>
    <w:qFormat/>
    <w:uiPriority w:val="0"/>
    <w:pPr>
      <w:tabs>
        <w:tab w:val="right" w:pos="635"/>
        <w:tab w:val="left" w:pos="851"/>
      </w:tabs>
      <w:autoSpaceDE w:val="0"/>
      <w:autoSpaceDN w:val="0"/>
      <w:adjustRightInd w:val="0"/>
      <w:spacing w:beforeLines="0" w:line="440" w:lineRule="atLeast"/>
      <w:ind w:left="635" w:hanging="635"/>
      <w:jc w:val="both"/>
      <w:textAlignment w:val="baseline"/>
    </w:pPr>
    <w:rPr>
      <w:rFonts w:ascii="MS Gothic" w:hAnsi="Century" w:eastAsia="MS Gothic"/>
      <w:kern w:val="0"/>
      <w:sz w:val="21"/>
      <w:szCs w:val="20"/>
      <w:lang w:eastAsia="ja-JP"/>
    </w:rPr>
  </w:style>
  <w:style w:type="paragraph" w:customStyle="1" w:styleId="121">
    <w:name w:val="段3後"/>
    <w:basedOn w:val="1"/>
    <w:next w:val="1"/>
    <w:qFormat/>
    <w:uiPriority w:val="0"/>
    <w:pPr>
      <w:autoSpaceDE w:val="0"/>
      <w:autoSpaceDN w:val="0"/>
      <w:adjustRightInd w:val="0"/>
      <w:spacing w:beforeLines="0" w:line="440" w:lineRule="atLeast"/>
      <w:ind w:left="635"/>
      <w:jc w:val="both"/>
      <w:textAlignment w:val="baseline"/>
    </w:pPr>
    <w:rPr>
      <w:rFonts w:ascii="MS Mincho" w:hAnsi="Century" w:eastAsia="MS Mincho"/>
      <w:kern w:val="0"/>
      <w:sz w:val="21"/>
      <w:szCs w:val="20"/>
      <w:lang w:eastAsia="ja-JP"/>
    </w:rPr>
  </w:style>
  <w:style w:type="paragraph" w:customStyle="1" w:styleId="122">
    <w:name w:val="cauc-TB"/>
    <w:qFormat/>
    <w:uiPriority w:val="0"/>
    <w:pPr>
      <w:jc w:val="center"/>
    </w:pPr>
    <w:rPr>
      <w:rFonts w:ascii="Times New Roman" w:hAnsi="Times New Roman" w:eastAsia="宋体" w:cs="Times New Roman"/>
      <w:kern w:val="2"/>
      <w:sz w:val="24"/>
      <w:szCs w:val="24"/>
      <w:lang w:val="en-US" w:eastAsia="zh-CN" w:bidi="ar-SA"/>
    </w:rPr>
  </w:style>
  <w:style w:type="paragraph" w:customStyle="1" w:styleId="123">
    <w:name w:val="Char4"/>
    <w:basedOn w:val="1"/>
    <w:qFormat/>
    <w:uiPriority w:val="0"/>
    <w:pPr>
      <w:spacing w:beforeLines="0" w:line="240" w:lineRule="auto"/>
      <w:jc w:val="both"/>
    </w:pPr>
    <w:rPr>
      <w:sz w:val="21"/>
    </w:rPr>
  </w:style>
  <w:style w:type="paragraph" w:customStyle="1" w:styleId="124">
    <w:name w:val="标题 21"/>
    <w:basedOn w:val="1"/>
    <w:next w:val="125"/>
    <w:qFormat/>
    <w:uiPriority w:val="0"/>
    <w:pPr>
      <w:widowControl/>
      <w:overflowPunct w:val="0"/>
      <w:autoSpaceDE w:val="0"/>
      <w:autoSpaceDN w:val="0"/>
      <w:adjustRightInd w:val="0"/>
      <w:spacing w:beforeLines="0"/>
      <w:textAlignment w:val="baseline"/>
    </w:pPr>
    <w:rPr>
      <w:rFonts w:ascii="楷体" w:eastAsia="楷体"/>
      <w:b/>
      <w:kern w:val="0"/>
      <w:sz w:val="36"/>
      <w:szCs w:val="20"/>
      <w:lang w:val="en-GB"/>
    </w:rPr>
  </w:style>
  <w:style w:type="paragraph" w:customStyle="1" w:styleId="125">
    <w:name w:val="标题 31"/>
    <w:basedOn w:val="1"/>
    <w:next w:val="126"/>
    <w:qFormat/>
    <w:uiPriority w:val="0"/>
    <w:pPr>
      <w:widowControl/>
      <w:overflowPunct w:val="0"/>
      <w:autoSpaceDE w:val="0"/>
      <w:autoSpaceDN w:val="0"/>
      <w:adjustRightInd w:val="0"/>
      <w:spacing w:beforeLines="0"/>
      <w:textAlignment w:val="baseline"/>
    </w:pPr>
    <w:rPr>
      <w:rFonts w:ascii="楷体" w:eastAsia="楷体"/>
      <w:b/>
      <w:kern w:val="0"/>
      <w:sz w:val="32"/>
      <w:szCs w:val="20"/>
      <w:lang w:val="en-GB"/>
    </w:rPr>
  </w:style>
  <w:style w:type="paragraph" w:customStyle="1" w:styleId="126">
    <w:name w:val="正文1"/>
    <w:basedOn w:val="1"/>
    <w:qFormat/>
    <w:uiPriority w:val="0"/>
    <w:pPr>
      <w:widowControl/>
      <w:overflowPunct w:val="0"/>
      <w:autoSpaceDE w:val="0"/>
      <w:autoSpaceDN w:val="0"/>
      <w:adjustRightInd w:val="0"/>
      <w:spacing w:beforeLines="0"/>
      <w:ind w:left="567" w:firstLine="567"/>
      <w:jc w:val="both"/>
      <w:textAlignment w:val="baseline"/>
    </w:pPr>
    <w:rPr>
      <w:rFonts w:ascii="楷体" w:eastAsia="楷体"/>
      <w:kern w:val="0"/>
      <w:sz w:val="28"/>
      <w:szCs w:val="20"/>
      <w:lang w:val="en-GB"/>
    </w:rPr>
  </w:style>
  <w:style w:type="paragraph" w:customStyle="1" w:styleId="127">
    <w:name w:val="1-表内"/>
    <w:basedOn w:val="1"/>
    <w:qFormat/>
    <w:uiPriority w:val="0"/>
    <w:pPr>
      <w:spacing w:beforeLines="0" w:line="360" w:lineRule="exact"/>
      <w:jc w:val="center"/>
    </w:pPr>
    <w:rPr>
      <w:rFonts w:ascii="宋体" w:hAnsi="宋体"/>
      <w:bCs/>
      <w:sz w:val="21"/>
      <w:szCs w:val="21"/>
    </w:rPr>
  </w:style>
  <w:style w:type="paragraph" w:customStyle="1" w:styleId="128">
    <w:name w:val="xl34"/>
    <w:basedOn w:val="1"/>
    <w:qFormat/>
    <w:uiPriority w:val="0"/>
    <w:pPr>
      <w:widowControl/>
      <w:pBdr>
        <w:top w:val="single" w:color="auto" w:sz="4" w:space="0"/>
        <w:left w:val="single" w:color="auto" w:sz="4" w:space="0"/>
        <w:right w:val="single" w:color="auto" w:sz="4" w:space="0"/>
      </w:pBdr>
      <w:tabs>
        <w:tab w:val="left" w:pos="1320"/>
      </w:tabs>
      <w:spacing w:beforeLines="0" w:beforeAutospacing="1" w:afterAutospacing="1" w:line="360" w:lineRule="exact"/>
      <w:jc w:val="center"/>
      <w:textAlignment w:val="center"/>
    </w:pPr>
    <w:rPr>
      <w:rFonts w:eastAsia="Arial Unicode MS"/>
      <w:b/>
      <w:kern w:val="0"/>
      <w:sz w:val="18"/>
      <w:szCs w:val="18"/>
    </w:rPr>
  </w:style>
  <w:style w:type="paragraph" w:customStyle="1" w:styleId="129">
    <w:name w:val="正文11"/>
    <w:link w:val="246"/>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30">
    <w:name w:val="正文1 Char Char Char"/>
    <w:basedOn w:val="1"/>
    <w:qFormat/>
    <w:uiPriority w:val="0"/>
    <w:pPr>
      <w:adjustRightInd w:val="0"/>
      <w:snapToGrid w:val="0"/>
      <w:spacing w:beforeLines="0" w:line="240" w:lineRule="auto"/>
      <w:jc w:val="both"/>
    </w:pPr>
    <w:rPr>
      <w:szCs w:val="20"/>
    </w:rPr>
  </w:style>
  <w:style w:type="paragraph" w:customStyle="1" w:styleId="131">
    <w:name w:val="cucd-B"/>
    <w:next w:val="68"/>
    <w:qFormat/>
    <w:uiPriority w:val="0"/>
    <w:pPr>
      <w:spacing w:line="360" w:lineRule="auto"/>
      <w:outlineLvl w:val="1"/>
    </w:pPr>
    <w:rPr>
      <w:rFonts w:ascii="Times New Roman" w:hAnsi="Times New Roman" w:eastAsia="黑体" w:cs="Times New Roman"/>
      <w:kern w:val="2"/>
      <w:sz w:val="30"/>
      <w:szCs w:val="24"/>
      <w:lang w:val="en-US" w:eastAsia="zh-CN" w:bidi="ar-SA"/>
    </w:rPr>
  </w:style>
  <w:style w:type="paragraph" w:customStyle="1" w:styleId="132">
    <w:name w:val="cucd-D"/>
    <w:next w:val="68"/>
    <w:qFormat/>
    <w:uiPriority w:val="0"/>
    <w:p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133">
    <w:name w:val="cauc-0 Char"/>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34">
    <w:name w:val="默认段落字体 Para Char Char Char Char"/>
    <w:basedOn w:val="1"/>
    <w:qFormat/>
    <w:uiPriority w:val="0"/>
    <w:pPr>
      <w:spacing w:afterLines="50"/>
      <w:jc w:val="both"/>
    </w:pPr>
  </w:style>
  <w:style w:type="paragraph" w:customStyle="1" w:styleId="135">
    <w:name w:val="Char11"/>
    <w:basedOn w:val="1"/>
    <w:qFormat/>
    <w:uiPriority w:val="0"/>
    <w:pPr>
      <w:widowControl/>
      <w:spacing w:beforeLines="0" w:line="400" w:lineRule="exact"/>
      <w:jc w:val="center"/>
    </w:pPr>
    <w:rPr>
      <w:rFonts w:ascii="Verdana" w:hAnsi="Verdana"/>
      <w:kern w:val="0"/>
      <w:sz w:val="21"/>
      <w:szCs w:val="20"/>
      <w:lang w:eastAsia="en-US"/>
    </w:rPr>
  </w:style>
  <w:style w:type="paragraph" w:customStyle="1" w:styleId="136">
    <w:name w:val="样式2"/>
    <w:basedOn w:val="1"/>
    <w:qFormat/>
    <w:uiPriority w:val="0"/>
    <w:pPr>
      <w:tabs>
        <w:tab w:val="left" w:pos="360"/>
      </w:tabs>
      <w:adjustRightInd w:val="0"/>
      <w:snapToGrid w:val="0"/>
      <w:spacing w:beforeLines="0"/>
      <w:jc w:val="both"/>
    </w:pPr>
    <w:rPr>
      <w:rFonts w:ascii="宋体" w:hAnsi="宋体"/>
    </w:rPr>
  </w:style>
  <w:style w:type="paragraph" w:customStyle="1" w:styleId="137">
    <w:name w:val="xl27"/>
    <w:basedOn w:val="1"/>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pPr>
    <w:rPr>
      <w:rFonts w:ascii="Arial Unicode MS" w:hAnsi="Arial Unicode MS"/>
      <w:bCs/>
      <w:kern w:val="0"/>
      <w:szCs w:val="21"/>
    </w:rPr>
  </w:style>
  <w:style w:type="paragraph" w:customStyle="1" w:styleId="138">
    <w:name w:val="Char Char Char Char Char Char Char"/>
    <w:basedOn w:val="1"/>
    <w:qFormat/>
    <w:uiPriority w:val="0"/>
    <w:pPr>
      <w:spacing w:beforeLines="0"/>
    </w:pPr>
    <w:rPr>
      <w:szCs w:val="20"/>
    </w:rPr>
  </w:style>
  <w:style w:type="paragraph" w:customStyle="1" w:styleId="139">
    <w:name w:val="普通表格1"/>
    <w:basedOn w:val="26"/>
    <w:qFormat/>
    <w:uiPriority w:val="0"/>
    <w:pPr>
      <w:snapToGrid w:val="0"/>
      <w:spacing w:line="380" w:lineRule="exact"/>
    </w:pPr>
    <w:rPr>
      <w:rFonts w:ascii="Times New Roman" w:hAnsi="Times New Roman" w:cs="Times New Roman"/>
      <w:sz w:val="24"/>
      <w:szCs w:val="24"/>
    </w:rPr>
  </w:style>
  <w:style w:type="paragraph" w:customStyle="1" w:styleId="140">
    <w:name w:val="样式 (西文) Arial (中文) 宋体 两端对齐 加宽量  0.6 磅 行距: 1.5 倍行距 首行缩进:  2 ..."/>
    <w:basedOn w:val="1"/>
    <w:qFormat/>
    <w:uiPriority w:val="0"/>
    <w:pPr>
      <w:adjustRightInd w:val="0"/>
      <w:spacing w:beforeLines="0"/>
      <w:ind w:firstLine="528" w:firstLineChars="200"/>
      <w:jc w:val="both"/>
      <w:textAlignment w:val="baseline"/>
    </w:pPr>
    <w:rPr>
      <w:rFonts w:ascii="Arial" w:hAnsi="Arial" w:eastAsia="仿宋_GB2312"/>
      <w:spacing w:val="12"/>
      <w:szCs w:val="20"/>
      <w:lang w:eastAsia="zh-TW"/>
    </w:rPr>
  </w:style>
  <w:style w:type="paragraph" w:customStyle="1" w:styleId="141">
    <w:name w:val="样式 宋体 小四 段前: 6 磅 段后: 6 磅"/>
    <w:basedOn w:val="1"/>
    <w:qFormat/>
    <w:uiPriority w:val="0"/>
    <w:pPr>
      <w:spacing w:beforeLines="0" w:line="240" w:lineRule="auto"/>
      <w:ind w:firstLine="480" w:firstLineChars="200"/>
      <w:jc w:val="both"/>
    </w:pPr>
    <w:rPr>
      <w:rFonts w:ascii="宋体" w:hAnsi="宋体"/>
      <w:szCs w:val="20"/>
    </w:rPr>
  </w:style>
  <w:style w:type="paragraph" w:customStyle="1" w:styleId="142">
    <w:name w:val="段1"/>
    <w:basedOn w:val="1"/>
    <w:next w:val="119"/>
    <w:qFormat/>
    <w:uiPriority w:val="0"/>
    <w:pPr>
      <w:autoSpaceDE w:val="0"/>
      <w:autoSpaceDN w:val="0"/>
      <w:adjustRightInd w:val="0"/>
      <w:spacing w:beforeLines="0" w:line="440" w:lineRule="atLeast"/>
      <w:ind w:left="284" w:hanging="284"/>
      <w:jc w:val="both"/>
      <w:textAlignment w:val="baseline"/>
    </w:pPr>
    <w:rPr>
      <w:rFonts w:ascii="MS Gothic" w:hAnsi="Century" w:eastAsia="MS Gothic"/>
      <w:kern w:val="0"/>
      <w:szCs w:val="20"/>
      <w:lang w:eastAsia="ja-JP"/>
    </w:rPr>
  </w:style>
  <w:style w:type="paragraph" w:customStyle="1" w:styleId="143">
    <w:name w:val="Char Char Char Char Char Char Char Char Char Char"/>
    <w:basedOn w:val="1"/>
    <w:qFormat/>
    <w:uiPriority w:val="0"/>
    <w:pPr>
      <w:spacing w:beforeLines="0" w:line="360" w:lineRule="exact"/>
      <w:jc w:val="center"/>
    </w:pPr>
    <w:rPr>
      <w:bCs/>
      <w:sz w:val="21"/>
      <w:szCs w:val="21"/>
    </w:rPr>
  </w:style>
  <w:style w:type="paragraph" w:customStyle="1" w:styleId="144">
    <w:name w:val="段2"/>
    <w:basedOn w:val="1"/>
    <w:next w:val="117"/>
    <w:qFormat/>
    <w:uiPriority w:val="0"/>
    <w:pPr>
      <w:tabs>
        <w:tab w:val="right" w:pos="425"/>
        <w:tab w:val="left" w:pos="641"/>
      </w:tabs>
      <w:autoSpaceDE w:val="0"/>
      <w:autoSpaceDN w:val="0"/>
      <w:adjustRightInd w:val="0"/>
      <w:spacing w:beforeLines="0" w:line="440" w:lineRule="atLeast"/>
      <w:ind w:left="425" w:hanging="425"/>
      <w:jc w:val="both"/>
      <w:textAlignment w:val="baseline"/>
    </w:pPr>
    <w:rPr>
      <w:rFonts w:ascii="MS Gothic" w:hAnsi="Century" w:eastAsia="MS Gothic"/>
      <w:kern w:val="0"/>
      <w:sz w:val="21"/>
      <w:szCs w:val="20"/>
      <w:lang w:eastAsia="ja-JP"/>
    </w:rPr>
  </w:style>
  <w:style w:type="paragraph" w:customStyle="1" w:styleId="145">
    <w:name w:val="表前等"/>
    <w:basedOn w:val="1"/>
    <w:next w:val="1"/>
    <w:qFormat/>
    <w:uiPriority w:val="0"/>
    <w:pPr>
      <w:autoSpaceDE w:val="0"/>
      <w:autoSpaceDN w:val="0"/>
      <w:adjustRightInd w:val="0"/>
      <w:spacing w:beforeLines="0" w:line="100" w:lineRule="exact"/>
      <w:jc w:val="both"/>
      <w:textAlignment w:val="baseline"/>
    </w:pPr>
    <w:rPr>
      <w:rFonts w:ascii="MS Mincho" w:hAnsi="Century" w:eastAsia="MS Mincho"/>
      <w:kern w:val="0"/>
      <w:sz w:val="21"/>
      <w:szCs w:val="20"/>
      <w:lang w:eastAsia="ja-JP"/>
    </w:rPr>
  </w:style>
  <w:style w:type="paragraph" w:customStyle="1" w:styleId="146">
    <w:name w:val="样式 纯文本 + 行距: 1.5 倍行距"/>
    <w:basedOn w:val="26"/>
    <w:qFormat/>
    <w:uiPriority w:val="0"/>
    <w:pPr>
      <w:snapToGrid w:val="0"/>
      <w:spacing w:beforeLines="50" w:line="360" w:lineRule="auto"/>
      <w:ind w:firstLine="480" w:firstLineChars="200"/>
    </w:pPr>
    <w:rPr>
      <w:rFonts w:ascii="Times New Roman" w:hAnsi="Times New Roman" w:cs="宋体"/>
      <w:sz w:val="24"/>
      <w:szCs w:val="20"/>
    </w:rPr>
  </w:style>
  <w:style w:type="paragraph" w:customStyle="1" w:styleId="147">
    <w:name w:val="Char Char Char Char"/>
    <w:basedOn w:val="1"/>
    <w:qFormat/>
    <w:uiPriority w:val="0"/>
    <w:pPr>
      <w:widowControl/>
      <w:spacing w:beforeLines="0" w:line="400" w:lineRule="exact"/>
      <w:jc w:val="center"/>
    </w:pPr>
    <w:rPr>
      <w:rFonts w:ascii="Verdana" w:hAnsi="Verdana"/>
      <w:bCs/>
      <w:kern w:val="0"/>
      <w:sz w:val="21"/>
      <w:szCs w:val="20"/>
      <w:lang w:eastAsia="en-US"/>
    </w:rPr>
  </w:style>
  <w:style w:type="paragraph" w:customStyle="1" w:styleId="148">
    <w:name w:val="样式 标题 1 + 居中"/>
    <w:basedOn w:val="4"/>
    <w:qFormat/>
    <w:uiPriority w:val="0"/>
    <w:pPr>
      <w:autoSpaceDE w:val="0"/>
      <w:autoSpaceDN w:val="0"/>
      <w:adjustRightInd w:val="0"/>
      <w:textAlignment w:val="baseline"/>
    </w:pPr>
    <w:rPr>
      <w:rFonts w:ascii="Times New Roman"/>
      <w:b/>
      <w:bCs w:val="0"/>
      <w:snapToGrid w:val="0"/>
      <w:sz w:val="44"/>
      <w:szCs w:val="20"/>
    </w:rPr>
  </w:style>
  <w:style w:type="paragraph" w:customStyle="1" w:styleId="149">
    <w:name w:val="正文文本 21"/>
    <w:basedOn w:val="1"/>
    <w:qFormat/>
    <w:uiPriority w:val="0"/>
    <w:pPr>
      <w:adjustRightInd w:val="0"/>
      <w:spacing w:beforeLines="0" w:line="400" w:lineRule="exact"/>
      <w:ind w:firstLine="567"/>
      <w:textAlignment w:val="baseline"/>
    </w:pPr>
    <w:rPr>
      <w:rFonts w:ascii="仿宋_GB2312"/>
      <w:bCs/>
      <w:color w:val="000000"/>
      <w:spacing w:val="20"/>
      <w:kern w:val="28"/>
      <w:szCs w:val="20"/>
    </w:rPr>
  </w:style>
  <w:style w:type="paragraph" w:customStyle="1" w:styleId="150">
    <w:name w:val="Char2"/>
    <w:basedOn w:val="1"/>
    <w:qFormat/>
    <w:uiPriority w:val="0"/>
    <w:pPr>
      <w:spacing w:beforeLines="0" w:line="360" w:lineRule="exact"/>
      <w:jc w:val="center"/>
    </w:pPr>
    <w:rPr>
      <w:bCs/>
      <w:sz w:val="21"/>
      <w:szCs w:val="21"/>
    </w:rPr>
  </w:style>
  <w:style w:type="paragraph" w:customStyle="1" w:styleId="151">
    <w:name w:val="tll"/>
    <w:basedOn w:val="1"/>
    <w:qFormat/>
    <w:uiPriority w:val="0"/>
    <w:pPr>
      <w:autoSpaceDE w:val="0"/>
      <w:autoSpaceDN w:val="0"/>
      <w:adjustRightInd w:val="0"/>
      <w:spacing w:beforeLines="0" w:line="360" w:lineRule="exact"/>
      <w:textAlignment w:val="baseline"/>
    </w:pPr>
    <w:rPr>
      <w:rFonts w:ascii="仿宋_GB2312" w:hAnsi="Arial" w:eastAsia="仿宋_GB2312"/>
      <w:bCs/>
      <w:kern w:val="0"/>
      <w:sz w:val="21"/>
      <w:szCs w:val="20"/>
    </w:rPr>
  </w:style>
  <w:style w:type="paragraph" w:customStyle="1" w:styleId="152">
    <w:name w:val="样式1"/>
    <w:basedOn w:val="1"/>
    <w:qFormat/>
    <w:uiPriority w:val="0"/>
    <w:pPr>
      <w:adjustRightInd w:val="0"/>
      <w:spacing w:beforeLines="0" w:line="420" w:lineRule="auto"/>
      <w:jc w:val="center"/>
      <w:textAlignment w:val="baseline"/>
    </w:pPr>
    <w:rPr>
      <w:rFonts w:ascii="宋体"/>
      <w:bCs/>
      <w:kern w:val="0"/>
      <w:szCs w:val="20"/>
    </w:rPr>
  </w:style>
  <w:style w:type="paragraph" w:customStyle="1" w:styleId="153">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54">
    <w:name w:val="xl31"/>
    <w:basedOn w:val="1"/>
    <w:qFormat/>
    <w:uiPriority w:val="0"/>
    <w:pPr>
      <w:widowControl/>
      <w:spacing w:beforeLines="0" w:line="360" w:lineRule="exact"/>
      <w:jc w:val="center"/>
      <w:textAlignment w:val="center"/>
    </w:pPr>
    <w:rPr>
      <w:rFonts w:ascii="Arial" w:hAnsi="Arial"/>
      <w:bCs/>
      <w:kern w:val="0"/>
      <w:sz w:val="18"/>
      <w:szCs w:val="20"/>
    </w:rPr>
  </w:style>
  <w:style w:type="paragraph" w:customStyle="1" w:styleId="155">
    <w:name w:val="(1)"/>
    <w:basedOn w:val="1"/>
    <w:qFormat/>
    <w:uiPriority w:val="0"/>
    <w:pPr>
      <w:tabs>
        <w:tab w:val="left" w:pos="573"/>
      </w:tabs>
      <w:adjustRightInd w:val="0"/>
      <w:snapToGrid w:val="0"/>
      <w:spacing w:beforeLines="0" w:line="240" w:lineRule="atLeast"/>
      <w:jc w:val="center"/>
      <w:textAlignment w:val="baseline"/>
    </w:pPr>
    <w:rPr>
      <w:rFonts w:ascii="Arial" w:hAnsi="Arial"/>
      <w:bCs/>
      <w:kern w:val="44"/>
      <w:szCs w:val="21"/>
    </w:rPr>
  </w:style>
  <w:style w:type="paragraph" w:customStyle="1" w:styleId="156">
    <w:name w:val="Char2 Char Char Char"/>
    <w:basedOn w:val="1"/>
    <w:qFormat/>
    <w:uiPriority w:val="0"/>
    <w:pPr>
      <w:spacing w:beforeLines="0" w:line="240" w:lineRule="auto"/>
      <w:jc w:val="both"/>
    </w:pPr>
    <w:rPr>
      <w:sz w:val="21"/>
      <w:szCs w:val="21"/>
    </w:rPr>
  </w:style>
  <w:style w:type="paragraph" w:customStyle="1" w:styleId="157">
    <w:name w:val="xl30"/>
    <w:basedOn w:val="1"/>
    <w:qFormat/>
    <w:uiPriority w:val="0"/>
    <w:pPr>
      <w:widowControl/>
      <w:pBdr>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w:hAnsi="Arial" w:cs="Arial"/>
      <w:bCs/>
      <w:kern w:val="0"/>
      <w:sz w:val="18"/>
      <w:szCs w:val="18"/>
    </w:rPr>
  </w:style>
  <w:style w:type="paragraph" w:customStyle="1" w:styleId="158">
    <w:name w:val="表格"/>
    <w:basedOn w:val="1"/>
    <w:qFormat/>
    <w:uiPriority w:val="0"/>
    <w:pPr>
      <w:adjustRightInd w:val="0"/>
      <w:spacing w:beforeLines="0" w:line="360" w:lineRule="exact"/>
      <w:jc w:val="center"/>
      <w:textAlignment w:val="baseline"/>
    </w:pPr>
    <w:rPr>
      <w:rFonts w:ascii="宋体"/>
      <w:bCs/>
      <w:kern w:val="0"/>
      <w:szCs w:val="20"/>
    </w:rPr>
  </w:style>
  <w:style w:type="paragraph" w:customStyle="1" w:styleId="159">
    <w:name w:val="标题1"/>
    <w:basedOn w:val="4"/>
    <w:qFormat/>
    <w:uiPriority w:val="0"/>
    <w:pPr>
      <w:tabs>
        <w:tab w:val="left" w:pos="900"/>
      </w:tabs>
      <w:adjustRightInd w:val="0"/>
      <w:spacing w:line="360" w:lineRule="auto"/>
      <w:jc w:val="left"/>
      <w:textAlignment w:val="baseline"/>
    </w:pPr>
    <w:rPr>
      <w:rFonts w:ascii="Times New Roman"/>
      <w:sz w:val="24"/>
      <w:szCs w:val="24"/>
    </w:rPr>
  </w:style>
  <w:style w:type="paragraph" w:customStyle="1" w:styleId="160">
    <w:name w:val="样式 两端对齐 段前: 0.5 行"/>
    <w:basedOn w:val="1"/>
    <w:qFormat/>
    <w:uiPriority w:val="0"/>
    <w:pPr>
      <w:spacing w:beforeLines="0"/>
      <w:jc w:val="both"/>
    </w:pPr>
    <w:rPr>
      <w:rFonts w:cs="宋体"/>
      <w:szCs w:val="20"/>
    </w:rPr>
  </w:style>
  <w:style w:type="paragraph" w:customStyle="1" w:styleId="161">
    <w:name w:val="Char1"/>
    <w:basedOn w:val="1"/>
    <w:qFormat/>
    <w:uiPriority w:val="0"/>
    <w:pPr>
      <w:spacing w:beforeLines="0" w:line="240" w:lineRule="auto"/>
      <w:jc w:val="both"/>
    </w:pPr>
    <w:rPr>
      <w:sz w:val="21"/>
    </w:rPr>
  </w:style>
  <w:style w:type="paragraph" w:customStyle="1" w:styleId="162">
    <w:name w:val="标题2"/>
    <w:basedOn w:val="5"/>
    <w:qFormat/>
    <w:uiPriority w:val="0"/>
    <w:pPr>
      <w:tabs>
        <w:tab w:val="left" w:pos="1320"/>
      </w:tabs>
      <w:adjustRightInd w:val="0"/>
      <w:snapToGrid w:val="0"/>
      <w:spacing w:beforeLines="50" w:line="360" w:lineRule="auto"/>
      <w:ind w:left="1320" w:hanging="420"/>
      <w:jc w:val="center"/>
      <w:textAlignment w:val="baseline"/>
    </w:pPr>
    <w:rPr>
      <w:rFonts w:ascii="Times New Roman" w:hAnsi="Times New Roman" w:eastAsia="宋体"/>
      <w:b w:val="0"/>
      <w:bCs w:val="0"/>
      <w:color w:val="000000"/>
      <w:kern w:val="0"/>
      <w:sz w:val="24"/>
      <w:szCs w:val="20"/>
    </w:rPr>
  </w:style>
  <w:style w:type="paragraph" w:customStyle="1" w:styleId="163">
    <w:name w:val="样式 小四 首行缩进:  0.85 厘米 行距: 1.5 倍行距"/>
    <w:basedOn w:val="1"/>
    <w:qFormat/>
    <w:uiPriority w:val="0"/>
    <w:pPr>
      <w:spacing w:beforeLines="0"/>
      <w:ind w:firstLine="200" w:firstLineChars="200"/>
      <w:jc w:val="center"/>
    </w:pPr>
    <w:rPr>
      <w:bCs/>
      <w:snapToGrid w:val="0"/>
      <w:kern w:val="0"/>
      <w:szCs w:val="21"/>
    </w:rPr>
  </w:style>
  <w:style w:type="paragraph" w:customStyle="1" w:styleId="164">
    <w:name w:val="标题3"/>
    <w:basedOn w:val="6"/>
    <w:qFormat/>
    <w:uiPriority w:val="0"/>
    <w:pPr>
      <w:keepLines w:val="0"/>
      <w:tabs>
        <w:tab w:val="left" w:pos="840"/>
        <w:tab w:val="left" w:pos="1740"/>
      </w:tabs>
      <w:adjustRightInd w:val="0"/>
      <w:spacing w:line="360" w:lineRule="auto"/>
      <w:ind w:left="1740" w:hanging="420"/>
      <w:jc w:val="center"/>
      <w:textAlignment w:val="baseline"/>
    </w:pPr>
    <w:rPr>
      <w:b w:val="0"/>
      <w:kern w:val="0"/>
      <w:sz w:val="24"/>
      <w:szCs w:val="20"/>
    </w:rPr>
  </w:style>
  <w:style w:type="paragraph" w:customStyle="1" w:styleId="165">
    <w:name w:val="标题4"/>
    <w:basedOn w:val="7"/>
    <w:qFormat/>
    <w:uiPriority w:val="0"/>
    <w:pPr>
      <w:keepLines w:val="0"/>
      <w:tabs>
        <w:tab w:val="left" w:pos="2160"/>
      </w:tabs>
      <w:spacing w:line="360" w:lineRule="auto"/>
      <w:ind w:left="2160" w:hanging="420"/>
      <w:jc w:val="center"/>
      <w:textAlignment w:val="baseline"/>
    </w:pPr>
    <w:rPr>
      <w:rFonts w:eastAsia="宋体"/>
      <w:b w:val="0"/>
      <w:bCs/>
      <w:sz w:val="24"/>
    </w:rPr>
  </w:style>
  <w:style w:type="paragraph" w:customStyle="1" w:styleId="166">
    <w:name w:val="正文12"/>
    <w:basedOn w:val="1"/>
    <w:qFormat/>
    <w:uiPriority w:val="0"/>
    <w:pPr>
      <w:adjustRightInd w:val="0"/>
      <w:spacing w:beforeLines="0" w:line="360" w:lineRule="atLeast"/>
      <w:textAlignment w:val="baseline"/>
    </w:pPr>
    <w:rPr>
      <w:rFonts w:ascii="宋体"/>
      <w:bCs/>
      <w:kern w:val="0"/>
      <w:szCs w:val="20"/>
    </w:rPr>
  </w:style>
  <w:style w:type="paragraph" w:customStyle="1" w:styleId="167">
    <w:name w:val="Char Char Char Char Char Char Char Char Char Char Char Char Char Char"/>
    <w:basedOn w:val="1"/>
    <w:qFormat/>
    <w:uiPriority w:val="0"/>
    <w:pPr>
      <w:spacing w:beforeLines="0"/>
      <w:ind w:firstLine="200" w:firstLineChars="200"/>
      <w:jc w:val="center"/>
    </w:pPr>
    <w:rPr>
      <w:rFonts w:ascii="宋体" w:hAnsi="宋体" w:cs="宋体"/>
      <w:bCs/>
      <w:szCs w:val="21"/>
    </w:rPr>
  </w:style>
  <w:style w:type="paragraph" w:customStyle="1" w:styleId="168">
    <w:name w:val="xl22"/>
    <w:basedOn w:val="1"/>
    <w:qFormat/>
    <w:uiPriority w:val="0"/>
    <w:pPr>
      <w:widowControl/>
      <w:spacing w:beforeLines="0" w:beforeAutospacing="1" w:afterAutospacing="1" w:line="360" w:lineRule="exact"/>
      <w:jc w:val="center"/>
    </w:pPr>
    <w:rPr>
      <w:rFonts w:ascii="宋体" w:hAnsi="宋体"/>
      <w:bCs/>
      <w:kern w:val="0"/>
      <w:szCs w:val="21"/>
    </w:rPr>
  </w:style>
  <w:style w:type="paragraph" w:customStyle="1" w:styleId="169">
    <w:name w:val="附件"/>
    <w:basedOn w:val="1"/>
    <w:qFormat/>
    <w:uiPriority w:val="0"/>
    <w:pPr>
      <w:adjustRightInd w:val="0"/>
      <w:spacing w:beforeLines="0" w:line="360" w:lineRule="exact"/>
      <w:jc w:val="center"/>
      <w:textAlignment w:val="center"/>
    </w:pPr>
    <w:rPr>
      <w:rFonts w:ascii="黑体" w:eastAsia="黑体"/>
      <w:b/>
      <w:bCs/>
      <w:kern w:val="0"/>
      <w:sz w:val="32"/>
      <w:szCs w:val="32"/>
    </w:rPr>
  </w:style>
  <w:style w:type="paragraph" w:customStyle="1" w:styleId="170">
    <w:name w:val="样式 宋体 两端对齐 段前: 0.5 行2"/>
    <w:basedOn w:val="1"/>
    <w:qFormat/>
    <w:uiPriority w:val="0"/>
    <w:pPr>
      <w:ind w:left="400" w:hanging="400" w:hangingChars="400"/>
      <w:jc w:val="both"/>
    </w:pPr>
    <w:rPr>
      <w:rFonts w:ascii="宋体" w:hAnsi="宋体" w:cs="宋体"/>
      <w:spacing w:val="10"/>
      <w:szCs w:val="20"/>
    </w:rPr>
  </w:style>
  <w:style w:type="paragraph" w:customStyle="1" w:styleId="171">
    <w:name w:val="报告表头"/>
    <w:basedOn w:val="1"/>
    <w:next w:val="1"/>
    <w:qFormat/>
    <w:uiPriority w:val="0"/>
    <w:pPr>
      <w:widowControl/>
      <w:spacing w:beforeLines="0" w:line="360" w:lineRule="exact"/>
      <w:jc w:val="center"/>
    </w:pPr>
    <w:rPr>
      <w:rFonts w:eastAsia="黑体"/>
      <w:b/>
      <w:bCs/>
      <w:sz w:val="18"/>
      <w:szCs w:val="20"/>
    </w:rPr>
  </w:style>
  <w:style w:type="paragraph" w:customStyle="1" w:styleId="172">
    <w:name w:val="font5"/>
    <w:basedOn w:val="1"/>
    <w:qFormat/>
    <w:uiPriority w:val="0"/>
    <w:pPr>
      <w:widowControl/>
      <w:spacing w:beforeLines="0" w:beforeAutospacing="1" w:afterAutospacing="1" w:line="360" w:lineRule="exact"/>
    </w:pPr>
    <w:rPr>
      <w:rFonts w:hint="eastAsia" w:ascii="宋体" w:hAnsi="宋体"/>
      <w:bCs/>
      <w:kern w:val="0"/>
      <w:szCs w:val="21"/>
    </w:rPr>
  </w:style>
  <w:style w:type="paragraph" w:customStyle="1" w:styleId="173">
    <w:name w:val="我的正文格式"/>
    <w:basedOn w:val="1"/>
    <w:next w:val="1"/>
    <w:qFormat/>
    <w:uiPriority w:val="0"/>
    <w:pPr>
      <w:snapToGrid w:val="0"/>
      <w:spacing w:beforeLines="0"/>
      <w:jc w:val="center"/>
    </w:pPr>
    <w:rPr>
      <w:bCs/>
      <w:kern w:val="16"/>
      <w:szCs w:val="21"/>
    </w:rPr>
  </w:style>
  <w:style w:type="paragraph" w:customStyle="1" w:styleId="174">
    <w:name w:val="2"/>
    <w:basedOn w:val="1"/>
    <w:next w:val="14"/>
    <w:qFormat/>
    <w:uiPriority w:val="0"/>
    <w:pPr>
      <w:spacing w:beforeLines="0" w:line="240" w:lineRule="atLeast"/>
      <w:ind w:firstLine="510"/>
      <w:jc w:val="center"/>
    </w:pPr>
    <w:rPr>
      <w:bCs/>
      <w:szCs w:val="20"/>
    </w:rPr>
  </w:style>
  <w:style w:type="paragraph" w:customStyle="1" w:styleId="175">
    <w:name w:val="报告表中"/>
    <w:basedOn w:val="1"/>
    <w:qFormat/>
    <w:uiPriority w:val="0"/>
    <w:pPr>
      <w:spacing w:beforeLines="0" w:line="360" w:lineRule="exact"/>
      <w:jc w:val="center"/>
    </w:pPr>
    <w:rPr>
      <w:bCs/>
      <w:sz w:val="18"/>
      <w:szCs w:val="20"/>
    </w:rPr>
  </w:style>
  <w:style w:type="paragraph" w:customStyle="1" w:styleId="176">
    <w:name w:val="Fliestext/Aufz."/>
    <w:basedOn w:val="1"/>
    <w:qFormat/>
    <w:uiPriority w:val="0"/>
    <w:pPr>
      <w:widowControl/>
      <w:overflowPunct w:val="0"/>
      <w:autoSpaceDE w:val="0"/>
      <w:autoSpaceDN w:val="0"/>
      <w:adjustRightInd w:val="0"/>
      <w:spacing w:beforeLines="0" w:line="360" w:lineRule="exact"/>
      <w:jc w:val="center"/>
      <w:textAlignment w:val="baseline"/>
    </w:pPr>
    <w:rPr>
      <w:rFonts w:ascii="Arial" w:hAnsi="Arial" w:eastAsia="MS Mincho"/>
      <w:bCs/>
      <w:kern w:val="0"/>
      <w:sz w:val="22"/>
      <w:szCs w:val="20"/>
      <w:lang w:val="de-DE" w:eastAsia="ja-JP"/>
    </w:rPr>
  </w:style>
  <w:style w:type="paragraph" w:customStyle="1" w:styleId="177">
    <w:name w:val="日期1"/>
    <w:basedOn w:val="1"/>
    <w:next w:val="1"/>
    <w:qFormat/>
    <w:uiPriority w:val="0"/>
    <w:pPr>
      <w:adjustRightInd w:val="0"/>
      <w:spacing w:beforeLines="0" w:line="360" w:lineRule="exact"/>
      <w:jc w:val="center"/>
      <w:textAlignment w:val="baseline"/>
    </w:pPr>
    <w:rPr>
      <w:bCs/>
      <w:sz w:val="28"/>
      <w:szCs w:val="20"/>
    </w:rPr>
  </w:style>
  <w:style w:type="paragraph" w:customStyle="1" w:styleId="178">
    <w:name w:val="xl49"/>
    <w:basedOn w:val="1"/>
    <w:qFormat/>
    <w:uiPriority w:val="0"/>
    <w:pPr>
      <w:widowControl/>
      <w:spacing w:beforeLines="0" w:line="360" w:lineRule="exact"/>
      <w:jc w:val="center"/>
      <w:textAlignment w:val="center"/>
    </w:pPr>
    <w:rPr>
      <w:rFonts w:ascii="宋体" w:hAnsi="宋体"/>
      <w:bCs/>
      <w:kern w:val="0"/>
      <w:szCs w:val="20"/>
    </w:rPr>
  </w:style>
  <w:style w:type="paragraph" w:customStyle="1" w:styleId="179">
    <w:name w:val="Char Char Char Char Char Char1 Char Char Char Char Char Char Char"/>
    <w:basedOn w:val="1"/>
    <w:qFormat/>
    <w:uiPriority w:val="0"/>
    <w:pPr>
      <w:spacing w:beforeLines="0" w:line="240" w:lineRule="auto"/>
      <w:jc w:val="both"/>
    </w:pPr>
    <w:rPr>
      <w:sz w:val="21"/>
    </w:rPr>
  </w:style>
  <w:style w:type="paragraph" w:customStyle="1" w:styleId="180">
    <w:name w:val="Char Char Char Char11"/>
    <w:basedOn w:val="1"/>
    <w:next w:val="1"/>
    <w:qFormat/>
    <w:uiPriority w:val="0"/>
    <w:pPr>
      <w:tabs>
        <w:tab w:val="left" w:pos="425"/>
      </w:tabs>
      <w:spacing w:beforeLines="0" w:line="240" w:lineRule="auto"/>
      <w:ind w:left="425" w:hanging="425"/>
      <w:jc w:val="both"/>
    </w:pPr>
  </w:style>
  <w:style w:type="paragraph" w:customStyle="1" w:styleId="181">
    <w:name w:val="1-表头"/>
    <w:basedOn w:val="1"/>
    <w:qFormat/>
    <w:uiPriority w:val="0"/>
    <w:pPr>
      <w:spacing w:beforeLines="0" w:afterLines="20" w:line="360" w:lineRule="exact"/>
      <w:jc w:val="center"/>
    </w:pPr>
    <w:rPr>
      <w:rFonts w:ascii="宋体" w:hAnsi="宋体"/>
      <w:bCs/>
      <w:sz w:val="21"/>
      <w:szCs w:val="21"/>
    </w:rPr>
  </w:style>
  <w:style w:type="paragraph" w:customStyle="1" w:styleId="182">
    <w:name w:val="正文3"/>
    <w:basedOn w:val="1"/>
    <w:qFormat/>
    <w:uiPriority w:val="0"/>
    <w:pPr>
      <w:tabs>
        <w:tab w:val="left" w:pos="1134"/>
      </w:tabs>
      <w:adjustRightInd w:val="0"/>
      <w:spacing w:beforeLines="0" w:line="318" w:lineRule="atLeast"/>
      <w:textAlignment w:val="baseline"/>
    </w:pPr>
    <w:rPr>
      <w:rFonts w:ascii="Arial" w:hAnsi="Arial"/>
      <w:bCs/>
      <w:kern w:val="0"/>
      <w:szCs w:val="20"/>
    </w:rPr>
  </w:style>
  <w:style w:type="paragraph" w:customStyle="1" w:styleId="183">
    <w:name w:val="K01"/>
    <w:basedOn w:val="1"/>
    <w:qFormat/>
    <w:uiPriority w:val="0"/>
    <w:pPr>
      <w:widowControl/>
      <w:autoSpaceDE w:val="0"/>
      <w:autoSpaceDN w:val="0"/>
      <w:adjustRightInd w:val="0"/>
      <w:spacing w:beforeLines="0" w:line="480" w:lineRule="atLeast"/>
      <w:ind w:left="840" w:hanging="360"/>
      <w:textAlignment w:val="bottom"/>
    </w:pPr>
    <w:rPr>
      <w:rFonts w:ascii="宋体"/>
      <w:bCs/>
      <w:kern w:val="0"/>
      <w:szCs w:val="20"/>
    </w:rPr>
  </w:style>
  <w:style w:type="paragraph" w:customStyle="1" w:styleId="184">
    <w:name w:val="1"/>
    <w:basedOn w:val="1"/>
    <w:next w:val="43"/>
    <w:qFormat/>
    <w:uiPriority w:val="0"/>
    <w:pPr>
      <w:spacing w:beforeLines="0" w:line="360" w:lineRule="exact"/>
      <w:jc w:val="center"/>
    </w:pPr>
    <w:rPr>
      <w:bCs/>
      <w:color w:val="000000"/>
      <w:sz w:val="21"/>
      <w:szCs w:val="20"/>
    </w:rPr>
  </w:style>
  <w:style w:type="paragraph" w:customStyle="1" w:styleId="185">
    <w:name w:val="表格文字"/>
    <w:qFormat/>
    <w:uiPriority w:val="0"/>
    <w:pPr>
      <w:widowControl w:val="0"/>
      <w:autoSpaceDE w:val="0"/>
      <w:autoSpaceDN w:val="0"/>
      <w:adjustRightInd w:val="0"/>
      <w:jc w:val="both"/>
    </w:pPr>
    <w:rPr>
      <w:rFonts w:ascii="Times New Roman" w:hAnsi="Times New Roman" w:eastAsia="宋体" w:cs="Times New Roman"/>
      <w:color w:val="000000"/>
      <w:lang w:val="en-US" w:eastAsia="zh-CN" w:bidi="ar-SA"/>
    </w:rPr>
  </w:style>
  <w:style w:type="paragraph" w:customStyle="1" w:styleId="186">
    <w:name w:val="样式 样式 段前: 0.5 行 + 段前: 0.5 行"/>
    <w:basedOn w:val="187"/>
    <w:qFormat/>
    <w:uiPriority w:val="0"/>
    <w:pPr>
      <w:spacing w:line="360" w:lineRule="auto"/>
      <w:ind w:firstLine="480" w:firstLineChars="200"/>
    </w:pPr>
  </w:style>
  <w:style w:type="paragraph" w:customStyle="1" w:styleId="187">
    <w:name w:val="样式 段前: 0.5 行"/>
    <w:basedOn w:val="1"/>
    <w:qFormat/>
    <w:uiPriority w:val="0"/>
    <w:pPr>
      <w:spacing w:beforeLines="0" w:line="240" w:lineRule="auto"/>
    </w:pPr>
    <w:rPr>
      <w:rFonts w:cs="宋体"/>
      <w:szCs w:val="20"/>
    </w:rPr>
  </w:style>
  <w:style w:type="paragraph" w:customStyle="1" w:styleId="188">
    <w:name w:val="表格侧编号"/>
    <w:next w:val="1"/>
    <w:qFormat/>
    <w:uiPriority w:val="0"/>
    <w:pPr>
      <w:widowControl w:val="0"/>
      <w:adjustRightInd w:val="0"/>
      <w:snapToGrid w:val="0"/>
      <w:jc w:val="center"/>
      <w:textAlignment w:val="baseline"/>
    </w:pPr>
    <w:rPr>
      <w:rFonts w:ascii="宋体" w:hAnsi="Times New Roman" w:eastAsia="宋体" w:cs="Times New Roman"/>
      <w:sz w:val="24"/>
      <w:lang w:val="en-US" w:eastAsia="zh-CN" w:bidi="ar-SA"/>
    </w:rPr>
  </w:style>
  <w:style w:type="paragraph" w:customStyle="1" w:styleId="189">
    <w:name w:val="样式3"/>
    <w:basedOn w:val="1"/>
    <w:qFormat/>
    <w:uiPriority w:val="0"/>
    <w:pPr>
      <w:spacing w:beforeLines="0"/>
      <w:ind w:left="1"/>
    </w:pPr>
    <w:rPr>
      <w:rFonts w:ascii="宋体"/>
      <w:bCs/>
      <w:szCs w:val="28"/>
    </w:rPr>
  </w:style>
  <w:style w:type="paragraph" w:customStyle="1" w:styleId="190">
    <w:name w:val="复选框1"/>
    <w:basedOn w:val="1"/>
    <w:qFormat/>
    <w:uiPriority w:val="0"/>
    <w:pPr>
      <w:widowControl/>
      <w:spacing w:beforeLines="0" w:line="360" w:lineRule="exact"/>
    </w:pPr>
    <w:rPr>
      <w:bCs/>
      <w:kern w:val="0"/>
      <w:sz w:val="20"/>
      <w:szCs w:val="20"/>
    </w:rPr>
  </w:style>
  <w:style w:type="paragraph" w:customStyle="1" w:styleId="191">
    <w:name w:val="wenzhang"/>
    <w:basedOn w:val="68"/>
    <w:qFormat/>
    <w:uiPriority w:val="0"/>
    <w:pPr>
      <w:jc w:val="both"/>
    </w:pPr>
    <w:rPr>
      <w:rFonts w:cs="宋体"/>
      <w:szCs w:val="20"/>
    </w:rPr>
  </w:style>
  <w:style w:type="paragraph" w:customStyle="1" w:styleId="192">
    <w:name w:val="正文报告"/>
    <w:basedOn w:val="1"/>
    <w:qFormat/>
    <w:uiPriority w:val="0"/>
    <w:pPr>
      <w:tabs>
        <w:tab w:val="left" w:pos="510"/>
      </w:tabs>
      <w:adjustRightInd w:val="0"/>
      <w:spacing w:beforeLines="0" w:line="460" w:lineRule="exact"/>
      <w:ind w:firstLine="482"/>
      <w:jc w:val="center"/>
      <w:textAlignment w:val="baseline"/>
    </w:pPr>
    <w:rPr>
      <w:bCs/>
      <w:kern w:val="0"/>
      <w:szCs w:val="20"/>
    </w:rPr>
  </w:style>
  <w:style w:type="paragraph" w:customStyle="1" w:styleId="193">
    <w:name w:val="样式 宋体 两端对齐 段前: 0.5 行3"/>
    <w:basedOn w:val="1"/>
    <w:qFormat/>
    <w:uiPriority w:val="0"/>
    <w:pPr>
      <w:ind w:left="400" w:leftChars="400"/>
      <w:jc w:val="both"/>
    </w:pPr>
    <w:rPr>
      <w:rFonts w:ascii="宋体" w:hAnsi="宋体" w:cs="宋体"/>
      <w:spacing w:val="10"/>
      <w:szCs w:val="20"/>
    </w:rPr>
  </w:style>
  <w:style w:type="paragraph" w:customStyle="1" w:styleId="194">
    <w:name w:val="纯文本1"/>
    <w:basedOn w:val="1"/>
    <w:qFormat/>
    <w:uiPriority w:val="0"/>
    <w:pPr>
      <w:adjustRightInd w:val="0"/>
      <w:spacing w:beforeLines="0" w:line="360" w:lineRule="exact"/>
      <w:jc w:val="center"/>
      <w:textAlignment w:val="baseline"/>
    </w:pPr>
    <w:rPr>
      <w:rFonts w:ascii="宋体"/>
      <w:bCs/>
      <w:kern w:val="0"/>
      <w:sz w:val="21"/>
      <w:szCs w:val="20"/>
    </w:rPr>
  </w:style>
  <w:style w:type="paragraph" w:customStyle="1" w:styleId="195">
    <w:name w:val="四级标题"/>
    <w:basedOn w:val="28"/>
    <w:qFormat/>
    <w:uiPriority w:val="0"/>
    <w:pPr>
      <w:spacing w:line="360" w:lineRule="auto"/>
      <w:jc w:val="center"/>
    </w:pPr>
    <w:rPr>
      <w:rFonts w:eastAsia="黑体"/>
      <w:bCs/>
      <w:snapToGrid/>
      <w:szCs w:val="20"/>
      <w:lang w:eastAsia="zh-CN"/>
    </w:rPr>
  </w:style>
  <w:style w:type="paragraph" w:customStyle="1" w:styleId="196">
    <w:name w:val="font6"/>
    <w:basedOn w:val="1"/>
    <w:qFormat/>
    <w:uiPriority w:val="0"/>
    <w:pPr>
      <w:widowControl/>
      <w:spacing w:beforeLines="0" w:beforeAutospacing="1" w:afterAutospacing="1" w:line="360" w:lineRule="exact"/>
    </w:pPr>
    <w:rPr>
      <w:rFonts w:hint="eastAsia" w:ascii="宋体" w:hAnsi="宋体"/>
      <w:bCs/>
      <w:kern w:val="0"/>
      <w:sz w:val="18"/>
      <w:szCs w:val="18"/>
    </w:rPr>
  </w:style>
  <w:style w:type="paragraph" w:customStyle="1" w:styleId="197">
    <w:name w:val="xl32"/>
    <w:basedOn w:val="1"/>
    <w:qFormat/>
    <w:uiPriority w:val="0"/>
    <w:pPr>
      <w:widowControl/>
      <w:pBdr>
        <w:top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Cs/>
      <w:kern w:val="0"/>
      <w:sz w:val="18"/>
      <w:szCs w:val="18"/>
    </w:rPr>
  </w:style>
  <w:style w:type="paragraph" w:customStyle="1" w:styleId="198">
    <w:name w:val="font7"/>
    <w:basedOn w:val="1"/>
    <w:qFormat/>
    <w:uiPriority w:val="0"/>
    <w:pPr>
      <w:widowControl/>
      <w:spacing w:beforeLines="0" w:beforeAutospacing="1" w:afterAutospacing="1" w:line="360" w:lineRule="exact"/>
    </w:pPr>
    <w:rPr>
      <w:bCs/>
      <w:kern w:val="0"/>
      <w:szCs w:val="21"/>
    </w:rPr>
  </w:style>
  <w:style w:type="paragraph" w:customStyle="1" w:styleId="199">
    <w:name w:val="段落"/>
    <w:basedOn w:val="1"/>
    <w:qFormat/>
    <w:uiPriority w:val="0"/>
    <w:pPr>
      <w:adjustRightInd w:val="0"/>
      <w:spacing w:beforeLines="0" w:line="400" w:lineRule="atLeast"/>
      <w:ind w:firstLine="482"/>
      <w:textAlignment w:val="baseline"/>
    </w:pPr>
    <w:rPr>
      <w:bCs/>
      <w:snapToGrid w:val="0"/>
      <w:kern w:val="0"/>
      <w:sz w:val="28"/>
      <w:szCs w:val="20"/>
    </w:rPr>
  </w:style>
  <w:style w:type="paragraph" w:customStyle="1" w:styleId="200">
    <w:name w:val="xl33"/>
    <w:basedOn w:val="1"/>
    <w:qFormat/>
    <w:uiPriority w:val="0"/>
    <w:pPr>
      <w:widowControl/>
      <w:pBdr>
        <w:left w:val="single" w:color="auto" w:sz="4" w:space="0"/>
        <w:right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
      <w:kern w:val="0"/>
      <w:sz w:val="18"/>
      <w:szCs w:val="18"/>
    </w:rPr>
  </w:style>
  <w:style w:type="paragraph" w:customStyle="1" w:styleId="201">
    <w:name w:val="xl24"/>
    <w:basedOn w:val="1"/>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color w:val="FF0000"/>
      <w:kern w:val="0"/>
      <w:szCs w:val="21"/>
    </w:rPr>
  </w:style>
  <w:style w:type="paragraph" w:customStyle="1" w:styleId="202">
    <w:name w:val="Char Char Char Char Char Char Char Char"/>
    <w:basedOn w:val="1"/>
    <w:qFormat/>
    <w:uiPriority w:val="0"/>
    <w:pPr>
      <w:spacing w:beforeLines="0" w:line="240" w:lineRule="auto"/>
      <w:jc w:val="both"/>
    </w:pPr>
    <w:rPr>
      <w:sz w:val="21"/>
      <w:szCs w:val="21"/>
    </w:rPr>
  </w:style>
  <w:style w:type="paragraph" w:customStyle="1" w:styleId="203">
    <w:name w:val="xl25"/>
    <w:basedOn w:val="1"/>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kern w:val="0"/>
      <w:szCs w:val="21"/>
    </w:rPr>
  </w:style>
  <w:style w:type="paragraph" w:customStyle="1" w:styleId="204">
    <w:name w:val="xl26"/>
    <w:basedOn w:val="1"/>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pPr>
    <w:rPr>
      <w:rFonts w:ascii="Arial Unicode MS" w:hAnsi="Arial Unicode MS"/>
      <w:bCs/>
      <w:kern w:val="0"/>
      <w:szCs w:val="21"/>
    </w:rPr>
  </w:style>
  <w:style w:type="paragraph" w:customStyle="1" w:styleId="205">
    <w:name w:val="xl28"/>
    <w:basedOn w:val="1"/>
    <w:qFormat/>
    <w:uiPriority w:val="0"/>
    <w:pPr>
      <w:widowControl/>
      <w:pBdr>
        <w:top w:val="single" w:color="auto" w:sz="4" w:space="0"/>
        <w:left w:val="single" w:color="auto" w:sz="4" w:space="0"/>
        <w:bottom w:val="single" w:color="auto" w:sz="4" w:space="0"/>
        <w:right w:val="single" w:color="auto" w:sz="4" w:space="0"/>
      </w:pBdr>
      <w:spacing w:beforeLines="0" w:beforeAutospacing="1" w:afterAutospacing="1" w:line="360" w:lineRule="exact"/>
      <w:jc w:val="center"/>
      <w:textAlignment w:val="center"/>
    </w:pPr>
    <w:rPr>
      <w:rFonts w:ascii="Arial Unicode MS" w:hAnsi="Arial Unicode MS"/>
      <w:bCs/>
      <w:kern w:val="0"/>
      <w:szCs w:val="21"/>
    </w:rPr>
  </w:style>
  <w:style w:type="paragraph" w:customStyle="1" w:styleId="206">
    <w:name w:val="xl29"/>
    <w:basedOn w:val="1"/>
    <w:qFormat/>
    <w:uiPriority w:val="0"/>
    <w:pPr>
      <w:widowControl/>
      <w:pBdr>
        <w:top w:val="single" w:color="auto" w:sz="4" w:space="0"/>
        <w:left w:val="single" w:color="auto" w:sz="4" w:space="0"/>
        <w:bottom w:val="single" w:color="auto" w:sz="4" w:space="0"/>
      </w:pBdr>
      <w:spacing w:beforeLines="0" w:beforeAutospacing="1" w:afterAutospacing="1" w:line="360" w:lineRule="exact"/>
      <w:jc w:val="center"/>
      <w:textAlignment w:val="center"/>
    </w:pPr>
    <w:rPr>
      <w:rFonts w:ascii="Arial Unicode MS" w:hAnsi="Arial Unicode MS" w:eastAsia="Arial Unicode MS" w:cs="Arial Unicode MS"/>
      <w:b/>
      <w:kern w:val="0"/>
      <w:sz w:val="18"/>
      <w:szCs w:val="18"/>
    </w:rPr>
  </w:style>
  <w:style w:type="paragraph" w:customStyle="1" w:styleId="207">
    <w:name w:val="默认段落字体 Para Char"/>
    <w:basedOn w:val="1"/>
    <w:qFormat/>
    <w:uiPriority w:val="0"/>
    <w:pPr>
      <w:spacing w:beforeLines="0" w:line="240" w:lineRule="auto"/>
      <w:jc w:val="both"/>
    </w:pPr>
    <w:rPr>
      <w:rFonts w:ascii="Tahoma" w:hAnsi="Tahoma"/>
      <w:szCs w:val="20"/>
    </w:rPr>
  </w:style>
  <w:style w:type="paragraph" w:customStyle="1" w:styleId="208">
    <w:name w:val="xl54"/>
    <w:basedOn w:val="1"/>
    <w:qFormat/>
    <w:uiPriority w:val="0"/>
    <w:pPr>
      <w:widowControl/>
      <w:spacing w:beforeLines="0" w:beforeAutospacing="1" w:afterAutospacing="1" w:line="360" w:lineRule="exact"/>
      <w:jc w:val="center"/>
    </w:pPr>
    <w:rPr>
      <w:rFonts w:hint="eastAsia" w:ascii="宋体" w:hAnsi="宋体"/>
      <w:b/>
      <w:snapToGrid w:val="0"/>
      <w:kern w:val="0"/>
      <w:sz w:val="36"/>
      <w:szCs w:val="36"/>
    </w:rPr>
  </w:style>
  <w:style w:type="paragraph" w:customStyle="1" w:styleId="209">
    <w:name w:val="Char Char Char Char Char Char"/>
    <w:basedOn w:val="1"/>
    <w:qFormat/>
    <w:uiPriority w:val="0"/>
    <w:pPr>
      <w:spacing w:beforeLines="0" w:line="360" w:lineRule="exact"/>
      <w:jc w:val="center"/>
    </w:pPr>
    <w:rPr>
      <w:bCs/>
      <w:sz w:val="21"/>
      <w:szCs w:val="21"/>
    </w:rPr>
  </w:style>
  <w:style w:type="paragraph" w:customStyle="1" w:styleId="210">
    <w:name w:val="小四两端对齐"/>
    <w:qFormat/>
    <w:uiPriority w:val="0"/>
    <w:pPr>
      <w:widowControl w:val="0"/>
      <w:jc w:val="center"/>
    </w:pPr>
    <w:rPr>
      <w:rFonts w:ascii="Times New Roman" w:hAnsi="Times New Roman" w:eastAsia="宋体" w:cs="Times New Roman"/>
      <w:sz w:val="24"/>
      <w:szCs w:val="28"/>
      <w:lang w:val="en-US" w:eastAsia="zh-CN" w:bidi="ar-SA"/>
    </w:rPr>
  </w:style>
  <w:style w:type="paragraph" w:customStyle="1" w:styleId="211">
    <w:name w:val="BG"/>
    <w:basedOn w:val="1"/>
    <w:next w:val="1"/>
    <w:qFormat/>
    <w:uiPriority w:val="0"/>
    <w:pPr>
      <w:tabs>
        <w:tab w:val="left" w:pos="1134"/>
      </w:tabs>
      <w:adjustRightInd w:val="0"/>
      <w:spacing w:beforeLines="0" w:line="360" w:lineRule="atLeast"/>
      <w:jc w:val="center"/>
      <w:textAlignment w:val="baseline"/>
    </w:pPr>
    <w:rPr>
      <w:rFonts w:ascii="Arial" w:hAnsi="Arial"/>
      <w:bCs/>
      <w:snapToGrid w:val="0"/>
      <w:kern w:val="0"/>
      <w:szCs w:val="20"/>
    </w:rPr>
  </w:style>
  <w:style w:type="paragraph" w:customStyle="1" w:styleId="212">
    <w:name w:val="样式 宋体 段前: 0.5 行 行距: 多倍行距 1.3 字行1"/>
    <w:basedOn w:val="1"/>
    <w:qFormat/>
    <w:uiPriority w:val="0"/>
    <w:pPr>
      <w:spacing w:beforeLines="0" w:line="312" w:lineRule="auto"/>
      <w:ind w:left="100" w:leftChars="100"/>
    </w:pPr>
    <w:rPr>
      <w:rFonts w:ascii="宋体" w:hAnsi="宋体" w:cs="宋体"/>
      <w:szCs w:val="20"/>
    </w:rPr>
  </w:style>
  <w:style w:type="paragraph" w:customStyle="1" w:styleId="213">
    <w:name w:val="Char Char Char Char Char Char Char Char Char Char Char Char Char Char Char Char Char Char Char"/>
    <w:basedOn w:val="1"/>
    <w:qFormat/>
    <w:uiPriority w:val="0"/>
    <w:pPr>
      <w:spacing w:beforeLines="0" w:line="360" w:lineRule="exact"/>
      <w:jc w:val="center"/>
    </w:pPr>
    <w:rPr>
      <w:bCs/>
      <w:sz w:val="21"/>
      <w:szCs w:val="21"/>
    </w:rPr>
  </w:style>
  <w:style w:type="paragraph" w:customStyle="1" w:styleId="214">
    <w:name w:val="样式 样式 小四 首行缩进:  0.85 厘米 行距: 1.5 倍行距 + 首行缩进:  2 字符"/>
    <w:basedOn w:val="163"/>
    <w:qFormat/>
    <w:uiPriority w:val="0"/>
    <w:pPr>
      <w:ind w:firstLine="480"/>
    </w:pPr>
  </w:style>
  <w:style w:type="paragraph" w:customStyle="1" w:styleId="215">
    <w:name w:val="标题后正文"/>
    <w:basedOn w:val="1"/>
    <w:qFormat/>
    <w:uiPriority w:val="0"/>
    <w:pPr>
      <w:adjustRightInd w:val="0"/>
      <w:spacing w:beforeLines="0"/>
      <w:ind w:firstLine="200" w:firstLineChars="200"/>
      <w:jc w:val="center"/>
      <w:textAlignment w:val="baseline"/>
    </w:pPr>
    <w:rPr>
      <w:rFonts w:ascii="Arial" w:hAnsi="Arial"/>
      <w:bCs/>
      <w:snapToGrid w:val="0"/>
      <w:kern w:val="28"/>
      <w:szCs w:val="20"/>
    </w:rPr>
  </w:style>
  <w:style w:type="paragraph" w:customStyle="1" w:styleId="216">
    <w:name w:val="样式  + 小四 行距: 1.5 倍行距"/>
    <w:basedOn w:val="1"/>
    <w:qFormat/>
    <w:uiPriority w:val="0"/>
    <w:pPr>
      <w:spacing w:beforeLines="0"/>
      <w:ind w:firstLine="200" w:firstLineChars="200"/>
      <w:jc w:val="center"/>
    </w:pPr>
    <w:rPr>
      <w:bCs/>
      <w:snapToGrid w:val="0"/>
      <w:szCs w:val="20"/>
    </w:rPr>
  </w:style>
  <w:style w:type="paragraph" w:customStyle="1" w:styleId="217">
    <w:name w:val="Char Char Char Char Char Char Char Char Char Char Char Char Char Char1"/>
    <w:basedOn w:val="1"/>
    <w:qFormat/>
    <w:uiPriority w:val="0"/>
    <w:pPr>
      <w:spacing w:beforeLines="0"/>
      <w:ind w:firstLine="200" w:firstLineChars="200"/>
      <w:jc w:val="center"/>
    </w:pPr>
    <w:rPr>
      <w:rFonts w:ascii="宋体" w:hAnsi="宋体" w:cs="宋体"/>
      <w:bCs/>
      <w:szCs w:val="21"/>
    </w:rPr>
  </w:style>
  <w:style w:type="paragraph" w:customStyle="1" w:styleId="218">
    <w:name w:val="不缩进"/>
    <w:basedOn w:val="1"/>
    <w:qFormat/>
    <w:uiPriority w:val="0"/>
    <w:pPr>
      <w:autoSpaceDE w:val="0"/>
      <w:autoSpaceDN w:val="0"/>
      <w:adjustRightInd w:val="0"/>
      <w:spacing w:beforeLines="0"/>
      <w:jc w:val="center"/>
      <w:textAlignment w:val="baseline"/>
    </w:pPr>
    <w:rPr>
      <w:rFonts w:ascii="宋体"/>
      <w:kern w:val="0"/>
      <w:sz w:val="21"/>
      <w:szCs w:val="20"/>
    </w:rPr>
  </w:style>
  <w:style w:type="paragraph" w:customStyle="1" w:styleId="219">
    <w:name w:val="表格内正文"/>
    <w:qFormat/>
    <w:uiPriority w:val="0"/>
    <w:pPr>
      <w:spacing w:before="20" w:line="180" w:lineRule="atLeast"/>
      <w:jc w:val="center"/>
    </w:pPr>
    <w:rPr>
      <w:rFonts w:ascii="Arial" w:hAnsi="Arial" w:eastAsia="宋体" w:cs="Times New Roman"/>
      <w:sz w:val="24"/>
      <w:lang w:val="en-US" w:eastAsia="zh-CN" w:bidi="ar-SA"/>
    </w:rPr>
  </w:style>
  <w:style w:type="paragraph" w:customStyle="1" w:styleId="220">
    <w:name w:val="xl85"/>
    <w:basedOn w:val="1"/>
    <w:qFormat/>
    <w:uiPriority w:val="0"/>
    <w:pPr>
      <w:widowControl/>
      <w:pBdr>
        <w:left w:val="single" w:color="auto" w:sz="4" w:space="0"/>
        <w:bottom w:val="single" w:color="000000" w:sz="4" w:space="0"/>
        <w:right w:val="single" w:color="auto" w:sz="4" w:space="0"/>
      </w:pBdr>
      <w:spacing w:beforeLines="0" w:beforeAutospacing="1" w:afterAutospacing="1" w:line="240" w:lineRule="auto"/>
      <w:jc w:val="center"/>
    </w:pPr>
    <w:rPr>
      <w:rFonts w:ascii="Arial Unicode MS" w:hAnsi="Arial Unicode MS" w:eastAsia="Arial Unicode MS"/>
      <w:kern w:val="0"/>
      <w:sz w:val="21"/>
      <w:szCs w:val="21"/>
    </w:rPr>
  </w:style>
  <w:style w:type="paragraph" w:customStyle="1" w:styleId="221">
    <w:name w:val="xl23"/>
    <w:basedOn w:val="1"/>
    <w:qFormat/>
    <w:uiPriority w:val="0"/>
    <w:pPr>
      <w:widowControl/>
      <w:spacing w:beforeLines="0" w:beforeAutospacing="1" w:afterAutospacing="1"/>
      <w:jc w:val="center"/>
      <w:textAlignment w:val="top"/>
    </w:pPr>
    <w:rPr>
      <w:bCs/>
      <w:kern w:val="0"/>
      <w:szCs w:val="21"/>
    </w:rPr>
  </w:style>
  <w:style w:type="paragraph" w:customStyle="1" w:styleId="222">
    <w:name w:val="样式 宋体 两端对齐 段前: 0.5 行"/>
    <w:basedOn w:val="1"/>
    <w:qFormat/>
    <w:uiPriority w:val="0"/>
    <w:pPr>
      <w:spacing w:beforeLines="0"/>
      <w:jc w:val="both"/>
    </w:pPr>
    <w:rPr>
      <w:rFonts w:ascii="宋体" w:hAnsi="宋体" w:cs="宋体"/>
      <w:szCs w:val="20"/>
    </w:rPr>
  </w:style>
  <w:style w:type="paragraph" w:customStyle="1" w:styleId="223">
    <w:name w:val="Char Char Char Char Char Char Char Char Char"/>
    <w:basedOn w:val="1"/>
    <w:qFormat/>
    <w:uiPriority w:val="0"/>
    <w:pPr>
      <w:spacing w:beforeLines="0" w:line="360" w:lineRule="exact"/>
      <w:jc w:val="center"/>
    </w:pPr>
    <w:rPr>
      <w:bCs/>
      <w:sz w:val="21"/>
      <w:szCs w:val="21"/>
    </w:rPr>
  </w:style>
  <w:style w:type="paragraph" w:customStyle="1" w:styleId="224">
    <w:name w:val="Normal1"/>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225">
    <w:name w:val="Char Char Char1 Char"/>
    <w:basedOn w:val="1"/>
    <w:qFormat/>
    <w:uiPriority w:val="0"/>
    <w:pPr>
      <w:spacing w:beforeLines="0" w:line="240" w:lineRule="auto"/>
      <w:jc w:val="both"/>
    </w:pPr>
    <w:rPr>
      <w:sz w:val="21"/>
    </w:rPr>
  </w:style>
  <w:style w:type="paragraph" w:customStyle="1" w:styleId="226">
    <w:name w:val="正文缩进0.90"/>
    <w:basedOn w:val="1"/>
    <w:qFormat/>
    <w:uiPriority w:val="0"/>
    <w:pPr>
      <w:snapToGrid w:val="0"/>
      <w:spacing w:beforeLines="0" w:line="360" w:lineRule="exact"/>
      <w:ind w:firstLine="540" w:firstLineChars="225"/>
      <w:jc w:val="center"/>
    </w:pPr>
    <w:rPr>
      <w:bCs/>
      <w:szCs w:val="20"/>
    </w:rPr>
  </w:style>
  <w:style w:type="paragraph" w:customStyle="1" w:styleId="227">
    <w:name w:val="样式 宋体 段前: 0.5 行 行距: 多倍行距 1.3 字行"/>
    <w:basedOn w:val="1"/>
    <w:qFormat/>
    <w:uiPriority w:val="0"/>
    <w:pPr>
      <w:spacing w:beforeLines="0" w:line="312" w:lineRule="auto"/>
      <w:ind w:left="200" w:hanging="200" w:hangingChars="200"/>
    </w:pPr>
    <w:rPr>
      <w:rFonts w:ascii="宋体" w:hAnsi="宋体" w:cs="宋体"/>
      <w:szCs w:val="20"/>
    </w:rPr>
  </w:style>
  <w:style w:type="paragraph" w:customStyle="1" w:styleId="228">
    <w:name w:val="Char Char Char Char1"/>
    <w:basedOn w:val="1"/>
    <w:qFormat/>
    <w:uiPriority w:val="0"/>
    <w:pPr>
      <w:spacing w:beforeLines="0" w:line="360" w:lineRule="exact"/>
      <w:jc w:val="center"/>
    </w:pPr>
    <w:rPr>
      <w:bCs/>
      <w:sz w:val="21"/>
      <w:szCs w:val="21"/>
    </w:rPr>
  </w:style>
  <w:style w:type="paragraph" w:customStyle="1" w:styleId="229">
    <w:name w:val="Char Char Char1 Char1"/>
    <w:basedOn w:val="1"/>
    <w:semiHidden/>
    <w:qFormat/>
    <w:uiPriority w:val="0"/>
    <w:pPr>
      <w:spacing w:beforeLines="0"/>
      <w:ind w:firstLine="200" w:firstLineChars="200"/>
      <w:jc w:val="both"/>
    </w:pPr>
    <w:rPr>
      <w:rFonts w:ascii="宋体" w:hAnsi="宋体" w:cs="宋体"/>
    </w:rPr>
  </w:style>
  <w:style w:type="paragraph" w:customStyle="1" w:styleId="230">
    <w:name w:val="简单回函地址"/>
    <w:basedOn w:val="1"/>
    <w:qFormat/>
    <w:uiPriority w:val="0"/>
    <w:pPr>
      <w:adjustRightInd w:val="0"/>
      <w:spacing w:beforeLines="0" w:line="312" w:lineRule="atLeast"/>
      <w:jc w:val="center"/>
      <w:textAlignment w:val="baseline"/>
    </w:pPr>
    <w:rPr>
      <w:rFonts w:ascii="宋体"/>
      <w:bCs/>
      <w:kern w:val="0"/>
      <w:szCs w:val="20"/>
    </w:rPr>
  </w:style>
  <w:style w:type="paragraph" w:customStyle="1" w:styleId="231">
    <w:name w:val="样式 宋体 段前: 0.5 行 行距: 多倍行距 1.3 字行2"/>
    <w:basedOn w:val="1"/>
    <w:qFormat/>
    <w:uiPriority w:val="0"/>
    <w:pPr>
      <w:numPr>
        <w:ilvl w:val="0"/>
        <w:numId w:val="3"/>
      </w:numPr>
      <w:spacing w:beforeLines="0" w:line="312" w:lineRule="auto"/>
    </w:pPr>
    <w:rPr>
      <w:rFonts w:ascii="宋体" w:hAnsi="宋体" w:cs="宋体"/>
      <w:szCs w:val="20"/>
    </w:rPr>
  </w:style>
  <w:style w:type="paragraph" w:customStyle="1" w:styleId="232">
    <w:name w:val="样式 cucd-0 + 行距: 1.5 倍行距"/>
    <w:basedOn w:val="68"/>
    <w:qFormat/>
    <w:uiPriority w:val="0"/>
    <w:rPr>
      <w:rFonts w:cs="宋体"/>
      <w:szCs w:val="20"/>
    </w:rPr>
  </w:style>
  <w:style w:type="paragraph" w:customStyle="1" w:styleId="233">
    <w:name w:val="Char1 Char Char Char Char Char Char Char Char Char"/>
    <w:basedOn w:val="1"/>
    <w:qFormat/>
    <w:uiPriority w:val="0"/>
    <w:pPr>
      <w:spacing w:beforeLines="0" w:line="240" w:lineRule="auto"/>
      <w:jc w:val="both"/>
    </w:pPr>
    <w:rPr>
      <w:rFonts w:ascii="Tahoma" w:hAnsi="Tahoma"/>
      <w:szCs w:val="20"/>
    </w:rPr>
  </w:style>
  <w:style w:type="paragraph" w:customStyle="1" w:styleId="234">
    <w:name w:val="Char Char Char Char Char Char1"/>
    <w:basedOn w:val="1"/>
    <w:qFormat/>
    <w:uiPriority w:val="0"/>
    <w:pPr>
      <w:spacing w:beforeLines="0" w:line="240" w:lineRule="auto"/>
      <w:jc w:val="both"/>
    </w:pPr>
    <w:rPr>
      <w:sz w:val="21"/>
      <w:szCs w:val="21"/>
    </w:rPr>
  </w:style>
  <w:style w:type="paragraph" w:customStyle="1" w:styleId="235">
    <w:name w:val="q3"/>
    <w:basedOn w:val="1"/>
    <w:qFormat/>
    <w:uiPriority w:val="0"/>
    <w:pPr>
      <w:keepNext/>
      <w:keepLines/>
      <w:tabs>
        <w:tab w:val="left" w:pos="851"/>
      </w:tabs>
      <w:adjustRightInd w:val="0"/>
      <w:spacing w:beforeLines="0" w:line="300" w:lineRule="exact"/>
      <w:ind w:firstLine="510"/>
      <w:textAlignment w:val="baseline"/>
    </w:pPr>
    <w:rPr>
      <w:rFonts w:ascii="Arial" w:hAnsi="Arial"/>
      <w:b/>
      <w:color w:val="000000"/>
      <w:kern w:val="44"/>
      <w:szCs w:val="20"/>
    </w:rPr>
  </w:style>
  <w:style w:type="paragraph" w:customStyle="1" w:styleId="236">
    <w:name w:val="Char Char Char1 Char Char Char"/>
    <w:basedOn w:val="1"/>
    <w:qFormat/>
    <w:uiPriority w:val="0"/>
    <w:pPr>
      <w:spacing w:beforeLines="0" w:line="240" w:lineRule="auto"/>
      <w:jc w:val="both"/>
    </w:pPr>
    <w:rPr>
      <w:sz w:val="21"/>
    </w:rPr>
  </w:style>
  <w:style w:type="paragraph" w:customStyle="1" w:styleId="237">
    <w:name w:val="Char12"/>
    <w:basedOn w:val="1"/>
    <w:qFormat/>
    <w:uiPriority w:val="0"/>
    <w:pPr>
      <w:spacing w:beforeLines="0" w:line="240" w:lineRule="auto"/>
      <w:jc w:val="both"/>
    </w:pPr>
    <w:rPr>
      <w:sz w:val="21"/>
    </w:rPr>
  </w:style>
  <w:style w:type="paragraph" w:customStyle="1" w:styleId="238">
    <w:name w:val="文档正文"/>
    <w:basedOn w:val="1"/>
    <w:qFormat/>
    <w:uiPriority w:val="0"/>
    <w:pPr>
      <w:spacing w:beforeLines="0"/>
      <w:jc w:val="both"/>
    </w:pPr>
    <w:rPr>
      <w:rFonts w:ascii="宋体" w:hAnsi="宋体"/>
      <w:b/>
      <w:bCs/>
      <w:sz w:val="21"/>
    </w:rPr>
  </w:style>
  <w:style w:type="paragraph" w:customStyle="1" w:styleId="239">
    <w:name w:val="正文1.2"/>
    <w:basedOn w:val="1"/>
    <w:qFormat/>
    <w:uiPriority w:val="0"/>
    <w:pPr>
      <w:spacing w:beforeLines="0" w:line="288" w:lineRule="auto"/>
    </w:pPr>
    <w:rPr>
      <w:rFonts w:ascii="宋体"/>
      <w:kern w:val="0"/>
      <w:sz w:val="28"/>
      <w:szCs w:val="20"/>
      <w:lang w:eastAsia="en-US"/>
    </w:rPr>
  </w:style>
  <w:style w:type="paragraph" w:customStyle="1" w:styleId="240">
    <w:name w:val="文档结构图1"/>
    <w:basedOn w:val="1"/>
    <w:qFormat/>
    <w:uiPriority w:val="0"/>
    <w:pPr>
      <w:shd w:val="clear" w:color="auto" w:fill="000080"/>
      <w:adjustRightInd w:val="0"/>
      <w:spacing w:beforeLines="0" w:line="360" w:lineRule="atLeast"/>
      <w:textAlignment w:val="baseline"/>
    </w:pPr>
    <w:rPr>
      <w:rFonts w:ascii="宋体"/>
      <w:kern w:val="0"/>
      <w:szCs w:val="20"/>
    </w:rPr>
  </w:style>
  <w:style w:type="paragraph" w:customStyle="1" w:styleId="241">
    <w:name w:val="Char Char1 Char Char Char Char"/>
    <w:basedOn w:val="1"/>
    <w:qFormat/>
    <w:uiPriority w:val="0"/>
    <w:pPr>
      <w:snapToGrid w:val="0"/>
      <w:spacing w:beforeLines="0" w:line="440" w:lineRule="atLeast"/>
      <w:ind w:firstLine="200" w:firstLineChars="200"/>
      <w:jc w:val="both"/>
    </w:pPr>
    <w:rPr>
      <w:rFonts w:ascii="宋体"/>
    </w:rPr>
  </w:style>
  <w:style w:type="paragraph" w:customStyle="1" w:styleId="242">
    <w:name w:val="Char Char Char"/>
    <w:basedOn w:val="1"/>
    <w:qFormat/>
    <w:uiPriority w:val="0"/>
    <w:pPr>
      <w:spacing w:beforeLines="0" w:line="240" w:lineRule="auto"/>
      <w:jc w:val="both"/>
    </w:pPr>
    <w:rPr>
      <w:sz w:val="21"/>
    </w:rPr>
  </w:style>
  <w:style w:type="paragraph" w:customStyle="1" w:styleId="243">
    <w:name w:val="样式 宋体 两端对齐 段前: 0.5 行1"/>
    <w:basedOn w:val="1"/>
    <w:qFormat/>
    <w:uiPriority w:val="0"/>
    <w:pPr>
      <w:spacing w:beforeLines="0"/>
      <w:jc w:val="both"/>
    </w:pPr>
    <w:rPr>
      <w:rFonts w:ascii="宋体" w:hAnsi="宋体" w:cs="宋体"/>
      <w:szCs w:val="20"/>
    </w:rPr>
  </w:style>
  <w:style w:type="paragraph" w:customStyle="1" w:styleId="244">
    <w:name w:val="样式 首行缩进:  0 字符"/>
    <w:basedOn w:val="1"/>
    <w:qFormat/>
    <w:uiPriority w:val="0"/>
    <w:pPr>
      <w:spacing w:beforeLines="0"/>
      <w:ind w:firstLine="200" w:firstLineChars="200"/>
      <w:jc w:val="both"/>
    </w:pPr>
    <w:rPr>
      <w:sz w:val="28"/>
      <w:szCs w:val="20"/>
    </w:rPr>
  </w:style>
  <w:style w:type="character" w:customStyle="1" w:styleId="245">
    <w:name w:val="cucd-0 Char"/>
    <w:qFormat/>
    <w:uiPriority w:val="0"/>
    <w:rPr>
      <w:rFonts w:eastAsia="宋体"/>
      <w:kern w:val="2"/>
      <w:sz w:val="24"/>
      <w:szCs w:val="24"/>
      <w:lang w:val="en-US" w:eastAsia="zh-CN" w:bidi="ar-SA"/>
    </w:rPr>
  </w:style>
  <w:style w:type="character" w:customStyle="1" w:styleId="246">
    <w:name w:val="Normal Char Char"/>
    <w:link w:val="129"/>
    <w:qFormat/>
    <w:locked/>
    <w:uiPriority w:val="0"/>
    <w:rPr>
      <w:rFonts w:ascii="宋体"/>
      <w:position w:val="-6"/>
      <w:sz w:val="32"/>
    </w:rPr>
  </w:style>
  <w:style w:type="paragraph" w:customStyle="1" w:styleId="247">
    <w:name w:val="正文文字缩进"/>
    <w:basedOn w:val="1"/>
    <w:qFormat/>
    <w:uiPriority w:val="0"/>
    <w:pPr>
      <w:widowControl/>
      <w:spacing w:beforeLines="0" w:line="606" w:lineRule="atLeast"/>
      <w:ind w:firstLine="481"/>
      <w:jc w:val="both"/>
      <w:textAlignment w:val="baseline"/>
    </w:pPr>
    <w:rPr>
      <w:color w:val="000000"/>
      <w:kern w:val="0"/>
      <w:szCs w:val="20"/>
      <w:u w:color="000000"/>
    </w:rPr>
  </w:style>
  <w:style w:type="character" w:customStyle="1" w:styleId="248">
    <w:name w:val="HTML 预设格式 字符"/>
    <w:link w:val="45"/>
    <w:qFormat/>
    <w:uiPriority w:val="0"/>
    <w:rPr>
      <w:rFonts w:ascii="宋体" w:hAnsi="宋体" w:cs="宋体"/>
      <w:bCs/>
      <w:sz w:val="24"/>
      <w:szCs w:val="21"/>
    </w:rPr>
  </w:style>
  <w:style w:type="paragraph" w:customStyle="1" w:styleId="249">
    <w:name w:val="列出段落2"/>
    <w:basedOn w:val="1"/>
    <w:qFormat/>
    <w:uiPriority w:val="34"/>
    <w:pPr>
      <w:autoSpaceDE w:val="0"/>
      <w:autoSpaceDN w:val="0"/>
      <w:adjustRightInd w:val="0"/>
      <w:spacing w:beforeLines="0"/>
      <w:ind w:firstLine="420" w:firstLineChars="200"/>
      <w:textAlignment w:val="baseline"/>
    </w:pPr>
    <w:rPr>
      <w:rFonts w:ascii="宋体" w:hAnsi="Plotter"/>
      <w:kern w:val="0"/>
      <w:szCs w:val="20"/>
    </w:rPr>
  </w:style>
  <w:style w:type="character" w:customStyle="1" w:styleId="250">
    <w:name w:val="样式 小五"/>
    <w:qFormat/>
    <w:uiPriority w:val="0"/>
    <w:rPr>
      <w:rFonts w:ascii="Times New Roman" w:hAnsi="Times New Roman" w:eastAsia="宋体"/>
      <w:kern w:val="0"/>
      <w:sz w:val="24"/>
      <w:szCs w:val="24"/>
      <w:lang w:val="en-US" w:eastAsia="zh-CN" w:bidi="ar-SA"/>
    </w:rPr>
  </w:style>
  <w:style w:type="paragraph" w:customStyle="1" w:styleId="251">
    <w:name w:val="样式 小五 左 首行缩进:  0.53 厘米"/>
    <w:basedOn w:val="1"/>
    <w:qFormat/>
    <w:uiPriority w:val="0"/>
    <w:pPr>
      <w:spacing w:beforeLines="0"/>
      <w:ind w:firstLine="301"/>
    </w:pPr>
    <w:rPr>
      <w:rFonts w:cs="宋体"/>
      <w:kern w:val="0"/>
      <w:szCs w:val="20"/>
    </w:rPr>
  </w:style>
  <w:style w:type="paragraph" w:customStyle="1" w:styleId="252">
    <w:name w:val="列出段落11"/>
    <w:basedOn w:val="1"/>
    <w:qFormat/>
    <w:uiPriority w:val="0"/>
    <w:pPr>
      <w:spacing w:beforeLines="0" w:after="200" w:line="276" w:lineRule="auto"/>
      <w:ind w:firstLine="420" w:firstLineChars="200"/>
      <w:jc w:val="both"/>
    </w:pPr>
    <w:rPr>
      <w:rFonts w:ascii="Calibri" w:hAnsi="Calibri"/>
      <w:b/>
      <w:szCs w:val="22"/>
    </w:rPr>
  </w:style>
  <w:style w:type="paragraph" w:styleId="253">
    <w:name w:val="List Paragraph"/>
    <w:basedOn w:val="1"/>
    <w:qFormat/>
    <w:uiPriority w:val="34"/>
    <w:pPr>
      <w:spacing w:beforeLines="0" w:line="240" w:lineRule="auto"/>
      <w:ind w:firstLine="420" w:firstLineChars="200"/>
      <w:jc w:val="both"/>
    </w:pPr>
    <w:rPr>
      <w:rFonts w:ascii="Calibri" w:hAnsi="Calibri"/>
      <w:sz w:val="21"/>
      <w:szCs w:val="22"/>
    </w:rPr>
  </w:style>
  <w:style w:type="paragraph" w:customStyle="1" w:styleId="254">
    <w:name w:val="样式 行距: 固定值 20 磅"/>
    <w:basedOn w:val="1"/>
    <w:qFormat/>
    <w:uiPriority w:val="0"/>
    <w:pPr>
      <w:numPr>
        <w:ilvl w:val="0"/>
        <w:numId w:val="4"/>
      </w:numPr>
      <w:tabs>
        <w:tab w:val="left" w:pos="482"/>
      </w:tabs>
      <w:spacing w:beforeLines="0" w:line="400" w:lineRule="exact"/>
      <w:jc w:val="both"/>
    </w:pPr>
    <w:rPr>
      <w:rFonts w:cs="宋体"/>
      <w:sz w:val="21"/>
      <w:szCs w:val="20"/>
    </w:rPr>
  </w:style>
  <w:style w:type="paragraph" w:customStyle="1" w:styleId="255">
    <w:name w:val="列出段落1"/>
    <w:basedOn w:val="1"/>
    <w:qFormat/>
    <w:uiPriority w:val="99"/>
    <w:pPr>
      <w:ind w:firstLine="420" w:firstLineChars="200"/>
    </w:pPr>
  </w:style>
  <w:style w:type="paragraph" w:customStyle="1" w:styleId="256">
    <w:name w:val="正文缩进2格"/>
    <w:basedOn w:val="1"/>
    <w:link w:val="258"/>
    <w:qFormat/>
    <w:uiPriority w:val="99"/>
    <w:pPr>
      <w:spacing w:line="600" w:lineRule="exact"/>
      <w:ind w:firstLine="639" w:firstLineChars="206"/>
    </w:pPr>
    <w:rPr>
      <w:rFonts w:ascii="仿宋_GB2312" w:hAnsi="宋体" w:eastAsia="仿宋_GB2312"/>
      <w:kern w:val="0"/>
      <w:sz w:val="31"/>
    </w:rPr>
  </w:style>
  <w:style w:type="paragraph" w:customStyle="1" w:styleId="257">
    <w:name w:val="修订1"/>
    <w:hidden/>
    <w:unhideWhenUsed/>
    <w:qFormat/>
    <w:uiPriority w:val="99"/>
    <w:rPr>
      <w:rFonts w:ascii="Times New Roman" w:hAnsi="Times New Roman" w:eastAsia="宋体" w:cs="Times New Roman"/>
      <w:kern w:val="2"/>
      <w:sz w:val="24"/>
      <w:szCs w:val="24"/>
      <w:lang w:val="en-US" w:eastAsia="zh-CN" w:bidi="ar-SA"/>
    </w:rPr>
  </w:style>
  <w:style w:type="character" w:customStyle="1" w:styleId="258">
    <w:name w:val="正文缩进2格 Char"/>
    <w:link w:val="256"/>
    <w:qFormat/>
    <w:uiPriority w:val="0"/>
    <w:rPr>
      <w:rFonts w:ascii="仿宋_GB2312" w:hAnsi="宋体" w:eastAsia="仿宋_GB2312" w:cs="Times New Roman"/>
      <w:kern w:val="0"/>
      <w:sz w:val="31"/>
    </w:rPr>
  </w:style>
  <w:style w:type="character" w:customStyle="1" w:styleId="259">
    <w:name w:val="正文文本 字符"/>
    <w:basedOn w:val="53"/>
    <w:link w:val="20"/>
    <w:qFormat/>
    <w:uiPriority w:val="99"/>
    <w:rPr>
      <w:rFonts w:ascii="宋体" w:hAnsi="宋体" w:eastAsia="宋体" w:cs="Times New Roman"/>
      <w:sz w:val="21"/>
    </w:rPr>
  </w:style>
  <w:style w:type="character" w:customStyle="1" w:styleId="260">
    <w:name w:val="正文文本首行缩进 字符"/>
    <w:basedOn w:val="259"/>
    <w:link w:val="50"/>
    <w:qFormat/>
    <w:uiPriority w:val="0"/>
    <w:rPr>
      <w:rFonts w:ascii="Times New Roman" w:hAnsi="Times New Roman" w:eastAsia="宋体" w:cs="Times New Roman"/>
      <w:sz w:val="21"/>
      <w:szCs w:val="20"/>
    </w:rPr>
  </w:style>
  <w:style w:type="character" w:customStyle="1" w:styleId="261">
    <w:name w:val="页眉 字符"/>
    <w:basedOn w:val="53"/>
    <w:link w:val="33"/>
    <w:qFormat/>
    <w:uiPriority w:val="99"/>
    <w:rPr>
      <w:rFonts w:ascii="Times New Roman" w:hAnsi="Times New Roman" w:eastAsia="宋体" w:cs="Times New Roman"/>
      <w:sz w:val="18"/>
      <w:szCs w:val="18"/>
    </w:rPr>
  </w:style>
  <w:style w:type="character" w:customStyle="1" w:styleId="262">
    <w:name w:val="批注框文本 字符"/>
    <w:basedOn w:val="53"/>
    <w:link w:val="31"/>
    <w:qFormat/>
    <w:uiPriority w:val="0"/>
    <w:rPr>
      <w:rFonts w:ascii="Times New Roman" w:hAnsi="Times New Roman" w:eastAsia="宋体" w:cs="Times New Roman"/>
      <w:sz w:val="18"/>
      <w:szCs w:val="18"/>
    </w:rPr>
  </w:style>
  <w:style w:type="character" w:customStyle="1" w:styleId="263">
    <w:name w:val="文档结构图 字符"/>
    <w:basedOn w:val="53"/>
    <w:link w:val="17"/>
    <w:qFormat/>
    <w:uiPriority w:val="99"/>
    <w:rPr>
      <w:rFonts w:ascii="Times New Roman" w:hAnsi="Times New Roman" w:eastAsia="宋体" w:cs="Times New Roman"/>
    </w:rPr>
  </w:style>
  <w:style w:type="character" w:customStyle="1" w:styleId="264">
    <w:name w:val="批注文字 字符"/>
    <w:basedOn w:val="53"/>
    <w:link w:val="18"/>
    <w:qFormat/>
    <w:uiPriority w:val="0"/>
    <w:rPr>
      <w:rFonts w:ascii="宋体" w:hAnsi="Plotter" w:eastAsia="宋体" w:cs="Times New Roman"/>
      <w:kern w:val="0"/>
      <w:sz w:val="34"/>
      <w:szCs w:val="20"/>
    </w:rPr>
  </w:style>
  <w:style w:type="character" w:customStyle="1" w:styleId="265">
    <w:name w:val="fontstyle01"/>
    <w:basedOn w:val="53"/>
    <w:qFormat/>
    <w:uiPriority w:val="0"/>
    <w:rPr>
      <w:rFonts w:hint="eastAsia" w:ascii="仿宋" w:hAnsi="仿宋" w:eastAsia="仿宋" w:cs="Times New Roman"/>
      <w:color w:val="000000"/>
      <w:sz w:val="28"/>
      <w:szCs w:val="28"/>
    </w:rPr>
  </w:style>
  <w:style w:type="character" w:customStyle="1" w:styleId="266">
    <w:name w:val="批注主题 字符"/>
    <w:basedOn w:val="264"/>
    <w:link w:val="49"/>
    <w:qFormat/>
    <w:uiPriority w:val="0"/>
    <w:rPr>
      <w:rFonts w:ascii="Times New Roman" w:hAnsi="Times New Roman" w:eastAsia="宋体" w:cs="Times New Roman"/>
      <w:b/>
      <w:bCs/>
      <w:kern w:val="2"/>
      <w:sz w:val="21"/>
      <w:szCs w:val="20"/>
    </w:rPr>
  </w:style>
  <w:style w:type="character" w:customStyle="1" w:styleId="267">
    <w:name w:val="脚注文本 字符"/>
    <w:basedOn w:val="53"/>
    <w:link w:val="37"/>
    <w:qFormat/>
    <w:uiPriority w:val="0"/>
    <w:rPr>
      <w:rFonts w:asciiTheme="minorHAnsi" w:hAnsiTheme="minorHAnsi" w:eastAsiaTheme="minorEastAsia" w:cstheme="minorBidi"/>
      <w:sz w:val="18"/>
      <w:szCs w:val="24"/>
    </w:rPr>
  </w:style>
  <w:style w:type="paragraph" w:customStyle="1" w:styleId="268">
    <w:name w:val="修订11"/>
    <w:hidden/>
    <w:semiHidden/>
    <w:qFormat/>
    <w:uiPriority w:val="99"/>
    <w:rPr>
      <w:rFonts w:asciiTheme="minorHAnsi" w:hAnsiTheme="minorHAnsi" w:eastAsiaTheme="minorEastAsia" w:cstheme="minorBidi"/>
      <w:kern w:val="2"/>
      <w:sz w:val="24"/>
      <w:szCs w:val="24"/>
      <w:lang w:val="en-US" w:eastAsia="zh-CN" w:bidi="ar-SA"/>
    </w:rPr>
  </w:style>
  <w:style w:type="paragraph" w:customStyle="1" w:styleId="269">
    <w:name w:val="正文文本缩进 21"/>
    <w:basedOn w:val="1"/>
    <w:qFormat/>
    <w:uiPriority w:val="0"/>
    <w:pPr>
      <w:adjustRightInd w:val="0"/>
      <w:spacing w:beforeLines="0" w:line="480" w:lineRule="auto"/>
      <w:ind w:firstLine="540"/>
      <w:jc w:val="both"/>
    </w:pPr>
    <w:rPr>
      <w:rFonts w:ascii="Calibri" w:hAnsi="Calibri" w:cs="Calibri"/>
      <w:kern w:val="0"/>
      <w:sz w:val="20"/>
    </w:rPr>
  </w:style>
  <w:style w:type="character" w:customStyle="1" w:styleId="270">
    <w:name w:val="hilite"/>
    <w:basedOn w:val="53"/>
    <w:qFormat/>
    <w:uiPriority w:val="0"/>
    <w:rPr>
      <w:rFonts w:ascii="Times New Roman" w:hAnsi="Times New Roman" w:eastAsia="宋体" w:cs="Times New Roman"/>
      <w:color w:val="FFFFFF"/>
      <w:shd w:val="clear" w:color="auto" w:fill="666666"/>
    </w:rPr>
  </w:style>
  <w:style w:type="character" w:customStyle="1" w:styleId="271">
    <w:name w:val="last-child"/>
    <w:basedOn w:val="53"/>
    <w:qFormat/>
    <w:uiPriority w:val="0"/>
    <w:rPr>
      <w:rFonts w:ascii="Times New Roman" w:hAnsi="Times New Roman" w:eastAsia="宋体" w:cs="Times New Roman"/>
    </w:rPr>
  </w:style>
  <w:style w:type="character" w:customStyle="1" w:styleId="272">
    <w:name w:val="w32"/>
    <w:basedOn w:val="53"/>
    <w:qFormat/>
    <w:uiPriority w:val="0"/>
    <w:rPr>
      <w:rFonts w:ascii="Times New Roman" w:hAnsi="Times New Roman" w:eastAsia="宋体" w:cs="Times New Roman"/>
    </w:rPr>
  </w:style>
  <w:style w:type="character" w:customStyle="1" w:styleId="273">
    <w:name w:val="ico1658"/>
    <w:basedOn w:val="53"/>
    <w:qFormat/>
    <w:uiPriority w:val="0"/>
    <w:rPr>
      <w:rFonts w:ascii="Times New Roman" w:hAnsi="Times New Roman" w:eastAsia="宋体" w:cs="Times New Roman"/>
    </w:rPr>
  </w:style>
  <w:style w:type="character" w:customStyle="1" w:styleId="274">
    <w:name w:val="ico1659"/>
    <w:basedOn w:val="53"/>
    <w:qFormat/>
    <w:uiPriority w:val="0"/>
    <w:rPr>
      <w:rFonts w:ascii="Times New Roman" w:hAnsi="Times New Roman" w:eastAsia="宋体" w:cs="Times New Roman"/>
    </w:rPr>
  </w:style>
  <w:style w:type="character" w:customStyle="1" w:styleId="275">
    <w:name w:val="ico1660"/>
    <w:basedOn w:val="53"/>
    <w:qFormat/>
    <w:uiPriority w:val="0"/>
    <w:rPr>
      <w:rFonts w:ascii="Times New Roman" w:hAnsi="Times New Roman" w:eastAsia="宋体" w:cs="Times New Roman"/>
    </w:rPr>
  </w:style>
  <w:style w:type="character" w:customStyle="1" w:styleId="276">
    <w:name w:val="button"/>
    <w:basedOn w:val="53"/>
    <w:qFormat/>
    <w:uiPriority w:val="0"/>
    <w:rPr>
      <w:rFonts w:ascii="Times New Roman" w:hAnsi="Times New Roman" w:eastAsia="宋体" w:cs="Times New Roman"/>
    </w:rPr>
  </w:style>
  <w:style w:type="character" w:customStyle="1" w:styleId="277">
    <w:name w:val="biggerthanmax"/>
    <w:basedOn w:val="53"/>
    <w:qFormat/>
    <w:uiPriority w:val="0"/>
    <w:rPr>
      <w:rFonts w:ascii="Times New Roman" w:hAnsi="Times New Roman" w:eastAsia="宋体" w:cs="Times New Roman"/>
      <w:shd w:val="clear" w:color="auto" w:fill="FFFF00"/>
    </w:rPr>
  </w:style>
  <w:style w:type="character" w:customStyle="1" w:styleId="278">
    <w:name w:val="cdropright"/>
    <w:basedOn w:val="53"/>
    <w:qFormat/>
    <w:uiPriority w:val="0"/>
    <w:rPr>
      <w:rFonts w:ascii="Times New Roman" w:hAnsi="Times New Roman" w:eastAsia="宋体" w:cs="Times New Roman"/>
    </w:rPr>
  </w:style>
  <w:style w:type="character" w:customStyle="1" w:styleId="279">
    <w:name w:val="liked_gray"/>
    <w:basedOn w:val="53"/>
    <w:qFormat/>
    <w:uiPriority w:val="0"/>
    <w:rPr>
      <w:rFonts w:ascii="Times New Roman" w:hAnsi="Times New Roman" w:eastAsia="宋体" w:cs="Times New Roman"/>
      <w:color w:val="FFFFFF"/>
    </w:rPr>
  </w:style>
  <w:style w:type="character" w:customStyle="1" w:styleId="280">
    <w:name w:val="browse_class&gt;span"/>
    <w:basedOn w:val="53"/>
    <w:qFormat/>
    <w:uiPriority w:val="0"/>
    <w:rPr>
      <w:rFonts w:ascii="Times New Roman" w:hAnsi="Times New Roman" w:eastAsia="宋体" w:cs="Times New Roman"/>
    </w:rPr>
  </w:style>
  <w:style w:type="character" w:customStyle="1" w:styleId="281">
    <w:name w:val="pagechatarealistclose_box"/>
    <w:basedOn w:val="53"/>
    <w:qFormat/>
    <w:uiPriority w:val="0"/>
    <w:rPr>
      <w:rFonts w:ascii="Times New Roman" w:hAnsi="Times New Roman" w:eastAsia="宋体" w:cs="Times New Roman"/>
    </w:rPr>
  </w:style>
  <w:style w:type="character" w:customStyle="1" w:styleId="282">
    <w:name w:val="pagechatarealistclose_box1"/>
    <w:basedOn w:val="53"/>
    <w:qFormat/>
    <w:uiPriority w:val="0"/>
    <w:rPr>
      <w:rFonts w:ascii="Times New Roman" w:hAnsi="Times New Roman" w:eastAsia="宋体" w:cs="Times New Roman"/>
    </w:rPr>
  </w:style>
  <w:style w:type="character" w:customStyle="1" w:styleId="283">
    <w:name w:val="hover46"/>
    <w:basedOn w:val="53"/>
    <w:qFormat/>
    <w:uiPriority w:val="0"/>
    <w:rPr>
      <w:rFonts w:ascii="Times New Roman" w:hAnsi="Times New Roman" w:eastAsia="宋体" w:cs="Times New Roman"/>
      <w:color w:val="FFFFFF"/>
    </w:rPr>
  </w:style>
  <w:style w:type="character" w:customStyle="1" w:styleId="284">
    <w:name w:val="layui-layer-tabnow"/>
    <w:basedOn w:val="53"/>
    <w:qFormat/>
    <w:uiPriority w:val="0"/>
    <w:rPr>
      <w:rFonts w:ascii="Times New Roman" w:hAnsi="Times New Roman" w:eastAsia="宋体" w:cs="Times New Roman"/>
      <w:bdr w:val="single" w:color="CCCCCC" w:sz="6" w:space="0"/>
      <w:shd w:val="clear" w:color="auto" w:fill="FFFFFF"/>
    </w:rPr>
  </w:style>
  <w:style w:type="character" w:customStyle="1" w:styleId="285">
    <w:name w:val="first-child"/>
    <w:basedOn w:val="53"/>
    <w:qFormat/>
    <w:uiPriority w:val="0"/>
    <w:rPr>
      <w:rFonts w:ascii="Times New Roman" w:hAnsi="Times New Roman" w:eastAsia="宋体" w:cs="Times New Roman"/>
    </w:rPr>
  </w:style>
  <w:style w:type="character" w:customStyle="1" w:styleId="286">
    <w:name w:val="viewscale"/>
    <w:basedOn w:val="53"/>
    <w:qFormat/>
    <w:uiPriority w:val="0"/>
    <w:rPr>
      <w:rFonts w:ascii="Times New Roman" w:hAnsi="Times New Roman" w:eastAsia="宋体" w:cs="Times New Roman"/>
      <w:color w:val="FFFFFF"/>
      <w:sz w:val="24"/>
      <w:szCs w:val="24"/>
    </w:rPr>
  </w:style>
  <w:style w:type="character" w:customStyle="1" w:styleId="287">
    <w:name w:val="icontext1"/>
    <w:basedOn w:val="53"/>
    <w:qFormat/>
    <w:uiPriority w:val="0"/>
    <w:rPr>
      <w:rFonts w:ascii="Times New Roman" w:hAnsi="Times New Roman" w:eastAsia="宋体" w:cs="Times New Roman"/>
    </w:rPr>
  </w:style>
  <w:style w:type="character" w:customStyle="1" w:styleId="288">
    <w:name w:val="icontext11"/>
    <w:basedOn w:val="53"/>
    <w:qFormat/>
    <w:uiPriority w:val="0"/>
    <w:rPr>
      <w:rFonts w:ascii="Times New Roman" w:hAnsi="Times New Roman" w:eastAsia="宋体" w:cs="Times New Roman"/>
    </w:rPr>
  </w:style>
  <w:style w:type="character" w:customStyle="1" w:styleId="289">
    <w:name w:val="icontext12"/>
    <w:basedOn w:val="53"/>
    <w:qFormat/>
    <w:uiPriority w:val="0"/>
    <w:rPr>
      <w:rFonts w:ascii="Times New Roman" w:hAnsi="Times New Roman" w:eastAsia="宋体" w:cs="Times New Roman"/>
    </w:rPr>
  </w:style>
  <w:style w:type="character" w:customStyle="1" w:styleId="290">
    <w:name w:val="after"/>
    <w:basedOn w:val="53"/>
    <w:qFormat/>
    <w:uiPriority w:val="0"/>
    <w:rPr>
      <w:rFonts w:ascii="Times New Roman" w:hAnsi="Times New Roman" w:eastAsia="宋体" w:cs="Times New Roman"/>
      <w:sz w:val="0"/>
      <w:szCs w:val="0"/>
    </w:rPr>
  </w:style>
  <w:style w:type="character" w:customStyle="1" w:styleId="291">
    <w:name w:val="color_gray3"/>
    <w:basedOn w:val="53"/>
    <w:qFormat/>
    <w:uiPriority w:val="0"/>
    <w:rPr>
      <w:rFonts w:ascii="Times New Roman" w:hAnsi="Times New Roman" w:eastAsia="宋体" w:cs="Times New Roman"/>
      <w:color w:val="999999"/>
    </w:rPr>
  </w:style>
  <w:style w:type="character" w:customStyle="1" w:styleId="292">
    <w:name w:val="drapbtn"/>
    <w:basedOn w:val="53"/>
    <w:qFormat/>
    <w:uiPriority w:val="0"/>
    <w:rPr>
      <w:rFonts w:ascii="Times New Roman" w:hAnsi="Times New Roman" w:eastAsia="宋体" w:cs="Times New Roman"/>
    </w:rPr>
  </w:style>
  <w:style w:type="character" w:customStyle="1" w:styleId="293">
    <w:name w:val="cdropleft"/>
    <w:basedOn w:val="53"/>
    <w:qFormat/>
    <w:uiPriority w:val="0"/>
    <w:rPr>
      <w:rFonts w:ascii="Times New Roman" w:hAnsi="Times New Roman" w:eastAsia="宋体" w:cs="Times New Roman"/>
    </w:rPr>
  </w:style>
  <w:style w:type="character" w:customStyle="1" w:styleId="294">
    <w:name w:val="active6"/>
    <w:basedOn w:val="53"/>
    <w:qFormat/>
    <w:uiPriority w:val="0"/>
    <w:rPr>
      <w:rFonts w:ascii="Times New Roman" w:hAnsi="Times New Roman" w:eastAsia="宋体" w:cs="Times New Roman"/>
      <w:color w:val="00FF00"/>
      <w:shd w:val="clear" w:color="auto" w:fill="111111"/>
    </w:rPr>
  </w:style>
  <w:style w:type="character" w:customStyle="1" w:styleId="295">
    <w:name w:val="tmpztreemove_arrow"/>
    <w:basedOn w:val="53"/>
    <w:qFormat/>
    <w:uiPriority w:val="0"/>
    <w:rPr>
      <w:rFonts w:ascii="Times New Roman" w:hAnsi="Times New Roman" w:eastAsia="宋体" w:cs="Times New Roman"/>
    </w:rPr>
  </w:style>
  <w:style w:type="character" w:customStyle="1" w:styleId="296">
    <w:name w:val="moreaction32"/>
    <w:basedOn w:val="53"/>
    <w:qFormat/>
    <w:uiPriority w:val="0"/>
    <w:rPr>
      <w:rFonts w:ascii="Times New Roman" w:hAnsi="Times New Roman" w:eastAsia="宋体" w:cs="Times New Roman"/>
    </w:rPr>
  </w:style>
  <w:style w:type="character" w:customStyle="1" w:styleId="297">
    <w:name w:val="icontext2"/>
    <w:basedOn w:val="53"/>
    <w:qFormat/>
    <w:uiPriority w:val="0"/>
    <w:rPr>
      <w:rFonts w:ascii="Times New Roman" w:hAnsi="Times New Roman" w:eastAsia="宋体" w:cs="Times New Roman"/>
    </w:rPr>
  </w:style>
  <w:style w:type="character" w:customStyle="1" w:styleId="298">
    <w:name w:val="icontext3"/>
    <w:basedOn w:val="53"/>
    <w:qFormat/>
    <w:uiPriority w:val="0"/>
    <w:rPr>
      <w:rFonts w:ascii="Times New Roman" w:hAnsi="Times New Roman" w:eastAsia="宋体" w:cs="Times New Roman"/>
    </w:rPr>
  </w:style>
  <w:style w:type="character" w:customStyle="1" w:styleId="299">
    <w:name w:val="iconline2"/>
    <w:basedOn w:val="53"/>
    <w:qFormat/>
    <w:uiPriority w:val="0"/>
    <w:rPr>
      <w:rFonts w:ascii="Times New Roman" w:hAnsi="Times New Roman" w:eastAsia="宋体" w:cs="Times New Roman"/>
    </w:rPr>
  </w:style>
  <w:style w:type="character" w:customStyle="1" w:styleId="300">
    <w:name w:val="iconline21"/>
    <w:basedOn w:val="53"/>
    <w:qFormat/>
    <w:uiPriority w:val="0"/>
    <w:rPr>
      <w:rFonts w:ascii="Times New Roman" w:hAnsi="Times New Roman" w:eastAsia="宋体" w:cs="Times New Roman"/>
    </w:rPr>
  </w:style>
  <w:style w:type="character" w:customStyle="1" w:styleId="301">
    <w:name w:val="choosename"/>
    <w:basedOn w:val="53"/>
    <w:qFormat/>
    <w:uiPriority w:val="0"/>
    <w:rPr>
      <w:rFonts w:ascii="Times New Roman" w:hAnsi="Times New Roman" w:eastAsia="宋体" w:cs="Times New Roman"/>
    </w:rPr>
  </w:style>
  <w:style w:type="character" w:customStyle="1" w:styleId="302">
    <w:name w:val="estimate_gray"/>
    <w:basedOn w:val="53"/>
    <w:qFormat/>
    <w:uiPriority w:val="0"/>
    <w:rPr>
      <w:rFonts w:ascii="Times New Roman" w:hAnsi="Times New Roman" w:eastAsia="宋体" w:cs="Times New Roman"/>
    </w:rPr>
  </w:style>
  <w:style w:type="character" w:customStyle="1" w:styleId="303">
    <w:name w:val="estimate_gray1"/>
    <w:basedOn w:val="53"/>
    <w:qFormat/>
    <w:uiPriority w:val="0"/>
    <w:rPr>
      <w:rFonts w:ascii="Times New Roman" w:hAnsi="Times New Roman" w:eastAsia="宋体" w:cs="Times New Roman"/>
      <w:color w:val="FFFFFF"/>
    </w:rPr>
  </w:style>
  <w:style w:type="character" w:customStyle="1" w:styleId="304">
    <w:name w:val="design_class"/>
    <w:basedOn w:val="53"/>
    <w:qFormat/>
    <w:uiPriority w:val="0"/>
    <w:rPr>
      <w:rFonts w:ascii="Times New Roman" w:hAnsi="Times New Roman" w:eastAsia="宋体" w:cs="Times New Roman"/>
    </w:rPr>
  </w:style>
  <w:style w:type="character" w:customStyle="1" w:styleId="305">
    <w:name w:val="xdrichtextbox2"/>
    <w:basedOn w:val="53"/>
    <w:qFormat/>
    <w:uiPriority w:val="0"/>
    <w:rPr>
      <w:rFonts w:ascii="Times New Roman" w:hAnsi="Times New Roman" w:eastAsia="宋体" w:cs="Times New Roman"/>
    </w:rPr>
  </w:style>
  <w:style w:type="character" w:customStyle="1" w:styleId="306">
    <w:name w:val="cy"/>
    <w:basedOn w:val="53"/>
    <w:qFormat/>
    <w:uiPriority w:val="0"/>
    <w:rPr>
      <w:rFonts w:ascii="Times New Roman" w:hAnsi="Times New Roman" w:eastAsia="宋体" w:cs="Times New Roman"/>
    </w:rPr>
  </w:style>
  <w:style w:type="character" w:customStyle="1" w:styleId="307">
    <w:name w:val="edit_class"/>
    <w:basedOn w:val="53"/>
    <w:qFormat/>
    <w:uiPriority w:val="0"/>
    <w:rPr>
      <w:rFonts w:ascii="Times New Roman" w:hAnsi="Times New Roman" w:eastAsia="宋体" w:cs="Times New Roman"/>
    </w:rPr>
  </w:style>
  <w:style w:type="character" w:customStyle="1" w:styleId="308">
    <w:name w:val="ico16"/>
    <w:basedOn w:val="53"/>
    <w:qFormat/>
    <w:uiPriority w:val="0"/>
    <w:rPr>
      <w:rFonts w:ascii="Times New Roman" w:hAnsi="Times New Roman" w:eastAsia="宋体" w:cs="Times New Roman"/>
    </w:rPr>
  </w:style>
  <w:style w:type="character" w:customStyle="1" w:styleId="309">
    <w:name w:val="ico161"/>
    <w:basedOn w:val="53"/>
    <w:qFormat/>
    <w:uiPriority w:val="0"/>
    <w:rPr>
      <w:rFonts w:ascii="Times New Roman" w:hAnsi="Times New Roman" w:eastAsia="宋体" w:cs="Times New Roman"/>
    </w:rPr>
  </w:style>
  <w:style w:type="character" w:customStyle="1" w:styleId="310">
    <w:name w:val="ico162"/>
    <w:basedOn w:val="53"/>
    <w:qFormat/>
    <w:uiPriority w:val="0"/>
    <w:rPr>
      <w:rFonts w:ascii="Times New Roman" w:hAnsi="Times New Roman" w:eastAsia="宋体" w:cs="Times New Roman"/>
    </w:rPr>
  </w:style>
  <w:style w:type="character" w:customStyle="1" w:styleId="311">
    <w:name w:val="hilite6"/>
    <w:basedOn w:val="53"/>
    <w:qFormat/>
    <w:uiPriority w:val="0"/>
    <w:rPr>
      <w:rFonts w:ascii="Times New Roman" w:hAnsi="Times New Roman" w:eastAsia="宋体" w:cs="Times New Roman"/>
      <w:color w:val="FFFFFF"/>
      <w:shd w:val="clear" w:color="auto" w:fill="666666"/>
    </w:rPr>
  </w:style>
  <w:style w:type="character" w:customStyle="1" w:styleId="312">
    <w:name w:val="button4"/>
    <w:basedOn w:val="53"/>
    <w:qFormat/>
    <w:uiPriority w:val="0"/>
    <w:rPr>
      <w:rFonts w:ascii="Times New Roman" w:hAnsi="Times New Roman" w:eastAsia="宋体" w:cs="Times New Roman"/>
    </w:rPr>
  </w:style>
  <w:style w:type="character" w:customStyle="1" w:styleId="313">
    <w:name w:val="xdrichtextbox"/>
    <w:basedOn w:val="53"/>
    <w:qFormat/>
    <w:uiPriority w:val="0"/>
    <w:rPr>
      <w:rFonts w:ascii="Times New Roman" w:hAnsi="Times New Roman" w:eastAsia="宋体" w:cs="Times New Roman"/>
      <w:color w:val="auto"/>
      <w:sz w:val="18"/>
      <w:szCs w:val="18"/>
      <w:u w:val="none"/>
      <w:bdr w:val="single" w:color="DCDCDC" w:sz="8" w:space="0"/>
      <w:shd w:val="clear" w:color="auto" w:fill="auto"/>
    </w:rPr>
  </w:style>
  <w:style w:type="character" w:customStyle="1" w:styleId="314">
    <w:name w:val="hover42"/>
    <w:basedOn w:val="53"/>
    <w:qFormat/>
    <w:uiPriority w:val="0"/>
    <w:rPr>
      <w:rFonts w:ascii="Times New Roman" w:hAnsi="Times New Roman" w:eastAsia="宋体" w:cs="Times New Roman"/>
      <w:color w:val="FFFFFF"/>
    </w:rPr>
  </w:style>
  <w:style w:type="character" w:customStyle="1" w:styleId="315">
    <w:name w:val="正文文本缩进 字符"/>
    <w:basedOn w:val="53"/>
    <w:link w:val="3"/>
    <w:semiHidden/>
    <w:qFormat/>
    <w:uiPriority w:val="99"/>
    <w:rPr>
      <w:rFonts w:ascii="Times New Roman" w:hAnsi="Times New Roman" w:eastAsia="宋体" w:cs="Times New Roman"/>
    </w:rPr>
  </w:style>
  <w:style w:type="paragraph" w:customStyle="1" w:styleId="316">
    <w:name w:val="Revision"/>
    <w:hidden/>
    <w:semiHidden/>
    <w:qFormat/>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48</Pages>
  <Words>12271</Words>
  <Characters>12581</Characters>
  <Lines>186</Lines>
  <Paragraphs>52</Paragraphs>
  <TotalTime>39</TotalTime>
  <ScaleCrop>false</ScaleCrop>
  <LinksUpToDate>false</LinksUpToDate>
  <CharactersWithSpaces>13263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2020-09-27T04:06:00Z</dcterms:created>
  <dc:creator>Jeo Xie</dc:creator>
  <cp:lastModifiedBy>梁金柱</cp:lastModifiedBy>
  <cp:lastPrinted>2025-02-07T03:09:00Z</cp:lastPrinted>
  <dcterms:modified xsi:type="dcterms:W3CDTF">2025-05-23T03:24:03Z</dcterms:modified>
  <dc:title>第1章 </dc:title>
  <cp:revision>258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D6072494E3514BEDBC3B112407649586</vt:lpwstr>
  </property>
  <property fmtid="{D5CDD505-2E9C-101B-9397-08002B2CF9AE}" pid="4" name="commondata">
    <vt:lpwstr>eyJoZGlkIjoiYjdjNGY2NGRkMWViYjU5M2JjMzEyYWU0ODA0ZWRkNDUifQ==</vt:lpwstr>
  </property>
  <property fmtid="{D5CDD505-2E9C-101B-9397-08002B2CF9AE}" pid="5" name="KSOTemplateDocerSaveRecord">
    <vt:lpwstr>eyJoZGlkIjoiN2ZmNGE0NjRjYTU2OTJjMjE3ZjcyYmQ3ZmYzYmY2NjciLCJ1c2VySWQiOiIxNjEyMzQ1MDU4In0=</vt:lpwstr>
  </property>
</Properties>
</file>